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442000-2023-00836</w:t>
      </w:r>
    </w:p>
    <w:p>
      <w:pPr>
        <w:jc w:val="center"/>
      </w:pPr>
      <w:r>
        <w:rPr>
          <w:b/>
          <w:sz w:val="24"/>
        </w:rPr>
        <w:t>采购项目编号：</w:t>
      </w:r>
      <w:r>
        <w:rPr>
          <w:b/>
          <w:sz w:val="24"/>
        </w:rPr>
        <w:t>442000-2023-00836</w:t>
      </w:r>
    </w:p>
    <w:p>
      <w:pPr>
        <w:jc w:val="center"/>
      </w:pPr>
      <w:r>
        <w:rPr>
          <w:b/>
          <w:sz w:val="24"/>
        </w:rPr>
        <w:t>项目名称：</w:t>
      </w:r>
      <w:r>
        <w:rPr>
          <w:b/>
          <w:sz w:val="24"/>
        </w:rPr>
        <w:t>中山市博爱医院服务器存储及相关配套设备采购项目（二次）</w:t>
      </w:r>
    </w:p>
    <w:p>
      <w:pPr>
        <w:jc w:val="center"/>
      </w:pPr>
      <w:r>
        <w:rPr>
          <w:b/>
          <w:sz w:val="24"/>
        </w:rPr>
        <w:t>采购人：</w:t>
      </w:r>
      <w:r>
        <w:rPr>
          <w:b/>
          <w:sz w:val="24"/>
        </w:rPr>
        <w:t>中山市博爱医院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中山市博爱医院</w:t>
      </w:r>
      <w:r>
        <w:rPr/>
        <w:t>的委托，采用</w:t>
      </w:r>
      <w:r>
        <w:rPr/>
        <w:t>公开招标</w:t>
      </w:r>
      <w:r>
        <w:rPr/>
        <w:t>方式组织采购</w:t>
      </w:r>
      <w:r>
        <w:rPr/>
        <w:t>中山市博爱医院服务器存储及相关配套设备采购项目（二次）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中山市博爱医院服务器存储及相关配套设备采购项目（二次）</w:t>
      </w:r>
    </w:p>
    <w:p>
      <w:pPr>
        <w:ind w:firstLine="480"/>
      </w:pPr>
      <w:r>
        <w:rPr/>
        <w:t>采购计划编号：</w:t>
      </w:r>
      <w:r>
        <w:rPr/>
        <w:t>442000-2023-00836</w:t>
      </w:r>
    </w:p>
    <w:p>
      <w:pPr>
        <w:ind w:firstLine="480"/>
      </w:pPr>
      <w:r>
        <w:rPr/>
        <w:t>采购项目编号：</w:t>
      </w:r>
      <w:r>
        <w:rPr/>
        <w:t>442000-2023-00836</w:t>
      </w:r>
    </w:p>
    <w:p>
      <w:pPr>
        <w:ind w:firstLine="480"/>
      </w:pPr>
      <w:r>
        <w:rPr/>
        <w:t>采购方式：</w:t>
      </w:r>
      <w:r>
        <w:rPr/>
        <w:t>公开招标</w:t>
      </w:r>
    </w:p>
    <w:p>
      <w:pPr>
        <w:ind w:firstLine="480"/>
      </w:pPr>
      <w:r>
        <w:rPr/>
        <w:t>预算金额：</w:t>
      </w:r>
      <w:r>
        <w:rPr/>
        <w:t>1,850,000.00</w:t>
      </w:r>
      <w:r>
        <w:rPr/>
        <w:t>元</w:t>
      </w:r>
    </w:p>
    <w:p>
      <w:r>
        <w:rPr>
          <w:b/>
          <w:sz w:val="24"/>
        </w:rPr>
        <w:t>2.项目内容及需求情况（采购项目技术规格、参数及要求）</w:t>
      </w:r>
    </w:p>
    <w:p>
      <w:pPr>
        <w:ind w:firstLine="480"/>
      </w:pPr>
    </w:p>
    <w:p/>
    <w:p>
      <w:r>
        <w:rPr/>
        <w:t>采购包1(服务器存储及相关配套设备采购项目):</w:t>
      </w:r>
    </w:p>
    <w:p>
      <w:r>
        <w:rPr/>
        <w:t>采购包预算金额：1,850,000.00元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其他信息化设备</w:t>
            </w:r>
          </w:p>
        </w:tc>
        <w:tc>
          <w:tcPr>
            <w:tcW w:type="dxa" w:w="2052"/>
          </w:tcPr>
          <w:p>
            <w:r>
              <w:rPr/>
              <w:t>服务器存储及相关配套设备</w:t>
            </w:r>
          </w:p>
        </w:tc>
        <w:tc>
          <w:tcPr>
            <w:tcW w:type="dxa" w:w="977"/>
          </w:tcPr>
          <w:p>
            <w:r>
              <w:rPr/>
              <w:t>1.0000(批)</w:t>
            </w:r>
          </w:p>
        </w:tc>
        <w:tc>
          <w:tcPr>
            <w:tcW w:type="dxa" w:w="977"/>
          </w:tcPr>
          <w:p>
            <w:r>
              <w:rPr/>
              <w:t>详见第二章</w:t>
            </w:r>
          </w:p>
        </w:tc>
        <w:tc>
          <w:tcPr>
            <w:tcW w:type="dxa" w:w="977"/>
          </w:tcPr>
          <w:p>
            <w:r>
              <w:rPr/>
              <w:t>1,850,000.00</w:t>
            </w:r>
          </w:p>
        </w:tc>
        <w:tc>
          <w:tcPr>
            <w:tcW w:type="dxa" w:w="977"/>
          </w:tcPr>
          <w:p>
            <w:r>
              <w:rPr/>
              <w:t>否</w:t>
            </w:r>
          </w:p>
        </w:tc>
      </w:tr>
      <w:tr>
        <w:tc>
          <w:tcPr>
            <w:tcW w:type="dxa" w:w="977"/>
          </w:tcPr>
          <w:p>
            <w:r>
              <w:rPr/>
              <w:t>1-2</w:t>
            </w:r>
          </w:p>
        </w:tc>
        <w:tc>
          <w:tcPr>
            <w:tcW w:type="dxa" w:w="1368"/>
          </w:tcPr>
          <w:p>
            <w:r>
              <w:rPr/>
              <w:t>其他信息化设备</w:t>
            </w:r>
          </w:p>
        </w:tc>
        <w:tc>
          <w:tcPr>
            <w:tcW w:type="dxa" w:w="2052"/>
          </w:tcPr>
          <w:p>
            <w:r>
              <w:rPr/>
              <w:t>存储设备</w:t>
            </w:r>
          </w:p>
        </w:tc>
        <w:tc>
          <w:tcPr>
            <w:tcW w:type="dxa" w:w="977"/>
          </w:tcPr>
          <w:p>
            <w:r>
              <w:rPr/>
              <w:t>2.0000(台)</w:t>
            </w:r>
          </w:p>
        </w:tc>
        <w:tc>
          <w:tcPr>
            <w:tcW w:type="dxa" w:w="977"/>
          </w:tcPr>
          <w:p>
            <w:r>
              <w:rPr/>
              <w:t>详见第二章</w:t>
            </w:r>
          </w:p>
        </w:tc>
        <w:tc>
          <w:tcPr>
            <w:tcW w:type="dxa" w:w="977"/>
          </w:tcPr>
          <w:p>
            <w:r>
              <w:rPr/>
              <w:t>0.00</w:t>
            </w:r>
          </w:p>
        </w:tc>
        <w:tc>
          <w:tcPr>
            <w:tcW w:type="dxa" w:w="977"/>
          </w:tcPr>
          <w:p>
            <w:r>
              <w:rPr/>
              <w:t>否</w:t>
            </w:r>
          </w:p>
        </w:tc>
      </w:tr>
    </w:tbl>
    <w:p/>
    <w:p>
      <w:r>
        <w:rPr/>
        <w:t>本采购包不接受联合体投标</w:t>
      </w:r>
    </w:p>
    <w:p/>
    <w:p>
      <w:r>
        <w:rPr/>
        <w:t>合同履行期限：中标后30天内凭中标通知书签订合同，签订合同后45天内完成所有采购货物的供货、安装、调试和验收，并交付给采购人正常使用。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采购包1（服务器存储及相关配套设备采购项目）：</w:t>
      </w:r>
      <w:r>
        <w:rPr/>
        <w:t>本项目不专门面向中小企业采购。</w:t>
      </w:r>
    </w:p>
    <w:p/>
    <w:p>
      <w:r>
        <w:rPr>
          <w:b/>
          <w:sz w:val="24"/>
        </w:rPr>
        <w:t>3.本项目特定的资格要求：</w:t>
      </w:r>
    </w:p>
    <w:p>
      <w:pPr>
        <w:ind w:firstLine="480"/>
      </w:pPr>
    </w:p>
    <w:p/>
    <w:p>
      <w:r>
        <w:rPr/>
        <w:t>采购包1（服务器存储及相关配套设备采购项目）：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中山市博爱医院</w:t>
      </w:r>
    </w:p>
    <w:p>
      <w:pPr>
        <w:ind w:firstLine="480"/>
      </w:pPr>
      <w:r>
        <w:rPr/>
        <w:t>地址：</w:t>
      </w:r>
      <w:r>
        <w:rPr/>
        <w:t>中山市城桂路6号</w:t>
      </w:r>
    </w:p>
    <w:p>
      <w:pPr>
        <w:ind w:firstLine="480"/>
      </w:pPr>
      <w:r>
        <w:rPr/>
        <w:t>联系方式：</w:t>
      </w:r>
      <w:r>
        <w:rPr/>
        <w:t>0760-88776171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中山市博爱医院服务器存储及相关配套设备采购项目（二次）</w:t>
      </w:r>
    </w:p>
    <w:p>
      <w:pPr>
        <w:jc w:val="both"/>
      </w:pPr>
      <w:r>
        <w:rPr>
          <w:sz w:val="21"/>
        </w:rPr>
        <w:t>2.</w:t>
      </w:r>
      <w:r>
        <w:rPr>
          <w:sz w:val="21"/>
        </w:rPr>
        <w:t>采购计划编号：</w:t>
      </w:r>
      <w:r>
        <w:rPr>
          <w:sz w:val="21"/>
        </w:rPr>
        <w:t>442000-2023-00836</w:t>
      </w:r>
      <w:r>
        <w:rPr>
          <w:sz w:val="21"/>
        </w:rPr>
        <w:t xml:space="preserve">   </w:t>
      </w:r>
      <w:r>
        <w:rPr>
          <w:sz w:val="21"/>
        </w:rPr>
        <w:t xml:space="preserve">    </w:t>
      </w:r>
    </w:p>
    <w:p>
      <w:pPr>
        <w:jc w:val="both"/>
      </w:pPr>
      <w:r>
        <w:rPr>
          <w:sz w:val="21"/>
        </w:rPr>
        <w:t>3.</w:t>
      </w:r>
      <w:r>
        <w:rPr>
          <w:sz w:val="21"/>
        </w:rPr>
        <w:t>采购项目编号：</w:t>
      </w:r>
      <w:r>
        <w:rPr>
          <w:sz w:val="21"/>
        </w:rPr>
        <w:t>442000-2023-00836</w:t>
      </w:r>
    </w:p>
    <w:p>
      <w:pPr>
        <w:jc w:val="both"/>
      </w:pPr>
      <w:r>
        <w:rPr>
          <w:sz w:val="21"/>
        </w:rPr>
        <w:t>4.</w:t>
      </w:r>
      <w:r>
        <w:rPr>
          <w:sz w:val="21"/>
        </w:rPr>
        <w:t>采购方式：公开招标</w:t>
      </w:r>
    </w:p>
    <w:p>
      <w:pPr>
        <w:jc w:val="both"/>
      </w:pPr>
      <w:r>
        <w:rPr>
          <w:sz w:val="21"/>
        </w:rPr>
        <w:t>5.</w:t>
      </w:r>
      <w:r>
        <w:rPr>
          <w:sz w:val="21"/>
        </w:rPr>
        <w:t>预算金额：</w:t>
      </w:r>
      <w:r>
        <w:rPr>
          <w:sz w:val="21"/>
        </w:rPr>
        <w:t>1850000.00</w:t>
      </w:r>
      <w:r>
        <w:rPr>
          <w:sz w:val="21"/>
        </w:rPr>
        <w:t>元</w:t>
      </w:r>
    </w:p>
    <w:p>
      <w:pPr>
        <w:jc w:val="both"/>
      </w:pPr>
      <w:r>
        <w:rPr>
          <w:sz w:val="21"/>
        </w:rPr>
        <w:t>6.</w:t>
      </w:r>
      <w:r>
        <w:rPr>
          <w:sz w:val="21"/>
        </w:rPr>
        <w:t>投标上限价：</w:t>
      </w:r>
      <w:r>
        <w:rPr>
          <w:sz w:val="21"/>
        </w:rPr>
        <w:t>1850000.00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p>
    <w:p>
      <w:pPr>
        <w:jc w:val="both"/>
      </w:pPr>
      <w:r>
        <w:rPr>
          <w:sz w:val="21"/>
        </w:rPr>
        <w:t>9.</w:t>
      </w:r>
      <w:r>
        <w:rPr>
          <w:sz w:val="21"/>
        </w:rPr>
        <w:t>本采购包不接受联合体投标。</w:t>
      </w:r>
    </w:p>
    <w:p>
      <w:pPr>
        <w:jc w:val="both"/>
      </w:pPr>
      <w:r>
        <w:rPr>
          <w:sz w:val="21"/>
        </w:rPr>
        <w:t>10.</w:t>
      </w:r>
      <w:r>
        <w:rPr>
          <w:sz w:val="21"/>
        </w:rPr>
        <w:t>中标人不得以任何方式转包本项目。</w:t>
      </w:r>
    </w:p>
    <w:p>
      <w:pPr>
        <w:jc w:val="both"/>
      </w:pPr>
      <w:r>
        <w:rPr>
          <w:sz w:val="21"/>
        </w:rPr>
        <w:t>11.</w:t>
      </w:r>
      <w:r>
        <w:rPr>
          <w:sz w:val="21"/>
        </w:rPr>
        <w:t>合同履行期限：签订合同后</w:t>
      </w:r>
      <w:r>
        <w:rPr>
          <w:sz w:val="21"/>
        </w:rPr>
        <w:t>45</w:t>
      </w:r>
      <w:r>
        <w:rPr>
          <w:sz w:val="21"/>
        </w:rPr>
        <w:t>天内完成所有采购货物的供货、安装、调试和验收，并交付给采购人正常使用。</w:t>
      </w:r>
    </w:p>
    <w:p>
      <w:pPr>
        <w:jc w:val="left"/>
      </w:pPr>
      <w:r>
        <w:rPr>
          <w:b/>
          <w:sz w:val="21"/>
        </w:rPr>
        <w:t>12.</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w:t>
      </w:r>
      <w:r>
        <w:rPr>
          <w:b/>
          <w:sz w:val="21"/>
        </w:rPr>
        <w:t>加注</w:t>
      </w:r>
      <w:r>
        <w:rPr>
          <w:b/>
          <w:sz w:val="21"/>
        </w:rPr>
        <w:t>“▲”</w:t>
      </w:r>
      <w:r>
        <w:rPr>
          <w:b/>
          <w:sz w:val="21"/>
        </w:rPr>
        <w:t>的内容为重点评标项目，投标人必须对该标识项目按照要求进行真实应答描述。</w:t>
      </w:r>
    </w:p>
    <w:p>
      <w:pPr>
        <w:jc w:val="left"/>
      </w:pPr>
      <w:r>
        <w:rPr>
          <w:b/>
          <w:sz w:val="21"/>
        </w:rPr>
        <w:t>13.</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14.</w:t>
      </w:r>
      <w:r>
        <w:rPr>
          <w:b/>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b/>
          <w:sz w:val="21"/>
        </w:rPr>
        <w:t>15.本项目星号条款汇总表</w:t>
      </w:r>
      <w:r>
        <w:rPr>
          <w:b/>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778"/>
        <w:gridCol w:w="2439"/>
        <w:gridCol w:w="5088"/>
      </w:tblGrid>
      <w:tr>
        <w:tc>
          <w:tcPr>
            <w:tcW w:type="dxa" w:w="77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439"/>
            <w:tcBorders>
              <w:top w:val="single" w:color="000000" w:sz="4"/>
              <w:left w:val="single" w:color="000000" w:sz="4"/>
              <w:bottom w:val="single" w:color="000000" w:sz="4"/>
              <w:right w:val="single" w:color="000000" w:sz="4"/>
            </w:tcBorders>
            <w:vAlign w:val="top"/>
          </w:tcPr>
          <w:p>
            <w:pPr>
              <w:jc w:val="center"/>
            </w:pPr>
            <w:r>
              <w:rPr>
                <w:sz w:val="21"/>
              </w:rPr>
              <w:t>所属部分</w:t>
            </w:r>
          </w:p>
        </w:tc>
        <w:tc>
          <w:tcPr>
            <w:tcW w:type="dxa" w:w="5088"/>
            <w:tcBorders>
              <w:top w:val="single" w:color="000000" w:sz="4"/>
              <w:left w:val="single" w:color="000000" w:sz="4"/>
              <w:bottom w:val="single" w:color="000000" w:sz="4"/>
              <w:right w:val="single" w:color="000000" w:sz="4"/>
            </w:tcBorders>
            <w:vAlign w:val="top"/>
          </w:tcPr>
          <w:p>
            <w:pPr>
              <w:jc w:val="center"/>
            </w:pPr>
            <w:r>
              <w:rPr>
                <w:sz w:val="21"/>
              </w:rPr>
              <w:t>内容</w:t>
            </w: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其他商务需求</w:t>
            </w:r>
          </w:p>
          <w:p>
            <w:pPr>
              <w:jc w:val="center"/>
            </w:pPr>
          </w:p>
        </w:tc>
        <w:tc>
          <w:tcPr>
            <w:tcW w:type="dxa" w:w="5088"/>
            <w:tcBorders>
              <w:top w:val="none" w:color="000000" w:sz="4"/>
              <w:left w:val="single" w:color="000000" w:sz="4"/>
              <w:bottom w:val="single" w:color="000000" w:sz="4"/>
              <w:right w:val="single" w:color="000000" w:sz="4"/>
            </w:tcBorders>
            <w:vAlign w:val="top"/>
          </w:tcPr>
          <w:p>
            <w:pPr>
              <w:jc w:val="both"/>
            </w:pPr>
            <w:r>
              <w:rPr>
                <w:sz w:val="21"/>
              </w:rPr>
              <w:t>★</w:t>
            </w:r>
            <w:r>
              <w:rPr>
                <w:sz w:val="21"/>
              </w:rPr>
              <w:t>1.</w:t>
            </w:r>
            <w:r>
              <w:rPr>
                <w:sz w:val="21"/>
              </w:rPr>
              <w:t>报价要求：</w:t>
            </w:r>
            <w:r>
              <w:rPr>
                <w:sz w:val="21"/>
              </w:rPr>
              <w:t>投标报价应包括标的设备（原装、全新合格的设备）、相关附件、配套设施、税费、运费、保险费、仓储费、原有设备拆除费、利旧设备和新购设备安装调试、培训、质保等的全部费用，投标报价以人民币为货币单位，单价、小计和总价应清楚表达。</w:t>
            </w: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其他商务需求</w:t>
            </w:r>
          </w:p>
          <w:p>
            <w:pPr>
              <w:jc w:val="center"/>
            </w:pPr>
          </w:p>
        </w:tc>
        <w:tc>
          <w:tcPr>
            <w:tcW w:type="dxa" w:w="5088"/>
            <w:tcBorders>
              <w:top w:val="none" w:color="000000" w:sz="4"/>
              <w:left w:val="single" w:color="000000" w:sz="4"/>
              <w:bottom w:val="single" w:color="000000" w:sz="4"/>
              <w:right w:val="single" w:color="000000" w:sz="4"/>
            </w:tcBorders>
            <w:vAlign w:val="top"/>
          </w:tcPr>
          <w:p>
            <w:pPr>
              <w:jc w:val="both"/>
            </w:pPr>
            <w:r>
              <w:rPr>
                <w:sz w:val="21"/>
              </w:rPr>
              <w:t>5.</w:t>
            </w:r>
            <w:r>
              <w:rPr>
                <w:sz w:val="21"/>
              </w:rPr>
              <w:t>售后服务及质量保证</w:t>
            </w:r>
            <w:r>
              <w:rPr>
                <w:sz w:val="21"/>
              </w:rPr>
              <w:t>：</w:t>
            </w:r>
          </w:p>
          <w:p>
            <w:pPr>
              <w:jc w:val="both"/>
            </w:pPr>
            <w:r>
              <w:rPr>
                <w:sz w:val="21"/>
              </w:rPr>
              <w:t>★5.1.</w:t>
            </w:r>
            <w:r>
              <w:rPr>
                <w:sz w:val="21"/>
              </w:rPr>
              <w:t>保修期内免费保修；</w:t>
            </w:r>
          </w:p>
          <w:p>
            <w:pPr>
              <w:jc w:val="both"/>
            </w:pPr>
            <w:r>
              <w:rPr>
                <w:sz w:val="21"/>
              </w:rPr>
              <w:t>★5.3.</w:t>
            </w:r>
            <w:r>
              <w:rPr>
                <w:sz w:val="21"/>
              </w:rPr>
              <w:t>若故障严重不能在现场处理需送到公司维修的，需提供备用设备；</w:t>
            </w:r>
          </w:p>
          <w:p>
            <w:pPr>
              <w:jc w:val="both"/>
            </w:pPr>
            <w:r>
              <w:rPr>
                <w:sz w:val="21"/>
              </w:rPr>
              <w:t>★5.4.</w:t>
            </w:r>
            <w:r>
              <w:rPr>
                <w:sz w:val="21"/>
              </w:rPr>
              <w:t>所有设备保修服务方式均为投标人或原厂家上门保修，即由投标人或原厂家派员到采购人设备使用现场维修，由此产生的一切费用均由投标人或原厂家承担；</w:t>
            </w:r>
          </w:p>
          <w:p>
            <w:pPr>
              <w:jc w:val="both"/>
            </w:pPr>
            <w:r>
              <w:rPr>
                <w:sz w:val="21"/>
              </w:rPr>
              <w:t xml:space="preserve"> </w:t>
            </w:r>
            <w:r>
              <w:rPr>
                <w:sz w:val="21"/>
              </w:rPr>
              <w:t>★5.5.</w:t>
            </w:r>
            <w:r>
              <w:rPr>
                <w:sz w:val="21"/>
              </w:rPr>
              <w:t>投标人必须提供目前市场上技术较先进、较成熟的原装、全新产品，并且符合国家以及该产品的出厂标准；</w:t>
            </w:r>
          </w:p>
          <w:p>
            <w:pPr>
              <w:jc w:val="both"/>
            </w:pPr>
            <w:r>
              <w:rPr>
                <w:sz w:val="21"/>
              </w:rPr>
              <w:t>★5.6.</w:t>
            </w:r>
            <w:r>
              <w:rPr>
                <w:sz w:val="21"/>
              </w:rPr>
              <w:t>本项目作为医院现有架构的扩展，项目建设必须兼容现有的设备及架构。</w:t>
            </w: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技术标准与要求</w:t>
            </w:r>
          </w:p>
          <w:p>
            <w:pPr>
              <w:jc w:val="center"/>
            </w:pPr>
            <w:r>
              <w:rPr>
                <w:sz w:val="21"/>
              </w:rPr>
              <w:t>附表一：服务器存储及相关配套设备</w:t>
            </w:r>
          </w:p>
        </w:tc>
        <w:tc>
          <w:tcPr>
            <w:tcW w:type="dxa" w:w="5088"/>
            <w:tcBorders>
              <w:top w:val="none" w:color="000000" w:sz="4"/>
              <w:left w:val="single" w:color="000000" w:sz="4"/>
              <w:bottom w:val="single" w:color="000000" w:sz="4"/>
              <w:right w:val="single" w:color="000000" w:sz="4"/>
            </w:tcBorders>
            <w:vAlign w:val="top"/>
          </w:tcPr>
          <w:p>
            <w:pPr>
              <w:jc w:val="both"/>
            </w:pPr>
            <w:r>
              <w:rPr>
                <w:b/>
                <w:sz w:val="21"/>
              </w:rPr>
              <w:t>1.</w:t>
            </w:r>
            <w:r>
              <w:rPr>
                <w:b/>
                <w:sz w:val="21"/>
              </w:rPr>
              <w:t>光纤交换机</w:t>
            </w:r>
            <w:r>
              <w:rPr>
                <w:b/>
                <w:sz w:val="21"/>
              </w:rPr>
              <w:t>：</w:t>
            </w:r>
          </w:p>
          <w:p>
            <w:pPr>
              <w:jc w:val="both"/>
            </w:pPr>
            <w:r>
              <w:rPr>
                <w:sz w:val="21"/>
              </w:rPr>
              <w:t>5.</w:t>
            </w:r>
            <w:r>
              <w:rPr>
                <w:sz w:val="21"/>
              </w:rPr>
              <w:t>服务配置：</w:t>
            </w:r>
            <w:r>
              <w:rPr>
                <w:sz w:val="21"/>
              </w:rPr>
              <w:t>★</w:t>
            </w:r>
            <w:r>
              <w:rPr>
                <w:sz w:val="21"/>
              </w:rPr>
              <w:t>需免费提供</w:t>
            </w:r>
            <w:r>
              <w:rPr>
                <w:sz w:val="21"/>
              </w:rPr>
              <w:t>≥3</w:t>
            </w:r>
            <w:r>
              <w:rPr>
                <w:sz w:val="21"/>
              </w:rPr>
              <w:t>年</w:t>
            </w:r>
            <w:r>
              <w:rPr>
                <w:sz w:val="21"/>
              </w:rPr>
              <w:t>7x24</w:t>
            </w:r>
            <w:r>
              <w:rPr>
                <w:sz w:val="21"/>
              </w:rPr>
              <w:t>原厂服务。</w:t>
            </w:r>
          </w:p>
          <w:p>
            <w:pPr>
              <w:jc w:val="both"/>
            </w:pP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技术标准与要求</w:t>
            </w:r>
          </w:p>
          <w:p>
            <w:pPr>
              <w:jc w:val="center"/>
            </w:pPr>
            <w:r>
              <w:rPr>
                <w:sz w:val="21"/>
              </w:rPr>
              <w:t>附表一：服务器存储及相关配套设备</w:t>
            </w:r>
          </w:p>
        </w:tc>
        <w:tc>
          <w:tcPr>
            <w:tcW w:type="dxa" w:w="5088"/>
            <w:tcBorders>
              <w:top w:val="none" w:color="000000" w:sz="4"/>
              <w:left w:val="single" w:color="000000" w:sz="4"/>
              <w:bottom w:val="single" w:color="000000" w:sz="4"/>
              <w:right w:val="single" w:color="000000" w:sz="4"/>
            </w:tcBorders>
            <w:vAlign w:val="top"/>
          </w:tcPr>
          <w:p>
            <w:pPr>
              <w:jc w:val="both"/>
            </w:pPr>
            <w:r>
              <w:rPr>
                <w:b/>
                <w:sz w:val="21"/>
              </w:rPr>
              <w:t>2.</w:t>
            </w:r>
            <w:r>
              <w:rPr>
                <w:b/>
                <w:sz w:val="21"/>
              </w:rPr>
              <w:t>交换机</w:t>
            </w:r>
          </w:p>
          <w:p>
            <w:pPr>
              <w:jc w:val="both"/>
            </w:pPr>
            <w:r>
              <w:rPr>
                <w:sz w:val="21"/>
              </w:rPr>
              <w:t>15.</w:t>
            </w:r>
            <w:r>
              <w:rPr>
                <w:sz w:val="21"/>
              </w:rPr>
              <w:t>服务配置：</w:t>
            </w:r>
            <w:r>
              <w:rPr>
                <w:sz w:val="21"/>
              </w:rPr>
              <w:t>★</w:t>
            </w:r>
            <w:r>
              <w:rPr>
                <w:sz w:val="21"/>
              </w:rPr>
              <w:t>需免费提供</w:t>
            </w:r>
            <w:r>
              <w:rPr>
                <w:sz w:val="21"/>
              </w:rPr>
              <w:t>≥3</w:t>
            </w:r>
            <w:r>
              <w:rPr>
                <w:sz w:val="21"/>
              </w:rPr>
              <w:t>年</w:t>
            </w:r>
            <w:r>
              <w:rPr>
                <w:sz w:val="21"/>
              </w:rPr>
              <w:t>7x24</w:t>
            </w:r>
            <w:r>
              <w:rPr>
                <w:sz w:val="21"/>
              </w:rPr>
              <w:t>原厂服务。</w:t>
            </w: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技术标准与要求</w:t>
            </w:r>
          </w:p>
          <w:p>
            <w:pPr>
              <w:jc w:val="center"/>
            </w:pPr>
            <w:r>
              <w:rPr>
                <w:sz w:val="21"/>
              </w:rPr>
              <w:t>附表一：服务器存储及相关配套设备</w:t>
            </w:r>
          </w:p>
        </w:tc>
        <w:tc>
          <w:tcPr>
            <w:tcW w:type="dxa" w:w="5088"/>
            <w:tcBorders>
              <w:top w:val="none" w:color="000000" w:sz="4"/>
              <w:left w:val="single" w:color="000000" w:sz="4"/>
              <w:bottom w:val="single" w:color="000000" w:sz="4"/>
              <w:right w:val="single" w:color="000000" w:sz="4"/>
            </w:tcBorders>
            <w:vAlign w:val="top"/>
          </w:tcPr>
          <w:p>
            <w:pPr>
              <w:jc w:val="both"/>
            </w:pPr>
            <w:r>
              <w:rPr>
                <w:b/>
                <w:sz w:val="21"/>
              </w:rPr>
              <w:t>3.</w:t>
            </w:r>
            <w:r>
              <w:rPr>
                <w:b/>
                <w:sz w:val="21"/>
              </w:rPr>
              <w:t>负载均衡器</w:t>
            </w:r>
          </w:p>
          <w:p>
            <w:pPr>
              <w:jc w:val="both"/>
            </w:pPr>
            <w:r>
              <w:rPr>
                <w:sz w:val="21"/>
              </w:rPr>
              <w:t>23.</w:t>
            </w:r>
            <w:r>
              <w:rPr>
                <w:sz w:val="21"/>
              </w:rPr>
              <w:t>服务要求</w:t>
            </w:r>
          </w:p>
          <w:p>
            <w:pPr>
              <w:jc w:val="both"/>
            </w:pPr>
            <w:r>
              <w:rPr>
                <w:sz w:val="21"/>
              </w:rPr>
              <w:t>★</w:t>
            </w:r>
            <w:r>
              <w:rPr>
                <w:sz w:val="21"/>
              </w:rPr>
              <w:t>23.2</w:t>
            </w:r>
            <w:r>
              <w:rPr>
                <w:sz w:val="21"/>
              </w:rPr>
              <w:t>原厂服务：要求提供≥三年原厂软件升级、故障修复，</w:t>
            </w:r>
            <w:r>
              <w:rPr>
                <w:sz w:val="21"/>
              </w:rPr>
              <w:t>5*8</w:t>
            </w:r>
            <w:r>
              <w:rPr>
                <w:sz w:val="21"/>
              </w:rPr>
              <w:t>小时的免费技术支持热线等服务。</w:t>
            </w:r>
          </w:p>
        </w:tc>
      </w:tr>
      <w:tr>
        <w:tc>
          <w:tcPr>
            <w:tcW w:type="dxa" w:w="77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439"/>
            <w:tcBorders>
              <w:top w:val="none" w:color="000000" w:sz="4"/>
              <w:left w:val="single" w:color="000000" w:sz="4"/>
              <w:bottom w:val="single" w:color="000000" w:sz="4"/>
              <w:right w:val="single" w:color="000000" w:sz="4"/>
            </w:tcBorders>
            <w:vAlign w:val="top"/>
          </w:tcPr>
          <w:p>
            <w:pPr>
              <w:jc w:val="center"/>
            </w:pPr>
            <w:r>
              <w:rPr>
                <w:sz w:val="21"/>
              </w:rPr>
              <w:t>技术标准与要求</w:t>
            </w:r>
          </w:p>
          <w:p>
            <w:pPr>
              <w:jc w:val="center"/>
            </w:pPr>
            <w:r>
              <w:rPr>
                <w:sz w:val="21"/>
              </w:rPr>
              <w:t>附表一：存储设备</w:t>
            </w:r>
          </w:p>
        </w:tc>
        <w:tc>
          <w:tcPr>
            <w:tcW w:type="dxa" w:w="5088"/>
            <w:tcBorders>
              <w:top w:val="none" w:color="000000" w:sz="4"/>
              <w:left w:val="single" w:color="000000" w:sz="4"/>
              <w:bottom w:val="single" w:color="000000" w:sz="4"/>
              <w:right w:val="single" w:color="000000" w:sz="4"/>
            </w:tcBorders>
            <w:vAlign w:val="top"/>
          </w:tcPr>
          <w:p>
            <w:pPr>
              <w:jc w:val="both"/>
            </w:pPr>
            <w:r>
              <w:rPr>
                <w:b/>
                <w:sz w:val="21"/>
              </w:rPr>
              <w:t>1.</w:t>
            </w:r>
            <w:r>
              <w:rPr>
                <w:b/>
                <w:sz w:val="21"/>
              </w:rPr>
              <w:t>存储设备</w:t>
            </w:r>
          </w:p>
          <w:p>
            <w:pPr>
              <w:jc w:val="both"/>
            </w:pPr>
            <w:r>
              <w:rPr>
                <w:sz w:val="21"/>
              </w:rPr>
              <w:t>16.</w:t>
            </w:r>
            <w:r>
              <w:rPr>
                <w:sz w:val="21"/>
              </w:rPr>
              <w:t>服务配置</w:t>
            </w:r>
            <w:r>
              <w:rPr>
                <w:sz w:val="21"/>
              </w:rPr>
              <w:t>：</w:t>
            </w:r>
            <w:r>
              <w:rPr>
                <w:sz w:val="21"/>
              </w:rPr>
              <w:t>★</w:t>
            </w:r>
            <w:r>
              <w:rPr>
                <w:sz w:val="21"/>
              </w:rPr>
              <w:t>需免费提供</w:t>
            </w:r>
            <w:r>
              <w:rPr>
                <w:sz w:val="21"/>
              </w:rPr>
              <w:t>≥5</w:t>
            </w:r>
            <w:r>
              <w:rPr>
                <w:sz w:val="21"/>
              </w:rPr>
              <w:t>年</w:t>
            </w:r>
            <w:r>
              <w:rPr>
                <w:sz w:val="21"/>
              </w:rPr>
              <w:t>7x24</w:t>
            </w:r>
            <w:r>
              <w:rPr>
                <w:sz w:val="21"/>
              </w:rPr>
              <w:t>原厂服务。</w:t>
            </w:r>
          </w:p>
        </w:tc>
      </w:tr>
    </w:tbl>
    <w:p>
      <w:pPr>
        <w:jc w:val="both"/>
      </w:pPr>
    </w:p>
    <w:p/>
    <w:p>
      <w:pPr>
        <w:ind w:firstLine="480"/>
      </w:pPr>
    </w:p>
    <w:p/>
    <w:p>
      <w:r>
        <w:rPr/>
        <w:t>采购包1（服务器存储及相关配套设备采购项目）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中标后30天内凭中标通知书签订合同，签订合同后45天内完成所有采购货物的供货、安装、调试和验收，并交付给采购人正常使用。</w:t>
            </w:r>
          </w:p>
        </w:tc>
      </w:tr>
      <w:tr>
        <w:tc>
          <w:tcPr>
            <w:tcW w:type="dxa" w:w="4153"/>
          </w:tcPr>
          <w:p>
            <w:r>
              <w:rPr/>
              <w:t>标的提供的地点</w:t>
            </w:r>
          </w:p>
        </w:tc>
        <w:tc>
          <w:tcPr>
            <w:tcW w:type="dxa" w:w="4153"/>
          </w:tcPr>
          <w:p/>
          <w:p>
            <w:r>
              <w:rPr/>
              <w:t>中山市博爱医院</w:t>
            </w:r>
          </w:p>
        </w:tc>
      </w:tr>
      <w:tr>
        <w:tc>
          <w:tcPr>
            <w:tcW w:type="dxa" w:w="4153"/>
          </w:tcPr>
          <w:p>
            <w:r>
              <w:rPr/>
              <w:t>付款方式</w:t>
            </w:r>
          </w:p>
        </w:tc>
        <w:tc>
          <w:tcPr>
            <w:tcW w:type="dxa" w:w="4153"/>
          </w:tcPr>
          <w:p/>
          <w:p/>
          <w:p>
            <w:r>
              <w:rPr/>
              <w:t>1期：支付比例40%,本项目的款项以人民币结算，合同设备到采购人指定地点交付，采购人收到中标人提交的付款申请资料后，一个月内支付合同总金额的40%。说明：采购人凭以下有效文件采用转账方式向中标人支付：(1) 中标通知书及合同；(2) 验收合格报告(加盖采购人公章)；(3) 中标人开具的当次应收款项等额正式发票。</w:t>
            </w:r>
          </w:p>
          <w:p/>
          <w:p>
            <w:r>
              <w:rPr/>
              <w:t>2期：支付比例60%,合同设备完成安装、调试，项目综合验收合格，采购人收到中标人提交的付款申请资料后，六个月内支付合同总金额的60%。说明：采购人凭以下有效文件采用转账方式向中标人支付：(1) 中标通知书及合同；(2) 验收合格报告(加盖采购人公章)；(3) 中标人开具的当次应收款项等额正式发票。</w:t>
            </w:r>
          </w:p>
        </w:tc>
      </w:tr>
      <w:tr>
        <w:tc>
          <w:tcPr>
            <w:tcW w:type="dxa" w:w="4153"/>
          </w:tcPr>
          <w:p>
            <w:r>
              <w:rPr/>
              <w:t>验收要求</w:t>
            </w:r>
          </w:p>
        </w:tc>
        <w:tc>
          <w:tcPr>
            <w:tcW w:type="dxa" w:w="4153"/>
          </w:tcPr>
          <w:p/>
          <w:p/>
          <w:p/>
          <w:p>
            <w:r>
              <w:rPr/>
              <w:t>1期：1.投标人应给出项目详细的验收方案，包括验收项目、验收标准，验收实施办法等；2.设备交货及安装完工后由中标人和采购人共同验收，并出具验收报告, 中标人须为验收提供必需的设备、工具及其他便利条件；3.验收由采购人、中标人及相关人员依国家有关标准、合同及有关附件要求进行； 4.验收完毕由采购人及中标人在验收报告上签名；5.中标人应于验收后向采购人提供验收报告、技术文档的归纳、整理、提交，并提供完整的技术文件；5.1.技术文件：包括验收报告、技术文档、完整的货物技术资料。</w:t>
            </w:r>
          </w:p>
        </w:tc>
      </w:tr>
      <w:tr>
        <w:tc>
          <w:tcPr>
            <w:tcW w:type="dxa" w:w="4153"/>
          </w:tcPr>
          <w:p>
            <w:r>
              <w:rPr/>
              <w:t>履约保证金</w:t>
            </w:r>
          </w:p>
        </w:tc>
        <w:tc>
          <w:tcPr>
            <w:tcW w:type="dxa" w:w="4153"/>
          </w:tcPr>
          <w:p/>
          <w:p/>
          <w:p/>
          <w:p/>
          <w:p>
            <w:r>
              <w:rPr/>
              <w:t>收取比例：5%,说明：采购人在支付最后一笔货款前10个工作日内需收到中标人成交总价5%的履约保证金；5年免费运维服务期满后，经考核合格，履约保证金于30个工作日内无息退还。</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应包括标的设备（原装、全新合格的设备）、相关附件、配套设施、税费、运费、保险费、仓储费、原有设备拆除费、利旧设备和新购设备安装调试、培训、质保等的全部费用，投标报价以人民币为货币单位，单价、小计和总价应清楚表达。</w:t>
            </w:r>
          </w:p>
        </w:tc>
      </w:tr>
      <w:tr>
        <w:tc>
          <w:tcPr>
            <w:tcW w:type="dxa" w:w="2076"/>
          </w:tcPr>
          <w:p>
            <w:pPr>
              <w:jc w:val="center"/>
            </w:pPr>
          </w:p>
        </w:tc>
        <w:tc>
          <w:tcPr>
            <w:tcW w:type="dxa" w:w="2076"/>
          </w:tcPr>
          <w:p>
            <w:pPr>
              <w:jc w:val="center"/>
            </w:pPr>
            <w:r>
              <w:rPr/>
              <w:t>2</w:t>
            </w:r>
          </w:p>
        </w:tc>
        <w:tc>
          <w:tcPr>
            <w:tcW w:type="dxa" w:w="2076"/>
          </w:tcPr>
          <w:p>
            <w:pPr>
              <w:jc w:val="left"/>
            </w:pPr>
            <w:r>
              <w:rPr/>
              <w:t>服务要求</w:t>
            </w:r>
          </w:p>
        </w:tc>
        <w:tc>
          <w:tcPr>
            <w:tcW w:type="dxa" w:w="2076"/>
          </w:tcPr>
          <w:p>
            <w:pPr>
              <w:jc w:val="left"/>
            </w:pPr>
            <w:r>
              <w:rPr/>
              <w:t>根据建设内容，投标人提供完整的实施计划、应急方案、售后服务、人员安排、质量保证及培训服务方案。</w:t>
            </w:r>
          </w:p>
        </w:tc>
      </w:tr>
      <w:tr>
        <w:tc>
          <w:tcPr>
            <w:tcW w:type="dxa" w:w="2076"/>
          </w:tcPr>
          <w:p>
            <w:pPr>
              <w:jc w:val="center"/>
            </w:pPr>
          </w:p>
        </w:tc>
        <w:tc>
          <w:tcPr>
            <w:tcW w:type="dxa" w:w="2076"/>
          </w:tcPr>
          <w:p>
            <w:pPr>
              <w:jc w:val="center"/>
            </w:pPr>
            <w:r>
              <w:rPr/>
              <w:t>3</w:t>
            </w:r>
          </w:p>
        </w:tc>
        <w:tc>
          <w:tcPr>
            <w:tcW w:type="dxa" w:w="2076"/>
          </w:tcPr>
          <w:p>
            <w:pPr>
              <w:jc w:val="left"/>
            </w:pPr>
            <w:r>
              <w:rPr/>
              <w:t>实施要求</w:t>
            </w:r>
          </w:p>
        </w:tc>
        <w:tc>
          <w:tcPr>
            <w:tcW w:type="dxa" w:w="2076"/>
          </w:tcPr>
          <w:p>
            <w:pPr>
              <w:jc w:val="left"/>
            </w:pPr>
            <w:r>
              <w:rPr/>
              <w:t>3.1.投标人必须提出对该项目建设进行科学严格的管理方案与措施，使项目有系统计划、有序组织、科学指导和有效控制，促进项目全面顺利实施。基于采购人实际情况进行方案设计以保障方案设计的合理性与可靠性。在实施计划的基础上，方案中应进一步明确和细化每个阶段的工作范围、内容、过程、责任、交付成果等； 3.2.中标人派出的安装人员应具备相关的专业知识、技术水平、相应资质和能力，熟悉本项目所述货物的规格、技术指标及调试技术，有足够能力安装、调试本项目的货物并使之达到本项目要求； 3.3.中标人、采购人应共同组建项目建设小组，总体人员配备方案科学、合理。投标人须明确本项目实施队伍的人员架构、数量、技术实力及职责分工，并保证人员的数量、质量和人员的稳定性、连续性。</w:t>
            </w:r>
          </w:p>
        </w:tc>
      </w:tr>
      <w:tr>
        <w:tc>
          <w:tcPr>
            <w:tcW w:type="dxa" w:w="2076"/>
          </w:tcPr>
          <w:p>
            <w:pPr>
              <w:jc w:val="center"/>
            </w:pPr>
          </w:p>
        </w:tc>
        <w:tc>
          <w:tcPr>
            <w:tcW w:type="dxa" w:w="2076"/>
          </w:tcPr>
          <w:p>
            <w:pPr>
              <w:jc w:val="center"/>
            </w:pPr>
            <w:r>
              <w:rPr/>
              <w:t>4</w:t>
            </w:r>
          </w:p>
        </w:tc>
        <w:tc>
          <w:tcPr>
            <w:tcW w:type="dxa" w:w="2076"/>
          </w:tcPr>
          <w:p>
            <w:pPr>
              <w:jc w:val="left"/>
            </w:pPr>
            <w:r>
              <w:rPr/>
              <w:t>安装要求</w:t>
            </w:r>
          </w:p>
        </w:tc>
        <w:tc>
          <w:tcPr>
            <w:tcW w:type="dxa" w:w="2076"/>
          </w:tcPr>
          <w:p>
            <w:pPr>
              <w:jc w:val="left"/>
            </w:pPr>
            <w:r>
              <w:rPr/>
              <w:t>4.1.中标人应提交详细安装进度表； 4.2.中标人负责到用户指定的地点进行原有设备的拆除移动、利旧设备和新购设备的安装、调试，并提供培训服务，对操作和管理人员进行培训； 4.3.中标人应设安装负责人，负责安装协调管理工作； 4.4.调试：按国家相关施工验收规范进行，分阶段进行调试； 4.5.货物的安装、调试等项工作由中标人负责，但必须在采购人指定人员的参与下进行。调试的原始记录须经各方签字后作为验收的文件之一。</w:t>
            </w:r>
          </w:p>
        </w:tc>
      </w:tr>
      <w:tr>
        <w:tc>
          <w:tcPr>
            <w:tcW w:type="dxa" w:w="2076"/>
          </w:tcPr>
          <w:p>
            <w:pPr>
              <w:jc w:val="center"/>
            </w:pPr>
          </w:p>
        </w:tc>
        <w:tc>
          <w:tcPr>
            <w:tcW w:type="dxa" w:w="2076"/>
          </w:tcPr>
          <w:p>
            <w:pPr>
              <w:jc w:val="center"/>
            </w:pPr>
            <w:r>
              <w:rPr/>
              <w:t>5</w:t>
            </w:r>
          </w:p>
        </w:tc>
        <w:tc>
          <w:tcPr>
            <w:tcW w:type="dxa" w:w="2076"/>
          </w:tcPr>
          <w:p>
            <w:pPr>
              <w:jc w:val="left"/>
            </w:pPr>
            <w:r>
              <w:rPr/>
              <w:t>售后服务及质量保证</w:t>
            </w:r>
          </w:p>
        </w:tc>
        <w:tc>
          <w:tcPr>
            <w:tcW w:type="dxa" w:w="2076"/>
          </w:tcPr>
          <w:p>
            <w:pPr>
              <w:jc w:val="left"/>
            </w:pPr>
            <w:r>
              <w:rPr/>
              <w:t>★5.1.保修期内免费保修； 5.2.中标人须在30分钟内对采购人提出的需求做出响应，中标人承诺在接到采购人的故障通知后2小时内到达现场，4小时内处理完毕； ★5.3.若故障严重不能在现场处理需送到公司维修的，需提供备用设备； ★5.4.所有设备保修服务方式均为投标人或原厂家上门保修，即由投标人或原厂家派员到采购人设备使用现场维修，由此产生的一切费用均由投标人或原厂家承担； ★5.5.投标人必须提供目前市场上技术较先进、较成熟的原装、全新产品，并且符合国家以及该产品的出厂标准； ★5.6.本项目作为医院现有架构的扩展，项目建设必须兼容现有的设备及架构。</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其他信息化设备</w:t>
            </w:r>
          </w:p>
        </w:tc>
        <w:tc>
          <w:tcPr>
            <w:tcW w:type="dxa" w:w="831"/>
          </w:tcPr>
          <w:p>
            <w:pPr>
              <w:jc w:val="left"/>
            </w:pPr>
            <w:r>
              <w:rPr/>
              <w:t>服务器存储及相关配套设备</w:t>
            </w:r>
          </w:p>
        </w:tc>
        <w:tc>
          <w:tcPr>
            <w:tcW w:type="dxa" w:w="831"/>
          </w:tcPr>
          <w:p>
            <w:pPr>
              <w:jc w:val="left"/>
            </w:pPr>
            <w:r>
              <w:rPr/>
              <w:t>批</w:t>
            </w:r>
          </w:p>
        </w:tc>
        <w:tc>
          <w:tcPr>
            <w:tcW w:type="dxa" w:w="831"/>
          </w:tcPr>
          <w:p>
            <w:pPr>
              <w:jc w:val="right"/>
            </w:pPr>
            <w:r>
              <w:rPr/>
              <w:t>1.00</w:t>
            </w:r>
          </w:p>
        </w:tc>
        <w:tc>
          <w:tcPr>
            <w:tcW w:type="dxa" w:w="831"/>
          </w:tcPr>
          <w:p>
            <w:pPr>
              <w:jc w:val="right"/>
            </w:pPr>
            <w:r>
              <w:rPr/>
              <w:t>1,850,000.00</w:t>
            </w:r>
          </w:p>
        </w:tc>
        <w:tc>
          <w:tcPr>
            <w:tcW w:type="dxa" w:w="831"/>
          </w:tcPr>
          <w:p>
            <w:pPr>
              <w:jc w:val="right"/>
            </w:pPr>
            <w:r>
              <w:rPr/>
              <w:t>1,850,000.00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其他信息化设备</w:t>
            </w:r>
          </w:p>
        </w:tc>
        <w:tc>
          <w:tcPr>
            <w:tcW w:type="dxa" w:w="831"/>
          </w:tcPr>
          <w:p>
            <w:pPr>
              <w:jc w:val="left"/>
            </w:pPr>
            <w:r>
              <w:rPr/>
              <w:t>存储设备</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bl>
    <w:p/>
    <w:p>
      <w:r>
        <w:rPr>
          <w:b/>
        </w:rPr>
        <w:t>附表</w:t>
      </w:r>
      <w:r>
        <w:rPr>
          <w:b/>
        </w:rPr>
        <w:t>一</w:t>
      </w:r>
      <w:r>
        <w:rPr>
          <w:b/>
        </w:rPr>
        <w:t>：</w:t>
      </w:r>
      <w:r>
        <w:rPr>
          <w:b/>
        </w:rPr>
        <w:t>服务器存储及相关配套设备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b/>
                <w:sz w:val="21"/>
              </w:rPr>
              <w:t>1</w:t>
            </w:r>
            <w:r>
              <w:rPr>
                <w:b/>
                <w:sz w:val="21"/>
              </w:rPr>
              <w:t>.</w:t>
            </w:r>
            <w:r>
              <w:rPr>
                <w:b/>
                <w:sz w:val="21"/>
              </w:rPr>
              <w:t>光纤交换机</w:t>
            </w:r>
          </w:p>
          <w:tbl>
            <w:tblPr>
              <w:tblInd w:type="dxa" w:w="105"/>
              <w:tblBorders>
                <w:top w:val="none" w:color="000000" w:sz="4"/>
                <w:left w:val="none" w:color="000000" w:sz="4"/>
                <w:bottom w:val="none" w:color="000000" w:sz="4"/>
                <w:right w:val="none" w:color="000000" w:sz="4"/>
                <w:insideH w:val="none"/>
                <w:insideV w:val="none"/>
              </w:tblBorders>
            </w:tblPr>
            <w:tblGrid>
              <w:gridCol w:w="349"/>
              <w:gridCol w:w="781"/>
              <w:gridCol w:w="4468"/>
            </w:tblGrid>
            <w:tr>
              <w:tc>
                <w:tcPr>
                  <w:tcW w:type="dxa" w:w="349"/>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781"/>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68"/>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81"/>
                  <w:tcBorders>
                    <w:top w:val="none" w:color="000000" w:sz="4"/>
                    <w:left w:val="none" w:color="000000" w:sz="4"/>
                    <w:bottom w:val="single" w:color="000000" w:sz="4"/>
                    <w:right w:val="single" w:color="000000" w:sz="4"/>
                  </w:tcBorders>
                  <w:vAlign w:val="top"/>
                </w:tcPr>
                <w:p>
                  <w:pPr>
                    <w:jc w:val="center"/>
                  </w:pPr>
                  <w:r>
                    <w:rPr>
                      <w:sz w:val="21"/>
                    </w:rPr>
                    <w:t>品牌要求</w:t>
                  </w:r>
                </w:p>
              </w:tc>
              <w:tc>
                <w:tcPr>
                  <w:tcW w:type="dxa" w:w="4468"/>
                  <w:tcBorders>
                    <w:top w:val="none" w:color="000000" w:sz="4"/>
                    <w:left w:val="none" w:color="000000" w:sz="4"/>
                    <w:bottom w:val="single" w:color="000000" w:sz="4"/>
                    <w:right w:val="single" w:color="000000" w:sz="4"/>
                  </w:tcBorders>
                  <w:vAlign w:val="top"/>
                </w:tcPr>
                <w:p>
                  <w:pPr>
                    <w:jc w:val="both"/>
                  </w:pPr>
                  <w:r>
                    <w:rPr>
                      <w:sz w:val="21"/>
                    </w:rPr>
                    <w:t>需与磁盘阵列为同一品牌。</w:t>
                  </w:r>
                </w:p>
              </w:tc>
            </w:tr>
            <w:tr>
              <w:tc>
                <w:tcPr>
                  <w:tcW w:type="dxa" w:w="349"/>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81"/>
                  <w:vMerge w:val="restart"/>
                  <w:tcBorders>
                    <w:top w:val="none" w:color="000000" w:sz="4"/>
                    <w:left w:val="none" w:color="000000" w:sz="4"/>
                    <w:bottom w:val="single" w:color="000000" w:sz="4"/>
                    <w:right w:val="single" w:color="000000" w:sz="4"/>
                  </w:tcBorders>
                  <w:vAlign w:val="top"/>
                </w:tcPr>
                <w:p>
                  <w:pPr>
                    <w:jc w:val="center"/>
                  </w:pPr>
                  <w:r>
                    <w:rPr>
                      <w:sz w:val="21"/>
                    </w:rPr>
                    <w:t>配置要求</w:t>
                  </w:r>
                </w:p>
              </w:tc>
              <w:tc>
                <w:tcPr>
                  <w:tcW w:type="dxa" w:w="4468"/>
                  <w:tcBorders>
                    <w:top w:val="none" w:color="000000" w:sz="4"/>
                    <w:left w:val="none" w:color="000000" w:sz="4"/>
                    <w:bottom w:val="single" w:color="000000" w:sz="4"/>
                    <w:right w:val="single" w:color="000000" w:sz="4"/>
                  </w:tcBorders>
                  <w:vAlign w:val="top"/>
                </w:tcPr>
                <w:p>
                  <w:pPr>
                    <w:jc w:val="both"/>
                  </w:pPr>
                  <w:r>
                    <w:rPr>
                      <w:sz w:val="21"/>
                    </w:rPr>
                    <w:t>2.1.支持FC 32Gb/s、16Gb/s、8Gb/s、4Gb/s自适应传输速率；</w:t>
                  </w:r>
                </w:p>
              </w:tc>
            </w:tr>
            <w:tr>
              <w:tc>
                <w:tcPr>
                  <w:tcW w:type="dxa" w:w="349"/>
                  <w:vMerge/>
                  <w:tcBorders>
                    <w:top w:val="none" w:color="000000" w:sz="4"/>
                    <w:left w:val="single" w:color="000000" w:sz="4"/>
                    <w:bottom w:val="single" w:color="000000" w:sz="4"/>
                    <w:right w:val="single" w:color="000000" w:sz="4"/>
                  </w:tcBorders>
                </w:tcPr>
                <w:p/>
              </w:tc>
              <w:tc>
                <w:tcPr>
                  <w:tcW w:type="dxa" w:w="781"/>
                  <w:vMerge/>
                  <w:tcBorders>
                    <w:top w:val="none" w:color="000000" w:sz="4"/>
                    <w:left w:val="none" w:color="000000" w:sz="4"/>
                    <w:bottom w:val="single" w:color="000000" w:sz="4"/>
                    <w:right w:val="single" w:color="000000" w:sz="4"/>
                  </w:tcBorders>
                </w:tcPr>
                <w:p/>
              </w:tc>
              <w:tc>
                <w:tcPr>
                  <w:tcW w:type="dxa" w:w="4468"/>
                  <w:tcBorders>
                    <w:top w:val="none" w:color="000000" w:sz="4"/>
                    <w:left w:val="none" w:color="000000" w:sz="4"/>
                    <w:bottom w:val="single" w:color="000000" w:sz="4"/>
                    <w:right w:val="single" w:color="000000" w:sz="4"/>
                  </w:tcBorders>
                  <w:vAlign w:val="top"/>
                </w:tcPr>
                <w:p>
                  <w:pPr>
                    <w:jc w:val="both"/>
                  </w:pPr>
                  <w:r>
                    <w:rPr>
                      <w:sz w:val="21"/>
                    </w:rPr>
                    <w:t>2.2.最大可扩展端口≥24，配置≥16个激活端口；</w:t>
                  </w:r>
                </w:p>
              </w:tc>
            </w:tr>
            <w:tr>
              <w:tc>
                <w:tcPr>
                  <w:tcW w:type="dxa" w:w="349"/>
                  <w:vMerge/>
                  <w:tcBorders>
                    <w:top w:val="none" w:color="000000" w:sz="4"/>
                    <w:left w:val="single" w:color="000000" w:sz="4"/>
                    <w:bottom w:val="single" w:color="000000" w:sz="4"/>
                    <w:right w:val="single" w:color="000000" w:sz="4"/>
                  </w:tcBorders>
                </w:tcPr>
                <w:p/>
              </w:tc>
              <w:tc>
                <w:tcPr>
                  <w:tcW w:type="dxa" w:w="781"/>
                  <w:vMerge/>
                  <w:tcBorders>
                    <w:top w:val="none" w:color="000000" w:sz="4"/>
                    <w:left w:val="none" w:color="000000" w:sz="4"/>
                    <w:bottom w:val="single" w:color="000000" w:sz="4"/>
                    <w:right w:val="single" w:color="000000" w:sz="4"/>
                  </w:tcBorders>
                </w:tcPr>
                <w:p/>
              </w:tc>
              <w:tc>
                <w:tcPr>
                  <w:tcW w:type="dxa" w:w="4468"/>
                  <w:tcBorders>
                    <w:top w:val="none" w:color="000000" w:sz="4"/>
                    <w:left w:val="none" w:color="000000" w:sz="4"/>
                    <w:bottom w:val="single" w:color="000000" w:sz="4"/>
                    <w:right w:val="single" w:color="000000" w:sz="4"/>
                  </w:tcBorders>
                  <w:vAlign w:val="top"/>
                </w:tcPr>
                <w:p>
                  <w:pPr>
                    <w:jc w:val="both"/>
                  </w:pPr>
                  <w:r>
                    <w:rPr>
                      <w:sz w:val="21"/>
                    </w:rPr>
                    <w:t>2.3.最大总带宽≥768 Gb/s；</w:t>
                  </w:r>
                </w:p>
              </w:tc>
            </w:tr>
            <w:tr>
              <w:tc>
                <w:tcPr>
                  <w:tcW w:type="dxa" w:w="349"/>
                  <w:vMerge/>
                  <w:tcBorders>
                    <w:top w:val="none" w:color="000000" w:sz="4"/>
                    <w:left w:val="single" w:color="000000" w:sz="4"/>
                    <w:bottom w:val="single" w:color="000000" w:sz="4"/>
                    <w:right w:val="single" w:color="000000" w:sz="4"/>
                  </w:tcBorders>
                </w:tcPr>
                <w:p/>
              </w:tc>
              <w:tc>
                <w:tcPr>
                  <w:tcW w:type="dxa" w:w="781"/>
                  <w:vMerge/>
                  <w:tcBorders>
                    <w:top w:val="none" w:color="000000" w:sz="4"/>
                    <w:left w:val="none" w:color="000000" w:sz="4"/>
                    <w:bottom w:val="single" w:color="000000" w:sz="4"/>
                    <w:right w:val="single" w:color="000000" w:sz="4"/>
                  </w:tcBorders>
                </w:tcPr>
                <w:p/>
              </w:tc>
              <w:tc>
                <w:tcPr>
                  <w:tcW w:type="dxa" w:w="4468"/>
                  <w:tcBorders>
                    <w:top w:val="none" w:color="000000" w:sz="4"/>
                    <w:left w:val="none" w:color="000000" w:sz="4"/>
                    <w:bottom w:val="single" w:color="000000" w:sz="4"/>
                    <w:right w:val="single" w:color="000000" w:sz="4"/>
                  </w:tcBorders>
                  <w:vAlign w:val="top"/>
                </w:tcPr>
                <w:p>
                  <w:pPr>
                    <w:jc w:val="both"/>
                  </w:pPr>
                  <w:r>
                    <w:rPr>
                      <w:sz w:val="21"/>
                    </w:rPr>
                    <w:t>2.4.配置≥16个16G光模块；</w:t>
                  </w:r>
                </w:p>
              </w:tc>
            </w:tr>
            <w:tr>
              <w:tc>
                <w:tcPr>
                  <w:tcW w:type="dxa" w:w="349"/>
                  <w:vMerge/>
                  <w:tcBorders>
                    <w:top w:val="none" w:color="000000" w:sz="4"/>
                    <w:left w:val="single" w:color="000000" w:sz="4"/>
                    <w:bottom w:val="single" w:color="000000" w:sz="4"/>
                    <w:right w:val="single" w:color="000000" w:sz="4"/>
                  </w:tcBorders>
                </w:tcPr>
                <w:p/>
              </w:tc>
              <w:tc>
                <w:tcPr>
                  <w:tcW w:type="dxa" w:w="781"/>
                  <w:vMerge/>
                  <w:tcBorders>
                    <w:top w:val="none" w:color="000000" w:sz="4"/>
                    <w:left w:val="none" w:color="000000" w:sz="4"/>
                    <w:bottom w:val="single" w:color="000000" w:sz="4"/>
                    <w:right w:val="single" w:color="000000" w:sz="4"/>
                  </w:tcBorders>
                </w:tcPr>
                <w:p/>
              </w:tc>
              <w:tc>
                <w:tcPr>
                  <w:tcW w:type="dxa" w:w="4468"/>
                  <w:tcBorders>
                    <w:top w:val="none" w:color="000000" w:sz="4"/>
                    <w:left w:val="none" w:color="000000" w:sz="4"/>
                    <w:bottom w:val="single" w:color="000000" w:sz="4"/>
                    <w:right w:val="single" w:color="000000" w:sz="4"/>
                  </w:tcBorders>
                  <w:vAlign w:val="top"/>
                </w:tcPr>
                <w:p>
                  <w:pPr>
                    <w:jc w:val="both"/>
                  </w:pPr>
                  <w:r>
                    <w:rPr>
                      <w:sz w:val="21"/>
                    </w:rPr>
                    <w:t>2.5.配置单电源。</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81"/>
                  <w:tcBorders>
                    <w:top w:val="none" w:color="000000" w:sz="4"/>
                    <w:left w:val="none" w:color="000000" w:sz="4"/>
                    <w:bottom w:val="single" w:color="000000" w:sz="4"/>
                    <w:right w:val="single" w:color="000000" w:sz="4"/>
                  </w:tcBorders>
                  <w:vAlign w:val="top"/>
                </w:tcPr>
                <w:p>
                  <w:pPr>
                    <w:jc w:val="center"/>
                  </w:pPr>
                  <w:r>
                    <w:rPr>
                      <w:sz w:val="21"/>
                    </w:rPr>
                    <w:t>端口类型</w:t>
                  </w:r>
                </w:p>
              </w:tc>
              <w:tc>
                <w:tcPr>
                  <w:tcW w:type="dxa" w:w="4468"/>
                  <w:tcBorders>
                    <w:top w:val="none" w:color="000000" w:sz="4"/>
                    <w:left w:val="none" w:color="000000" w:sz="4"/>
                    <w:bottom w:val="single" w:color="000000" w:sz="4"/>
                    <w:right w:val="single" w:color="000000" w:sz="4"/>
                  </w:tcBorders>
                  <w:vAlign w:val="top"/>
                </w:tcPr>
                <w:p>
                  <w:pPr>
                    <w:jc w:val="both"/>
                  </w:pPr>
                  <w:r>
                    <w:rPr>
                      <w:sz w:val="21"/>
                    </w:rPr>
                    <w:t>同时支持</w:t>
                  </w:r>
                  <w:r>
                    <w:rPr>
                      <w:sz w:val="21"/>
                    </w:rPr>
                    <w:t>F/E/M/D/EX等端口类型。</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81"/>
                  <w:tcBorders>
                    <w:top w:val="none" w:color="000000" w:sz="4"/>
                    <w:left w:val="none" w:color="000000" w:sz="4"/>
                    <w:bottom w:val="single" w:color="000000" w:sz="4"/>
                    <w:right w:val="single" w:color="000000" w:sz="4"/>
                  </w:tcBorders>
                  <w:vAlign w:val="top"/>
                </w:tcPr>
                <w:p>
                  <w:pPr>
                    <w:jc w:val="center"/>
                  </w:pPr>
                  <w:r>
                    <w:rPr>
                      <w:sz w:val="21"/>
                    </w:rPr>
                    <w:t>链路捆绑</w:t>
                  </w:r>
                </w:p>
              </w:tc>
              <w:tc>
                <w:tcPr>
                  <w:tcW w:type="dxa" w:w="4468"/>
                  <w:tcBorders>
                    <w:top w:val="none" w:color="000000" w:sz="4"/>
                    <w:left w:val="none" w:color="000000" w:sz="4"/>
                    <w:bottom w:val="single" w:color="000000" w:sz="4"/>
                    <w:right w:val="single" w:color="000000" w:sz="4"/>
                  </w:tcBorders>
                  <w:vAlign w:val="top"/>
                </w:tcPr>
                <w:p>
                  <w:pPr>
                    <w:jc w:val="both"/>
                  </w:pPr>
                  <w:r>
                    <w:rPr>
                      <w:sz w:val="21"/>
                    </w:rPr>
                    <w:t>支持基于数据帧级的</w:t>
                  </w:r>
                  <w:r>
                    <w:rPr>
                      <w:sz w:val="21"/>
                    </w:rPr>
                    <w:t>“即插即用”的链路捆绑功能，单个链路聚合带宽≥256G。</w:t>
                  </w:r>
                </w:p>
              </w:tc>
            </w:tr>
            <w:tr>
              <w:tc>
                <w:tcPr>
                  <w:tcW w:type="dxa" w:w="349"/>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781"/>
                  <w:tcBorders>
                    <w:top w:val="none" w:color="000000" w:sz="4"/>
                    <w:left w:val="none" w:color="000000" w:sz="4"/>
                    <w:bottom w:val="single" w:color="000000" w:sz="4"/>
                    <w:right w:val="single" w:color="000000" w:sz="4"/>
                  </w:tcBorders>
                  <w:vAlign w:val="top"/>
                </w:tcPr>
                <w:p>
                  <w:pPr>
                    <w:jc w:val="center"/>
                  </w:pPr>
                  <w:r>
                    <w:rPr>
                      <w:b/>
                      <w:sz w:val="21"/>
                    </w:rPr>
                    <w:t>服务配置</w:t>
                  </w:r>
                </w:p>
              </w:tc>
              <w:tc>
                <w:tcPr>
                  <w:tcW w:type="dxa" w:w="4468"/>
                  <w:tcBorders>
                    <w:top w:val="none" w:color="000000" w:sz="4"/>
                    <w:left w:val="none" w:color="000000" w:sz="4"/>
                    <w:bottom w:val="single" w:color="000000" w:sz="4"/>
                    <w:right w:val="single" w:color="000000" w:sz="4"/>
                  </w:tcBorders>
                  <w:vAlign w:val="top"/>
                </w:tcPr>
                <w:p>
                  <w:pPr>
                    <w:jc w:val="both"/>
                  </w:pPr>
                  <w:r>
                    <w:rPr>
                      <w:b/>
                      <w:sz w:val="21"/>
                    </w:rPr>
                    <w:t>★</w:t>
                  </w:r>
                  <w:r>
                    <w:rPr>
                      <w:b/>
                      <w:sz w:val="21"/>
                    </w:rPr>
                    <w:t>需免费提供</w:t>
                  </w:r>
                  <w:r>
                    <w:rPr>
                      <w:b/>
                      <w:sz w:val="21"/>
                    </w:rPr>
                    <w:t>≥3年7x24原厂服务。</w:t>
                  </w:r>
                </w:p>
              </w:tc>
            </w:tr>
          </w:tbl>
          <w:p>
            <w:pPr>
              <w:jc w:val="both"/>
            </w:pPr>
          </w:p>
          <w:p>
            <w:pPr>
              <w:jc w:val="both"/>
            </w:pPr>
            <w:r>
              <w:rPr>
                <w:b/>
                <w:sz w:val="21"/>
              </w:rPr>
              <w:t>2</w:t>
            </w:r>
            <w:r>
              <w:rPr>
                <w:b/>
                <w:sz w:val="21"/>
              </w:rPr>
              <w:t>.</w:t>
            </w:r>
            <w:r>
              <w:rPr>
                <w:b/>
                <w:sz w:val="21"/>
              </w:rPr>
              <w:t>交换机</w:t>
            </w:r>
          </w:p>
          <w:tbl>
            <w:tblPr>
              <w:tblInd w:type="dxa" w:w="105"/>
              <w:tblBorders>
                <w:top w:val="none" w:color="000000" w:sz="4"/>
                <w:left w:val="none" w:color="000000" w:sz="4"/>
                <w:bottom w:val="none" w:color="000000" w:sz="4"/>
                <w:right w:val="none" w:color="000000" w:sz="4"/>
                <w:insideH w:val="none"/>
                <w:insideV w:val="none"/>
              </w:tblBorders>
            </w:tblPr>
            <w:tblGrid>
              <w:gridCol w:w="350"/>
              <w:gridCol w:w="792"/>
              <w:gridCol w:w="4456"/>
            </w:tblGrid>
            <w:tr>
              <w:tc>
                <w:tcPr>
                  <w:tcW w:type="dxa" w:w="350"/>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792"/>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56"/>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2"/>
                  <w:tcBorders>
                    <w:top w:val="none" w:color="000000" w:sz="4"/>
                    <w:left w:val="none" w:color="000000" w:sz="4"/>
                    <w:bottom w:val="single" w:color="000000" w:sz="4"/>
                    <w:right w:val="single" w:color="000000" w:sz="4"/>
                  </w:tcBorders>
                  <w:vAlign w:val="top"/>
                </w:tcPr>
                <w:p>
                  <w:pPr>
                    <w:jc w:val="center"/>
                  </w:pPr>
                  <w:r>
                    <w:rPr>
                      <w:sz w:val="21"/>
                    </w:rPr>
                    <w:t>性能参数</w:t>
                  </w:r>
                </w:p>
              </w:tc>
              <w:tc>
                <w:tcPr>
                  <w:tcW w:type="dxa" w:w="4456"/>
                  <w:tcBorders>
                    <w:top w:val="none" w:color="000000" w:sz="4"/>
                    <w:left w:val="none" w:color="000000" w:sz="4"/>
                    <w:bottom w:val="single" w:color="000000" w:sz="4"/>
                    <w:right w:val="single" w:color="000000" w:sz="4"/>
                  </w:tcBorders>
                  <w:vAlign w:val="top"/>
                </w:tcPr>
                <w:p>
                  <w:pPr>
                    <w:jc w:val="both"/>
                  </w:pPr>
                  <w:r>
                    <w:rPr>
                      <w:sz w:val="21"/>
                    </w:rPr>
                    <w:t>交换容量</w:t>
                  </w:r>
                  <w:r>
                    <w:rPr>
                      <w:sz w:val="21"/>
                    </w:rPr>
                    <w:t>≥2.56Tbps，包转发率≥1620Mpps。</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92"/>
                  <w:tcBorders>
                    <w:top w:val="none" w:color="000000" w:sz="4"/>
                    <w:left w:val="none" w:color="000000" w:sz="4"/>
                    <w:bottom w:val="single" w:color="000000" w:sz="4"/>
                    <w:right w:val="single" w:color="000000" w:sz="4"/>
                  </w:tcBorders>
                  <w:vAlign w:val="top"/>
                </w:tcPr>
                <w:p>
                  <w:pPr>
                    <w:jc w:val="center"/>
                  </w:pPr>
                  <w:r>
                    <w:rPr>
                      <w:sz w:val="21"/>
                    </w:rPr>
                    <w:t>电源风扇</w:t>
                  </w:r>
                </w:p>
              </w:tc>
              <w:tc>
                <w:tcPr>
                  <w:tcW w:type="dxa" w:w="4456"/>
                  <w:tcBorders>
                    <w:top w:val="none" w:color="000000" w:sz="4"/>
                    <w:left w:val="none" w:color="000000" w:sz="4"/>
                    <w:bottom w:val="single" w:color="000000" w:sz="4"/>
                    <w:right w:val="single" w:color="000000" w:sz="4"/>
                  </w:tcBorders>
                  <w:vAlign w:val="top"/>
                </w:tcPr>
                <w:p>
                  <w:pPr>
                    <w:jc w:val="both"/>
                  </w:pPr>
                  <w:r>
                    <w:rPr>
                      <w:sz w:val="21"/>
                    </w:rPr>
                    <w:t>支持模块化双电源，支持前后、后前风道。</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92"/>
                  <w:tcBorders>
                    <w:top w:val="none" w:color="000000" w:sz="4"/>
                    <w:left w:val="none" w:color="000000" w:sz="4"/>
                    <w:bottom w:val="single" w:color="000000" w:sz="4"/>
                    <w:right w:val="single" w:color="000000" w:sz="4"/>
                  </w:tcBorders>
                  <w:vAlign w:val="top"/>
                </w:tcPr>
                <w:p>
                  <w:pPr>
                    <w:jc w:val="center"/>
                  </w:pPr>
                  <w:r>
                    <w:rPr>
                      <w:sz w:val="21"/>
                    </w:rPr>
                    <w:t>接口类型</w:t>
                  </w:r>
                </w:p>
              </w:tc>
              <w:tc>
                <w:tcPr>
                  <w:tcW w:type="dxa" w:w="4456"/>
                  <w:tcBorders>
                    <w:top w:val="none" w:color="000000" w:sz="4"/>
                    <w:left w:val="none" w:color="000000" w:sz="4"/>
                    <w:bottom w:val="single" w:color="000000" w:sz="4"/>
                    <w:right w:val="single" w:color="000000" w:sz="4"/>
                  </w:tcBorders>
                  <w:vAlign w:val="top"/>
                </w:tcPr>
                <w:p>
                  <w:pPr>
                    <w:jc w:val="both"/>
                  </w:pPr>
                  <w:r>
                    <w:rPr>
                      <w:sz w:val="21"/>
                    </w:rPr>
                    <w:t>提供</w:t>
                  </w:r>
                  <w:r>
                    <w:rPr>
                      <w:sz w:val="21"/>
                    </w:rPr>
                    <w:t>≥48个万兆光口，≥2个QSFP+光口，配置22个万兆多模模块。</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92"/>
                  <w:tcBorders>
                    <w:top w:val="none" w:color="000000" w:sz="4"/>
                    <w:left w:val="none" w:color="000000" w:sz="4"/>
                    <w:bottom w:val="single" w:color="000000" w:sz="4"/>
                    <w:right w:val="single" w:color="000000" w:sz="4"/>
                  </w:tcBorders>
                  <w:vAlign w:val="top"/>
                </w:tcPr>
                <w:p>
                  <w:pPr>
                    <w:jc w:val="center"/>
                  </w:pPr>
                  <w:r>
                    <w:rPr>
                      <w:sz w:val="21"/>
                    </w:rPr>
                    <w:t>扩展插槽数</w:t>
                  </w:r>
                </w:p>
              </w:tc>
              <w:tc>
                <w:tcPr>
                  <w:tcW w:type="dxa" w:w="4456"/>
                  <w:tcBorders>
                    <w:top w:val="none" w:color="000000" w:sz="4"/>
                    <w:left w:val="none" w:color="000000" w:sz="4"/>
                    <w:bottom w:val="single" w:color="000000" w:sz="4"/>
                    <w:right w:val="single" w:color="000000" w:sz="4"/>
                  </w:tcBorders>
                  <w:vAlign w:val="top"/>
                </w:tcPr>
                <w:p>
                  <w:pPr>
                    <w:jc w:val="both"/>
                  </w:pPr>
                  <w:r>
                    <w:rPr>
                      <w:sz w:val="21"/>
                    </w:rPr>
                    <w:t>▲</w:t>
                  </w:r>
                  <w:r>
                    <w:rPr>
                      <w:sz w:val="21"/>
                    </w:rPr>
                    <w:t>扩展插槽</w:t>
                  </w:r>
                  <w:r>
                    <w:rPr>
                      <w:sz w:val="21"/>
                    </w:rPr>
                    <w:t>≥2，可支持端口插卡扩展</w:t>
                  </w:r>
                  <w:r>
                    <w:rPr>
                      <w:sz w:val="21"/>
                    </w:rPr>
                    <w:t>。</w:t>
                  </w:r>
                  <w:r>
                    <w:rPr>
                      <w:b/>
                      <w:sz w:val="21"/>
                    </w:rPr>
                    <w:t>需提供相关证明材料复印件加盖公章。</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92"/>
                  <w:tcBorders>
                    <w:top w:val="none" w:color="000000" w:sz="4"/>
                    <w:left w:val="none" w:color="000000" w:sz="4"/>
                    <w:bottom w:val="single" w:color="000000" w:sz="4"/>
                    <w:right w:val="single" w:color="000000" w:sz="4"/>
                  </w:tcBorders>
                  <w:vAlign w:val="top"/>
                </w:tcPr>
                <w:p>
                  <w:pPr>
                    <w:jc w:val="center"/>
                  </w:pPr>
                  <w:r>
                    <w:rPr>
                      <w:sz w:val="21"/>
                    </w:rPr>
                    <w:t>网管平台</w:t>
                  </w:r>
                </w:p>
              </w:tc>
              <w:tc>
                <w:tcPr>
                  <w:tcW w:type="dxa" w:w="4456"/>
                  <w:tcBorders>
                    <w:top w:val="none" w:color="000000" w:sz="4"/>
                    <w:left w:val="none" w:color="000000" w:sz="4"/>
                    <w:bottom w:val="single" w:color="000000" w:sz="4"/>
                    <w:right w:val="single" w:color="000000" w:sz="4"/>
                  </w:tcBorders>
                  <w:vAlign w:val="top"/>
                </w:tcPr>
                <w:p>
                  <w:pPr>
                    <w:jc w:val="both"/>
                  </w:pPr>
                  <w:r>
                    <w:rPr>
                      <w:sz w:val="21"/>
                    </w:rPr>
                    <w:t>内置免费的网管软件，可作为网管平台的管理设备，对整网进行统一管理。</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92"/>
                  <w:tcBorders>
                    <w:top w:val="none" w:color="000000" w:sz="4"/>
                    <w:left w:val="none" w:color="000000" w:sz="4"/>
                    <w:bottom w:val="single" w:color="000000" w:sz="4"/>
                    <w:right w:val="single" w:color="000000" w:sz="4"/>
                  </w:tcBorders>
                  <w:vAlign w:val="top"/>
                </w:tcPr>
                <w:p>
                  <w:pPr>
                    <w:jc w:val="center"/>
                  </w:pPr>
                  <w:r>
                    <w:rPr>
                      <w:sz w:val="21"/>
                    </w:rPr>
                    <w:t>CPU保护</w:t>
                  </w:r>
                </w:p>
              </w:tc>
              <w:tc>
                <w:tcPr>
                  <w:tcW w:type="dxa" w:w="4456"/>
                  <w:tcBorders>
                    <w:top w:val="none" w:color="000000" w:sz="4"/>
                    <w:left w:val="none" w:color="000000" w:sz="4"/>
                    <w:bottom w:val="single" w:color="000000" w:sz="4"/>
                    <w:right w:val="single" w:color="000000" w:sz="4"/>
                  </w:tcBorders>
                  <w:vAlign w:val="top"/>
                </w:tcPr>
                <w:p>
                  <w:pPr>
                    <w:jc w:val="both"/>
                  </w:pPr>
                  <w:r>
                    <w:rPr>
                      <w:sz w:val="21"/>
                    </w:rPr>
                    <w:t>实现</w:t>
                  </w:r>
                  <w:r>
                    <w:rPr>
                      <w:sz w:val="21"/>
                    </w:rPr>
                    <w:t>CPU保护功能，能限制非法报文对CPU的攻击，保护交换机在各种环境下稳定工作。</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92"/>
                  <w:tcBorders>
                    <w:top w:val="none" w:color="000000" w:sz="4"/>
                    <w:left w:val="none" w:color="000000" w:sz="4"/>
                    <w:bottom w:val="single" w:color="000000" w:sz="4"/>
                    <w:right w:val="single" w:color="000000" w:sz="4"/>
                  </w:tcBorders>
                  <w:vAlign w:val="top"/>
                </w:tcPr>
                <w:p>
                  <w:pPr>
                    <w:jc w:val="center"/>
                  </w:pPr>
                  <w:r>
                    <w:rPr>
                      <w:sz w:val="21"/>
                    </w:rPr>
                    <w:t>性能指标</w:t>
                  </w:r>
                </w:p>
              </w:tc>
              <w:tc>
                <w:tcPr>
                  <w:tcW w:type="dxa" w:w="4456"/>
                  <w:tcBorders>
                    <w:top w:val="none" w:color="000000" w:sz="4"/>
                    <w:left w:val="none" w:color="000000" w:sz="4"/>
                    <w:bottom w:val="single" w:color="000000" w:sz="4"/>
                    <w:right w:val="single" w:color="000000" w:sz="4"/>
                  </w:tcBorders>
                  <w:vAlign w:val="top"/>
                </w:tcPr>
                <w:p>
                  <w:pPr>
                    <w:jc w:val="both"/>
                  </w:pPr>
                  <w:r>
                    <w:rPr>
                      <w:sz w:val="21"/>
                    </w:rPr>
                    <w:t>▲</w:t>
                  </w:r>
                  <w:r>
                    <w:rPr>
                      <w:sz w:val="21"/>
                    </w:rPr>
                    <w:t>整机</w:t>
                  </w:r>
                  <w:r>
                    <w:rPr>
                      <w:sz w:val="21"/>
                    </w:rPr>
                    <w:t>MAC地址表≥128K，路由表≥64K</w:t>
                  </w:r>
                  <w:r>
                    <w:rPr>
                      <w:sz w:val="21"/>
                    </w:rPr>
                    <w:t>。</w:t>
                  </w:r>
                  <w:r>
                    <w:rPr>
                      <w:sz w:val="21"/>
                    </w:rPr>
                    <w:t xml:space="preserve"> </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92"/>
                  <w:tcBorders>
                    <w:top w:val="none" w:color="000000" w:sz="4"/>
                    <w:left w:val="none" w:color="000000" w:sz="4"/>
                    <w:bottom w:val="single" w:color="000000" w:sz="4"/>
                    <w:right w:val="single" w:color="000000" w:sz="4"/>
                  </w:tcBorders>
                  <w:vAlign w:val="top"/>
                </w:tcPr>
                <w:p>
                  <w:pPr>
                    <w:jc w:val="center"/>
                  </w:pPr>
                  <w:r>
                    <w:rPr>
                      <w:sz w:val="21"/>
                    </w:rPr>
                    <w:t>云管</w:t>
                  </w:r>
                </w:p>
              </w:tc>
              <w:tc>
                <w:tcPr>
                  <w:tcW w:type="dxa" w:w="4456"/>
                  <w:tcBorders>
                    <w:top w:val="none" w:color="000000" w:sz="4"/>
                    <w:left w:val="none" w:color="000000" w:sz="4"/>
                    <w:bottom w:val="single" w:color="000000" w:sz="4"/>
                    <w:right w:val="single" w:color="000000" w:sz="4"/>
                  </w:tcBorders>
                  <w:vAlign w:val="top"/>
                </w:tcPr>
                <w:p>
                  <w:pPr>
                    <w:jc w:val="both"/>
                  </w:pPr>
                  <w:r>
                    <w:rPr>
                      <w:sz w:val="21"/>
                    </w:rPr>
                    <w:t>支持能通过蓝牙方式登录公有云平台。</w:t>
                  </w: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92"/>
                  <w:vMerge w:val="restart"/>
                  <w:tcBorders>
                    <w:top w:val="none" w:color="000000" w:sz="4"/>
                    <w:left w:val="none" w:color="000000" w:sz="4"/>
                    <w:bottom w:val="single" w:color="000000" w:sz="4"/>
                    <w:right w:val="single" w:color="000000" w:sz="4"/>
                  </w:tcBorders>
                  <w:vAlign w:val="top"/>
                </w:tcPr>
                <w:p>
                  <w:pPr>
                    <w:jc w:val="center"/>
                  </w:pPr>
                  <w:r>
                    <w:rPr>
                      <w:sz w:val="21"/>
                    </w:rPr>
                    <w:t>堆叠</w:t>
                  </w:r>
                </w:p>
              </w:tc>
              <w:tc>
                <w:tcPr>
                  <w:tcW w:type="dxa" w:w="4456"/>
                  <w:tcBorders>
                    <w:top w:val="none" w:color="000000" w:sz="4"/>
                    <w:left w:val="none" w:color="000000" w:sz="4"/>
                    <w:bottom w:val="single" w:color="000000" w:sz="4"/>
                    <w:right w:val="single" w:color="000000" w:sz="4"/>
                  </w:tcBorders>
                  <w:vAlign w:val="top"/>
                </w:tcPr>
                <w:p>
                  <w:pPr>
                    <w:jc w:val="both"/>
                  </w:pPr>
                  <w:r>
                    <w:rPr>
                      <w:sz w:val="21"/>
                    </w:rPr>
                    <w:t>9.1.最大堆叠台数≥9台；</w:t>
                  </w:r>
                </w:p>
              </w:tc>
            </w:tr>
            <w:tr>
              <w:tc>
                <w:tcPr>
                  <w:tcW w:type="dxa" w:w="350"/>
                  <w:vMerge/>
                  <w:tcBorders>
                    <w:top w:val="none" w:color="000000" w:sz="4"/>
                    <w:left w:val="singl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c>
                <w:tcPr>
                  <w:tcW w:type="dxa" w:w="4456"/>
                  <w:tcBorders>
                    <w:top w:val="none" w:color="000000" w:sz="4"/>
                    <w:left w:val="none" w:color="000000" w:sz="4"/>
                    <w:bottom w:val="single" w:color="000000" w:sz="4"/>
                    <w:right w:val="single" w:color="000000" w:sz="4"/>
                  </w:tcBorders>
                  <w:vAlign w:val="top"/>
                </w:tcPr>
                <w:p>
                  <w:pPr>
                    <w:jc w:val="left"/>
                  </w:pPr>
                  <w:r>
                    <w:rPr>
                      <w:sz w:val="21"/>
                    </w:rPr>
                    <w:t>9.2.堆叠支持通过标准以太端口进行堆叠（万兆或40G均支持）。</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92"/>
                  <w:tcBorders>
                    <w:top w:val="none" w:color="000000" w:sz="4"/>
                    <w:left w:val="none" w:color="000000" w:sz="4"/>
                    <w:bottom w:val="single" w:color="000000" w:sz="4"/>
                    <w:right w:val="single" w:color="000000" w:sz="4"/>
                  </w:tcBorders>
                  <w:vAlign w:val="top"/>
                </w:tcPr>
                <w:p>
                  <w:pPr>
                    <w:jc w:val="center"/>
                  </w:pPr>
                  <w:r>
                    <w:rPr>
                      <w:sz w:val="21"/>
                    </w:rPr>
                    <w:t>VLAN特性</w:t>
                  </w:r>
                </w:p>
              </w:tc>
              <w:tc>
                <w:tcPr>
                  <w:tcW w:type="dxa" w:w="4456"/>
                  <w:tcBorders>
                    <w:top w:val="none" w:color="000000" w:sz="4"/>
                    <w:left w:val="none" w:color="000000" w:sz="4"/>
                    <w:bottom w:val="single" w:color="000000" w:sz="4"/>
                    <w:right w:val="single" w:color="000000" w:sz="4"/>
                  </w:tcBorders>
                  <w:vAlign w:val="top"/>
                </w:tcPr>
                <w:p>
                  <w:pPr>
                    <w:jc w:val="both"/>
                  </w:pPr>
                  <w:r>
                    <w:rPr>
                      <w:sz w:val="21"/>
                    </w:rPr>
                    <w:t>支持基于端口的</w:t>
                  </w:r>
                  <w:r>
                    <w:rPr>
                      <w:sz w:val="21"/>
                    </w:rPr>
                    <w:t>VLAN，支持基于协议的VLAN；支持基于MAC的VLAN。</w:t>
                  </w: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92"/>
                  <w:vMerge w:val="restart"/>
                  <w:tcBorders>
                    <w:top w:val="none" w:color="000000" w:sz="4"/>
                    <w:left w:val="none" w:color="000000" w:sz="4"/>
                    <w:bottom w:val="single" w:color="000000" w:sz="4"/>
                    <w:right w:val="single" w:color="000000" w:sz="4"/>
                  </w:tcBorders>
                  <w:vAlign w:val="top"/>
                </w:tcPr>
                <w:p>
                  <w:pPr>
                    <w:jc w:val="center"/>
                  </w:pPr>
                  <w:r>
                    <w:rPr>
                      <w:sz w:val="21"/>
                    </w:rPr>
                    <w:t>组播协议</w:t>
                  </w:r>
                </w:p>
              </w:tc>
              <w:tc>
                <w:tcPr>
                  <w:tcW w:type="dxa" w:w="4456"/>
                  <w:tcBorders>
                    <w:top w:val="none" w:color="000000" w:sz="4"/>
                    <w:left w:val="none" w:color="000000" w:sz="4"/>
                    <w:bottom w:val="single" w:color="000000" w:sz="4"/>
                    <w:right w:val="single" w:color="000000" w:sz="4"/>
                  </w:tcBorders>
                  <w:vAlign w:val="top"/>
                </w:tcPr>
                <w:p>
                  <w:pPr>
                    <w:jc w:val="both"/>
                  </w:pPr>
                  <w:r>
                    <w:rPr>
                      <w:sz w:val="21"/>
                    </w:rPr>
                    <w:t>11.1.支持IGMP Snooping v1/v2/v3、MLD Snooping v1/v2；</w:t>
                  </w:r>
                </w:p>
              </w:tc>
            </w:tr>
            <w:tr>
              <w:tc>
                <w:tcPr>
                  <w:tcW w:type="dxa" w:w="350"/>
                  <w:vMerge/>
                  <w:tcBorders>
                    <w:top w:val="none" w:color="000000" w:sz="4"/>
                    <w:left w:val="singl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c>
                <w:tcPr>
                  <w:tcW w:type="dxa" w:w="4456"/>
                  <w:tcBorders>
                    <w:top w:val="none" w:color="000000" w:sz="4"/>
                    <w:left w:val="none" w:color="000000" w:sz="4"/>
                    <w:bottom w:val="single" w:color="000000" w:sz="4"/>
                    <w:right w:val="single" w:color="000000" w:sz="4"/>
                  </w:tcBorders>
                  <w:vAlign w:val="top"/>
                </w:tcPr>
                <w:p>
                  <w:pPr>
                    <w:jc w:val="left"/>
                  </w:pPr>
                  <w:r>
                    <w:rPr>
                      <w:sz w:val="21"/>
                    </w:rPr>
                    <w:t>11.2.组播协议支持PIM Snooping；</w:t>
                  </w:r>
                </w:p>
              </w:tc>
            </w:tr>
            <w:tr>
              <w:tc>
                <w:tcPr>
                  <w:tcW w:type="dxa" w:w="350"/>
                  <w:vMerge/>
                  <w:tcBorders>
                    <w:top w:val="none" w:color="000000" w:sz="4"/>
                    <w:left w:val="singl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c>
                <w:tcPr>
                  <w:tcW w:type="dxa" w:w="4456"/>
                  <w:tcBorders>
                    <w:top w:val="none" w:color="000000" w:sz="4"/>
                    <w:left w:val="none" w:color="000000" w:sz="4"/>
                    <w:bottom w:val="single" w:color="000000" w:sz="4"/>
                    <w:right w:val="single" w:color="000000" w:sz="4"/>
                  </w:tcBorders>
                  <w:vAlign w:val="top"/>
                </w:tcPr>
                <w:p>
                  <w:pPr>
                    <w:jc w:val="left"/>
                  </w:pPr>
                  <w:r>
                    <w:rPr>
                      <w:sz w:val="21"/>
                    </w:rPr>
                    <w:t>11.3.组播协议支持PIM-SM、PIM-SSM、PIM-DM。</w:t>
                  </w:r>
                </w:p>
              </w:tc>
            </w:tr>
            <w:tr>
              <w:tc>
                <w:tcPr>
                  <w:tcW w:type="dxa" w:w="350"/>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92"/>
                  <w:vMerge w:val="restart"/>
                  <w:tcBorders>
                    <w:top w:val="none" w:color="000000" w:sz="4"/>
                    <w:left w:val="none" w:color="000000" w:sz="4"/>
                    <w:bottom w:val="single" w:color="000000" w:sz="4"/>
                    <w:right w:val="single" w:color="000000" w:sz="4"/>
                  </w:tcBorders>
                  <w:vAlign w:val="top"/>
                </w:tcPr>
                <w:p>
                  <w:pPr>
                    <w:jc w:val="center"/>
                  </w:pPr>
                  <w:r>
                    <w:rPr>
                      <w:sz w:val="21"/>
                    </w:rPr>
                    <w:t>访问控制策略</w:t>
                  </w:r>
                </w:p>
              </w:tc>
              <w:tc>
                <w:tcPr>
                  <w:tcW w:type="dxa" w:w="4456"/>
                  <w:tcBorders>
                    <w:top w:val="none" w:color="000000" w:sz="4"/>
                    <w:left w:val="none" w:color="000000" w:sz="4"/>
                    <w:bottom w:val="single" w:color="000000" w:sz="4"/>
                    <w:right w:val="single" w:color="000000" w:sz="4"/>
                  </w:tcBorders>
                  <w:vAlign w:val="top"/>
                </w:tcPr>
                <w:p>
                  <w:pPr>
                    <w:jc w:val="both"/>
                  </w:pPr>
                  <w:r>
                    <w:rPr>
                      <w:sz w:val="21"/>
                    </w:rPr>
                    <w:t>12.1.支持基于第二层、第三层和第四层的ACL；</w:t>
                  </w:r>
                </w:p>
              </w:tc>
            </w:tr>
            <w:tr>
              <w:tc>
                <w:tcPr>
                  <w:tcW w:type="dxa" w:w="350"/>
                  <w:vMerge/>
                  <w:tcBorders>
                    <w:top w:val="none" w:color="000000" w:sz="4"/>
                    <w:left w:val="singl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c>
                <w:tcPr>
                  <w:tcW w:type="dxa" w:w="4456"/>
                  <w:tcBorders>
                    <w:top w:val="none" w:color="000000" w:sz="4"/>
                    <w:left w:val="none" w:color="000000" w:sz="4"/>
                    <w:bottom w:val="single" w:color="000000" w:sz="4"/>
                    <w:right w:val="single" w:color="000000" w:sz="4"/>
                  </w:tcBorders>
                  <w:vAlign w:val="top"/>
                </w:tcPr>
                <w:p>
                  <w:pPr>
                    <w:jc w:val="both"/>
                  </w:pPr>
                  <w:r>
                    <w:rPr>
                      <w:sz w:val="21"/>
                    </w:rPr>
                    <w:t>12.2.支持出方向ACL，以便于灵活实现数据包过滤；</w:t>
                  </w:r>
                </w:p>
              </w:tc>
            </w:tr>
            <w:tr>
              <w:tc>
                <w:tcPr>
                  <w:tcW w:type="dxa" w:w="350"/>
                  <w:vMerge/>
                  <w:tcBorders>
                    <w:top w:val="none" w:color="000000" w:sz="4"/>
                    <w:left w:val="single" w:color="000000" w:sz="4"/>
                    <w:bottom w:val="single" w:color="000000" w:sz="4"/>
                    <w:right w:val="single" w:color="000000" w:sz="4"/>
                  </w:tcBorders>
                </w:tcPr>
                <w:p/>
              </w:tc>
              <w:tc>
                <w:tcPr>
                  <w:tcW w:type="dxa" w:w="792"/>
                  <w:vMerge/>
                  <w:tcBorders>
                    <w:top w:val="none" w:color="000000" w:sz="4"/>
                    <w:left w:val="none" w:color="000000" w:sz="4"/>
                    <w:bottom w:val="single" w:color="000000" w:sz="4"/>
                    <w:right w:val="single" w:color="000000" w:sz="4"/>
                  </w:tcBorders>
                </w:tcPr>
                <w:p/>
              </w:tc>
              <w:tc>
                <w:tcPr>
                  <w:tcW w:type="dxa" w:w="4456"/>
                  <w:tcBorders>
                    <w:top w:val="none" w:color="000000" w:sz="4"/>
                    <w:left w:val="none" w:color="000000" w:sz="4"/>
                    <w:bottom w:val="single" w:color="000000" w:sz="4"/>
                    <w:right w:val="single" w:color="000000" w:sz="4"/>
                  </w:tcBorders>
                  <w:vAlign w:val="top"/>
                </w:tcPr>
                <w:p>
                  <w:pPr>
                    <w:jc w:val="both"/>
                  </w:pPr>
                  <w:r>
                    <w:rPr>
                      <w:sz w:val="21"/>
                    </w:rPr>
                    <w:t>12.3.支持基于端口和VLAN的 ACL。</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92"/>
                  <w:tcBorders>
                    <w:top w:val="none" w:color="000000" w:sz="4"/>
                    <w:left w:val="none" w:color="000000" w:sz="4"/>
                    <w:bottom w:val="single" w:color="000000" w:sz="4"/>
                    <w:right w:val="single" w:color="000000" w:sz="4"/>
                  </w:tcBorders>
                  <w:vAlign w:val="top"/>
                </w:tcPr>
                <w:p>
                  <w:pPr>
                    <w:jc w:val="center"/>
                  </w:pPr>
                  <w:r>
                    <w:rPr>
                      <w:sz w:val="21"/>
                    </w:rPr>
                    <w:t>管理和维护</w:t>
                  </w:r>
                </w:p>
              </w:tc>
              <w:tc>
                <w:tcPr>
                  <w:tcW w:type="dxa" w:w="4456"/>
                  <w:tcBorders>
                    <w:top w:val="none" w:color="000000" w:sz="4"/>
                    <w:left w:val="none" w:color="000000" w:sz="4"/>
                    <w:bottom w:val="single" w:color="000000" w:sz="4"/>
                    <w:right w:val="single" w:color="000000" w:sz="4"/>
                  </w:tcBorders>
                  <w:vAlign w:val="top"/>
                </w:tcPr>
                <w:p>
                  <w:pPr>
                    <w:jc w:val="both"/>
                  </w:pPr>
                  <w:r>
                    <w:rPr>
                      <w:sz w:val="21"/>
                    </w:rPr>
                    <w:t>支持</w:t>
                  </w:r>
                  <w:r>
                    <w:rPr>
                      <w:sz w:val="21"/>
                    </w:rPr>
                    <w:t>OAM(802.1AG，802.3AH)以太网运行、维护和管理标准。</w:t>
                  </w:r>
                </w:p>
              </w:tc>
            </w:tr>
            <w:tr>
              <w:tc>
                <w:tcPr>
                  <w:tcW w:type="dxa" w:w="35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92"/>
                  <w:tcBorders>
                    <w:top w:val="none" w:color="000000" w:sz="4"/>
                    <w:left w:val="none" w:color="000000" w:sz="4"/>
                    <w:bottom w:val="single" w:color="000000" w:sz="4"/>
                    <w:right w:val="single" w:color="000000" w:sz="4"/>
                  </w:tcBorders>
                  <w:vAlign w:val="top"/>
                </w:tcPr>
                <w:p>
                  <w:pPr>
                    <w:jc w:val="center"/>
                  </w:pPr>
                  <w:r>
                    <w:rPr>
                      <w:sz w:val="21"/>
                    </w:rPr>
                    <w:t>端口防雷</w:t>
                  </w:r>
                </w:p>
              </w:tc>
              <w:tc>
                <w:tcPr>
                  <w:tcW w:type="dxa" w:w="4456"/>
                  <w:tcBorders>
                    <w:top w:val="none" w:color="000000" w:sz="4"/>
                    <w:left w:val="none" w:color="000000" w:sz="4"/>
                    <w:bottom w:val="single" w:color="000000" w:sz="4"/>
                    <w:right w:val="single" w:color="000000" w:sz="4"/>
                  </w:tcBorders>
                  <w:vAlign w:val="top"/>
                </w:tcPr>
                <w:p>
                  <w:pPr>
                    <w:jc w:val="both"/>
                  </w:pPr>
                  <w:r>
                    <w:rPr>
                      <w:sz w:val="21"/>
                    </w:rPr>
                    <w:t>支持</w:t>
                  </w:r>
                  <w:r>
                    <w:rPr>
                      <w:sz w:val="21"/>
                    </w:rPr>
                    <w:t>10KV业务端口防雷能力。</w:t>
                  </w:r>
                </w:p>
              </w:tc>
            </w:tr>
            <w:tr>
              <w:tc>
                <w:tcPr>
                  <w:tcW w:type="dxa" w:w="350"/>
                  <w:tcBorders>
                    <w:top w:val="none" w:color="000000" w:sz="4"/>
                    <w:left w:val="single" w:color="000000" w:sz="4"/>
                    <w:bottom w:val="single" w:color="000000" w:sz="4"/>
                    <w:right w:val="single" w:color="000000" w:sz="4"/>
                  </w:tcBorders>
                  <w:vAlign w:val="top"/>
                </w:tcPr>
                <w:p>
                  <w:pPr>
                    <w:jc w:val="center"/>
                  </w:pPr>
                  <w:r>
                    <w:rPr>
                      <w:b/>
                      <w:sz w:val="21"/>
                    </w:rPr>
                    <w:t>15</w:t>
                  </w:r>
                </w:p>
              </w:tc>
              <w:tc>
                <w:tcPr>
                  <w:tcW w:type="dxa" w:w="792"/>
                  <w:tcBorders>
                    <w:top w:val="none" w:color="000000" w:sz="4"/>
                    <w:left w:val="none" w:color="000000" w:sz="4"/>
                    <w:bottom w:val="single" w:color="000000" w:sz="4"/>
                    <w:right w:val="single" w:color="000000" w:sz="4"/>
                  </w:tcBorders>
                  <w:vAlign w:val="top"/>
                </w:tcPr>
                <w:p>
                  <w:pPr>
                    <w:jc w:val="center"/>
                  </w:pPr>
                  <w:r>
                    <w:rPr>
                      <w:b/>
                      <w:sz w:val="21"/>
                    </w:rPr>
                    <w:t>服务配置</w:t>
                  </w:r>
                </w:p>
              </w:tc>
              <w:tc>
                <w:tcPr>
                  <w:tcW w:type="dxa" w:w="4456"/>
                  <w:tcBorders>
                    <w:top w:val="none" w:color="000000" w:sz="4"/>
                    <w:left w:val="none" w:color="000000" w:sz="4"/>
                    <w:bottom w:val="single" w:color="000000" w:sz="4"/>
                    <w:right w:val="single" w:color="000000" w:sz="4"/>
                  </w:tcBorders>
                  <w:vAlign w:val="top"/>
                </w:tcPr>
                <w:p>
                  <w:pPr>
                    <w:jc w:val="both"/>
                  </w:pPr>
                  <w:r>
                    <w:rPr>
                      <w:b/>
                      <w:sz w:val="21"/>
                    </w:rPr>
                    <w:t>★</w:t>
                  </w:r>
                  <w:r>
                    <w:rPr>
                      <w:b/>
                      <w:sz w:val="21"/>
                    </w:rPr>
                    <w:t>需免费提供</w:t>
                  </w:r>
                  <w:r>
                    <w:rPr>
                      <w:b/>
                      <w:sz w:val="21"/>
                    </w:rPr>
                    <w:t>≥3年7x24原厂服务。</w:t>
                  </w:r>
                </w:p>
              </w:tc>
            </w:tr>
          </w:tbl>
          <w:p>
            <w:pPr>
              <w:jc w:val="both"/>
            </w:pPr>
          </w:p>
          <w:p>
            <w:pPr>
              <w:jc w:val="both"/>
            </w:pPr>
          </w:p>
          <w:p>
            <w:pPr>
              <w:jc w:val="both"/>
            </w:pPr>
            <w:r>
              <w:rPr>
                <w:b/>
                <w:sz w:val="21"/>
              </w:rPr>
              <w:t>3</w:t>
            </w:r>
            <w:r>
              <w:rPr>
                <w:b/>
                <w:sz w:val="21"/>
              </w:rPr>
              <w:t>.</w:t>
            </w:r>
            <w:r>
              <w:rPr>
                <w:b/>
                <w:sz w:val="21"/>
              </w:rPr>
              <w:t>负载均衡器</w:t>
            </w:r>
          </w:p>
          <w:tbl>
            <w:tblPr>
              <w:tblInd w:type="dxa" w:w="105"/>
              <w:tblBorders>
                <w:top w:val="none" w:color="000000" w:sz="4"/>
                <w:left w:val="none" w:color="000000" w:sz="4"/>
                <w:bottom w:val="none" w:color="000000" w:sz="4"/>
                <w:right w:val="none" w:color="000000" w:sz="4"/>
                <w:insideH w:val="none"/>
                <w:insideV w:val="none"/>
              </w:tblBorders>
            </w:tblPr>
            <w:tblGrid>
              <w:gridCol w:w="429"/>
              <w:gridCol w:w="849"/>
              <w:gridCol w:w="4308"/>
            </w:tblGrid>
            <w:tr>
              <w:tc>
                <w:tcPr>
                  <w:tcW w:type="dxa" w:w="429"/>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49"/>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308"/>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49"/>
                  <w:tcBorders>
                    <w:top w:val="none" w:color="000000" w:sz="4"/>
                    <w:left w:val="none" w:color="000000" w:sz="4"/>
                    <w:bottom w:val="single" w:color="000000" w:sz="4"/>
                    <w:right w:val="single" w:color="000000" w:sz="4"/>
                  </w:tcBorders>
                  <w:vAlign w:val="top"/>
                </w:tcPr>
                <w:p>
                  <w:pPr>
                    <w:jc w:val="center"/>
                  </w:pPr>
                  <w:r>
                    <w:rPr>
                      <w:sz w:val="21"/>
                    </w:rPr>
                    <w:t>许可证明</w:t>
                  </w:r>
                </w:p>
              </w:tc>
              <w:tc>
                <w:tcPr>
                  <w:tcW w:type="dxa" w:w="4308"/>
                  <w:tcBorders>
                    <w:top w:val="none" w:color="000000" w:sz="4"/>
                    <w:left w:val="none" w:color="000000" w:sz="4"/>
                    <w:bottom w:val="single" w:color="000000" w:sz="4"/>
                    <w:right w:val="single" w:color="000000" w:sz="4"/>
                  </w:tcBorders>
                  <w:vAlign w:val="top"/>
                </w:tcPr>
                <w:p>
                  <w:pPr>
                    <w:jc w:val="both"/>
                  </w:pPr>
                  <w:r>
                    <w:rPr>
                      <w:b/>
                      <w:sz w:val="21"/>
                    </w:rPr>
                    <w:t>要求提供投标产品型号及软件版本需要具备公安部负载均衡销售许可证。</w:t>
                  </w:r>
                </w:p>
              </w:tc>
            </w:tr>
            <w:tr>
              <w:tc>
                <w:tcPr>
                  <w:tcW w:type="dxa" w:w="429"/>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49"/>
                  <w:vMerge w:val="restart"/>
                  <w:tcBorders>
                    <w:top w:val="none" w:color="000000" w:sz="4"/>
                    <w:left w:val="none" w:color="000000" w:sz="4"/>
                    <w:bottom w:val="single" w:color="000000" w:sz="4"/>
                    <w:right w:val="single" w:color="000000" w:sz="4"/>
                  </w:tcBorders>
                  <w:vAlign w:val="top"/>
                </w:tcPr>
                <w:p>
                  <w:pPr>
                    <w:jc w:val="center"/>
                  </w:pPr>
                  <w:r>
                    <w:rPr>
                      <w:sz w:val="21"/>
                    </w:rPr>
                    <w:t>产品性能</w:t>
                  </w:r>
                </w:p>
              </w:tc>
              <w:tc>
                <w:tcPr>
                  <w:tcW w:type="dxa" w:w="4308"/>
                  <w:tcBorders>
                    <w:top w:val="none" w:color="000000" w:sz="4"/>
                    <w:left w:val="none" w:color="000000" w:sz="4"/>
                    <w:bottom w:val="single" w:color="000000" w:sz="4"/>
                    <w:right w:val="single" w:color="000000" w:sz="4"/>
                  </w:tcBorders>
                  <w:vAlign w:val="top"/>
                </w:tcPr>
                <w:p>
                  <w:pPr>
                    <w:jc w:val="both"/>
                  </w:pPr>
                  <w:r>
                    <w:rPr>
                      <w:sz w:val="21"/>
                    </w:rPr>
                    <w:t>1.网络接口：千兆端口≥4，万兆端口≥2；</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2. 2核CPU, 支持多核CPU并行处理技术；</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3.内存≥16GB；</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4.硬盘≥500GB；</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5.电源通过80plus认证, 节能环保；</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left"/>
                  </w:pPr>
                  <w:r>
                    <w:rPr>
                      <w:sz w:val="21"/>
                    </w:rPr>
                    <w:t>6</w:t>
                  </w:r>
                  <w:r>
                    <w:rPr>
                      <w:sz w:val="21"/>
                    </w:rPr>
                    <w:t>.要求关键部件采用冗余设计，支持热插拔冗余电源；</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7</w:t>
                  </w:r>
                  <w:r>
                    <w:rPr>
                      <w:sz w:val="21"/>
                    </w:rPr>
                    <w:t>.吞吐量</w:t>
                  </w:r>
                  <w:r>
                    <w:rPr>
                      <w:color w:val="000000"/>
                      <w:sz w:val="21"/>
                    </w:rPr>
                    <w:t>≥10Gbps；</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left"/>
                  </w:pPr>
                  <w:r>
                    <w:rPr>
                      <w:sz w:val="21"/>
                    </w:rPr>
                    <w:t>8</w:t>
                  </w:r>
                  <w:r>
                    <w:rPr>
                      <w:sz w:val="21"/>
                    </w:rPr>
                    <w:t>.最大并发连接≥14,000,000；</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9</w:t>
                  </w:r>
                  <w:r>
                    <w:rPr>
                      <w:sz w:val="21"/>
                    </w:rPr>
                    <w:t>.四层处理能力≥125K CPS；</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10</w:t>
                  </w:r>
                  <w:r>
                    <w:rPr>
                      <w:sz w:val="21"/>
                    </w:rPr>
                    <w:t>.七层处理能力≥350K RPS；</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11</w:t>
                  </w:r>
                  <w:r>
                    <w:rPr>
                      <w:sz w:val="21"/>
                    </w:rPr>
                    <w:t>.最大SSL TPS RSA 2K Key</w:t>
                  </w:r>
                  <w:r>
                    <w:rPr>
                      <w:color w:val="000000"/>
                      <w:sz w:val="21"/>
                    </w:rPr>
                    <w:t xml:space="preserve"> </w:t>
                  </w:r>
                  <w:r>
                    <w:rPr>
                      <w:color w:val="000000"/>
                      <w:sz w:val="21"/>
                    </w:rPr>
                    <w:t>2500；</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12</w:t>
                  </w:r>
                  <w:r>
                    <w:rPr>
                      <w:sz w:val="21"/>
                    </w:rPr>
                    <w:t>.最大SSL TPS ECC</w:t>
                  </w:r>
                  <w:r>
                    <w:rPr>
                      <w:color w:val="000000"/>
                      <w:sz w:val="21"/>
                    </w:rPr>
                    <w:t xml:space="preserve"> </w:t>
                  </w:r>
                  <w:r>
                    <w:rPr>
                      <w:color w:val="000000"/>
                      <w:sz w:val="21"/>
                    </w:rPr>
                    <w:t>2100；</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sz w:val="21"/>
                    </w:rPr>
                    <w:t>1</w:t>
                  </w:r>
                  <w:r>
                    <w:rPr>
                      <w:sz w:val="21"/>
                    </w:rPr>
                    <w:t>3.</w:t>
                  </w:r>
                  <w:r>
                    <w:rPr>
                      <w:sz w:val="21"/>
                    </w:rPr>
                    <w:t>最大压缩性能</w:t>
                  </w:r>
                  <w:r>
                    <w:rPr>
                      <w:color w:val="000000"/>
                      <w:sz w:val="21"/>
                    </w:rPr>
                    <w:t>≥3Gbps。</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49"/>
                  <w:tcBorders>
                    <w:top w:val="none" w:color="000000" w:sz="4"/>
                    <w:left w:val="none" w:color="000000" w:sz="4"/>
                    <w:bottom w:val="single" w:color="000000" w:sz="4"/>
                    <w:right w:val="single" w:color="000000" w:sz="4"/>
                  </w:tcBorders>
                  <w:vAlign w:val="top"/>
                </w:tcPr>
                <w:p>
                  <w:pPr>
                    <w:jc w:val="center"/>
                  </w:pPr>
                  <w:r>
                    <w:rPr>
                      <w:sz w:val="21"/>
                    </w:rPr>
                    <w:t>系统冗余</w:t>
                  </w:r>
                </w:p>
              </w:tc>
              <w:tc>
                <w:tcPr>
                  <w:tcW w:type="dxa" w:w="4308"/>
                  <w:tcBorders>
                    <w:top w:val="none" w:color="000000" w:sz="4"/>
                    <w:left w:val="none" w:color="000000" w:sz="4"/>
                    <w:bottom w:val="single" w:color="000000" w:sz="4"/>
                    <w:right w:val="single" w:color="000000" w:sz="4"/>
                  </w:tcBorders>
                  <w:vAlign w:val="top"/>
                </w:tcPr>
                <w:p>
                  <w:pPr>
                    <w:jc w:val="left"/>
                  </w:pPr>
                  <w:r>
                    <w:rPr>
                      <w:color w:val="000000"/>
                      <w:sz w:val="21"/>
                    </w:rPr>
                    <w:t>支持</w:t>
                  </w:r>
                  <w:r>
                    <w:rPr>
                      <w:sz w:val="21"/>
                    </w:rPr>
                    <w:t>≥</w:t>
                  </w:r>
                  <w:r>
                    <w:rPr>
                      <w:color w:val="000000"/>
                      <w:sz w:val="21"/>
                    </w:rPr>
                    <w:t>32台设备基于同一网段和不同网段的N+M集群方式， 支持同一集群中的设备支持不同平台，包括硬件平台和虚拟化平台，支持连接信息、会话保持信息和SNAT信息的镜像，支持Active，Standby任意组合冗余方式，如Active-Active-Standby，Active-Active-Active-Standby等，并可以指定设备冗余切换顺序。</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49"/>
                  <w:tcBorders>
                    <w:top w:val="none" w:color="000000" w:sz="4"/>
                    <w:left w:val="none" w:color="000000" w:sz="4"/>
                    <w:bottom w:val="single" w:color="000000" w:sz="4"/>
                    <w:right w:val="single" w:color="000000" w:sz="4"/>
                  </w:tcBorders>
                  <w:vAlign w:val="top"/>
                </w:tcPr>
                <w:p>
                  <w:pPr>
                    <w:jc w:val="center"/>
                  </w:pPr>
                  <w:r>
                    <w:rPr>
                      <w:sz w:val="21"/>
                    </w:rPr>
                    <w:t>虚拟化多租户能力</w:t>
                  </w:r>
                </w:p>
              </w:tc>
              <w:tc>
                <w:tcPr>
                  <w:tcW w:type="dxa" w:w="4308"/>
                  <w:tcBorders>
                    <w:top w:val="none" w:color="000000" w:sz="4"/>
                    <w:left w:val="none" w:color="000000" w:sz="4"/>
                    <w:bottom w:val="single" w:color="000000" w:sz="4"/>
                    <w:right w:val="single" w:color="000000" w:sz="4"/>
                  </w:tcBorders>
                  <w:vAlign w:val="top"/>
                </w:tcPr>
                <w:p>
                  <w:pPr>
                    <w:jc w:val="both"/>
                  </w:pPr>
                  <w:r>
                    <w:rPr>
                      <w:color w:val="000000"/>
                      <w:sz w:val="21"/>
                    </w:rPr>
                    <w:t>可以通过</w:t>
                  </w:r>
                  <w:r>
                    <w:rPr>
                      <w:color w:val="000000"/>
                      <w:sz w:val="21"/>
                    </w:rPr>
                    <w:t>VRF/路由域的软件虚拟化，或者硬件虚拟化的能力，实现多租户的虚拟化能力，提供的租户实例数量</w:t>
                  </w:r>
                  <w:r>
                    <w:rPr>
                      <w:sz w:val="21"/>
                    </w:rPr>
                    <w:t>≥</w:t>
                  </w:r>
                  <w:r>
                    <w:rPr>
                      <w:color w:val="000000"/>
                      <w:sz w:val="21"/>
                    </w:rPr>
                    <w:t>50个。</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49"/>
                  <w:tcBorders>
                    <w:top w:val="none" w:color="000000" w:sz="4"/>
                    <w:left w:val="none" w:color="000000" w:sz="4"/>
                    <w:bottom w:val="single" w:color="000000" w:sz="4"/>
                    <w:right w:val="single" w:color="000000" w:sz="4"/>
                  </w:tcBorders>
                  <w:vAlign w:val="top"/>
                </w:tcPr>
                <w:p>
                  <w:pPr>
                    <w:jc w:val="center"/>
                  </w:pPr>
                  <w:r>
                    <w:rPr>
                      <w:sz w:val="21"/>
                    </w:rPr>
                    <w:t>可编程流量管理</w:t>
                  </w:r>
                </w:p>
              </w:tc>
              <w:tc>
                <w:tcPr>
                  <w:tcW w:type="dxa" w:w="4308"/>
                  <w:tcBorders>
                    <w:top w:val="none" w:color="000000" w:sz="4"/>
                    <w:left w:val="none" w:color="000000" w:sz="4"/>
                    <w:bottom w:val="single" w:color="000000" w:sz="4"/>
                    <w:right w:val="single" w:color="000000" w:sz="4"/>
                  </w:tcBorders>
                  <w:vAlign w:val="top"/>
                </w:tcPr>
                <w:p>
                  <w:pPr>
                    <w:jc w:val="both"/>
                  </w:pPr>
                  <w:r>
                    <w:rPr>
                      <w:sz w:val="21"/>
                    </w:rPr>
                    <w:t>▲提供基于某种编程语言自定义流量控制方法，支持负载均衡、DNS处理、用户认证、NAT、路由转发、会话保持等功能的可编程控制。</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49"/>
                  <w:tcBorders>
                    <w:top w:val="none" w:color="000000" w:sz="4"/>
                    <w:left w:val="none" w:color="000000" w:sz="4"/>
                    <w:bottom w:val="single" w:color="000000" w:sz="4"/>
                    <w:right w:val="single" w:color="000000" w:sz="4"/>
                  </w:tcBorders>
                  <w:vAlign w:val="top"/>
                </w:tcPr>
                <w:p>
                  <w:pPr>
                    <w:jc w:val="center"/>
                  </w:pPr>
                  <w:r>
                    <w:rPr>
                      <w:sz w:val="21"/>
                    </w:rPr>
                    <w:t>优化功能</w:t>
                  </w:r>
                </w:p>
              </w:tc>
              <w:tc>
                <w:tcPr>
                  <w:tcW w:type="dxa" w:w="4308"/>
                  <w:tcBorders>
                    <w:top w:val="none" w:color="000000" w:sz="4"/>
                    <w:left w:val="none" w:color="000000" w:sz="4"/>
                    <w:bottom w:val="single" w:color="000000" w:sz="4"/>
                    <w:right w:val="single" w:color="000000" w:sz="4"/>
                  </w:tcBorders>
                  <w:vAlign w:val="top"/>
                </w:tcPr>
                <w:p>
                  <w:pPr>
                    <w:jc w:val="both"/>
                  </w:pPr>
                  <w:r>
                    <w:rPr>
                      <w:sz w:val="21"/>
                    </w:rPr>
                    <w:t>标配压缩、缓存、多连接复用、</w:t>
                  </w:r>
                  <w:r>
                    <w:rPr>
                      <w:sz w:val="21"/>
                    </w:rPr>
                    <w:t>SSL卸载等优化加速功能。</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49"/>
                  <w:tcBorders>
                    <w:top w:val="none" w:color="000000" w:sz="4"/>
                    <w:left w:val="none" w:color="000000" w:sz="4"/>
                    <w:bottom w:val="single" w:color="000000" w:sz="4"/>
                    <w:right w:val="single" w:color="000000" w:sz="4"/>
                  </w:tcBorders>
                  <w:vAlign w:val="top"/>
                </w:tcPr>
                <w:p>
                  <w:pPr>
                    <w:jc w:val="center"/>
                  </w:pPr>
                  <w:r>
                    <w:rPr>
                      <w:sz w:val="21"/>
                    </w:rPr>
                    <w:t>四</w:t>
                  </w:r>
                  <w:r>
                    <w:rPr>
                      <w:sz w:val="21"/>
                    </w:rPr>
                    <w:t>/七层带宽管理和流量整形(Qos)</w:t>
                  </w:r>
                </w:p>
              </w:tc>
              <w:tc>
                <w:tcPr>
                  <w:tcW w:type="dxa" w:w="4308"/>
                  <w:tcBorders>
                    <w:top w:val="none" w:color="000000" w:sz="4"/>
                    <w:left w:val="none" w:color="000000" w:sz="4"/>
                    <w:bottom w:val="single" w:color="000000" w:sz="4"/>
                    <w:right w:val="single" w:color="000000" w:sz="4"/>
                  </w:tcBorders>
                  <w:vAlign w:val="top"/>
                </w:tcPr>
                <w:p>
                  <w:pPr>
                    <w:jc w:val="both"/>
                  </w:pPr>
                  <w:r>
                    <w:rPr>
                      <w:sz w:val="21"/>
                    </w:rPr>
                    <w:t>要求通过优先级、队列以及设定基于应用的带宽限制和带宽容许，确保关键应用能够按时交付。</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服务器负载均衡</w:t>
                  </w:r>
                </w:p>
              </w:tc>
              <w:tc>
                <w:tcPr>
                  <w:tcW w:type="dxa" w:w="4308"/>
                  <w:tcBorders>
                    <w:top w:val="none" w:color="000000" w:sz="4"/>
                    <w:left w:val="none" w:color="000000" w:sz="4"/>
                    <w:bottom w:val="single" w:color="000000" w:sz="4"/>
                    <w:right w:val="single" w:color="000000" w:sz="4"/>
                  </w:tcBorders>
                  <w:vAlign w:val="top"/>
                </w:tcPr>
                <w:p>
                  <w:pPr>
                    <w:jc w:val="both"/>
                  </w:pPr>
                  <w:r>
                    <w:rPr>
                      <w:sz w:val="21"/>
                    </w:rPr>
                    <w:t>要求具备完善的第四</w:t>
                  </w:r>
                  <w:r>
                    <w:rPr>
                      <w:sz w:val="21"/>
                    </w:rPr>
                    <w:t>/七层交换功能，支持可定制的基于应用层的健康检查方式，支持基于IP地址、Cookie等信息的会话保持，并可根据特定信息定制会话保持方式。</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49"/>
                  <w:tcBorders>
                    <w:top w:val="none" w:color="000000" w:sz="4"/>
                    <w:left w:val="none" w:color="000000" w:sz="4"/>
                    <w:bottom w:val="single" w:color="000000" w:sz="4"/>
                    <w:right w:val="single" w:color="000000" w:sz="4"/>
                  </w:tcBorders>
                  <w:vAlign w:val="top"/>
                </w:tcPr>
                <w:p>
                  <w:pPr>
                    <w:jc w:val="center"/>
                  </w:pPr>
                  <w:r>
                    <w:rPr>
                      <w:sz w:val="21"/>
                    </w:rPr>
                    <w:t>会话保持功能</w:t>
                  </w:r>
                </w:p>
              </w:tc>
              <w:tc>
                <w:tcPr>
                  <w:tcW w:type="dxa" w:w="4308"/>
                  <w:tcBorders>
                    <w:top w:val="none" w:color="000000" w:sz="4"/>
                    <w:left w:val="none" w:color="000000" w:sz="4"/>
                    <w:bottom w:val="single" w:color="000000" w:sz="4"/>
                    <w:right w:val="single" w:color="000000" w:sz="4"/>
                  </w:tcBorders>
                  <w:vAlign w:val="top"/>
                </w:tcPr>
                <w:p>
                  <w:pPr>
                    <w:jc w:val="both"/>
                  </w:pPr>
                  <w:r>
                    <w:rPr>
                      <w:sz w:val="21"/>
                    </w:rPr>
                    <w:t>提供基于源</w:t>
                  </w:r>
                  <w:r>
                    <w:rPr>
                      <w:sz w:val="21"/>
                    </w:rPr>
                    <w:t>IP、URL、SIP、SSL ID、HASH、插入Cookie以及自定义字段等多种方式多种场景下的会话保持功能，实现在一段时间内将同一个用户的请求发送给同一台应用服务器。</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49"/>
                  <w:tcBorders>
                    <w:top w:val="none" w:color="000000" w:sz="4"/>
                    <w:left w:val="none" w:color="000000" w:sz="4"/>
                    <w:bottom w:val="single" w:color="000000" w:sz="4"/>
                    <w:right w:val="single" w:color="000000" w:sz="4"/>
                  </w:tcBorders>
                  <w:vAlign w:val="top"/>
                </w:tcPr>
                <w:p>
                  <w:pPr>
                    <w:jc w:val="center"/>
                  </w:pPr>
                  <w:r>
                    <w:rPr>
                      <w:sz w:val="21"/>
                    </w:rPr>
                    <w:t>IPv6地址解析支持</w:t>
                  </w:r>
                </w:p>
              </w:tc>
              <w:tc>
                <w:tcPr>
                  <w:tcW w:type="dxa" w:w="4308"/>
                  <w:tcBorders>
                    <w:top w:val="none" w:color="000000" w:sz="4"/>
                    <w:left w:val="none" w:color="000000" w:sz="4"/>
                    <w:bottom w:val="single" w:color="000000" w:sz="4"/>
                    <w:right w:val="single" w:color="000000" w:sz="4"/>
                  </w:tcBorders>
                  <w:vAlign w:val="top"/>
                </w:tcPr>
                <w:p>
                  <w:pPr>
                    <w:jc w:val="both"/>
                  </w:pPr>
                  <w:r>
                    <w:rPr>
                      <w:sz w:val="21"/>
                    </w:rPr>
                    <w:t>要求同时支持</w:t>
                  </w:r>
                  <w:r>
                    <w:rPr>
                      <w:sz w:val="21"/>
                    </w:rPr>
                    <w:t>IPv6和IPv4解析，支持IPv6到IPv4的地址转换。</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w:t>
                  </w:r>
                  <w:r>
                    <w:rPr>
                      <w:sz w:val="21"/>
                    </w:rPr>
                    <w:t>Multi-path TCP技术</w:t>
                  </w:r>
                </w:p>
              </w:tc>
              <w:tc>
                <w:tcPr>
                  <w:tcW w:type="dxa" w:w="4308"/>
                  <w:tcBorders>
                    <w:top w:val="none" w:color="000000" w:sz="4"/>
                    <w:left w:val="none" w:color="000000" w:sz="4"/>
                    <w:bottom w:val="single" w:color="000000" w:sz="4"/>
                    <w:right w:val="single" w:color="000000" w:sz="4"/>
                  </w:tcBorders>
                  <w:vAlign w:val="top"/>
                </w:tcPr>
                <w:p>
                  <w:pPr>
                    <w:jc w:val="both"/>
                  </w:pPr>
                  <w:r>
                    <w:rPr>
                      <w:sz w:val="21"/>
                    </w:rPr>
                    <w:t>支持在多重网络环境下可以通过多种网络环境（</w:t>
                  </w:r>
                  <w:r>
                    <w:rPr>
                      <w:sz w:val="21"/>
                    </w:rPr>
                    <w:t>WIFI、3G、4G）同时发起请求的Multipath TCP连接方式。</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49"/>
                  <w:tcBorders>
                    <w:top w:val="none" w:color="000000" w:sz="4"/>
                    <w:left w:val="none" w:color="000000" w:sz="4"/>
                    <w:bottom w:val="single" w:color="000000" w:sz="4"/>
                    <w:right w:val="single" w:color="000000" w:sz="4"/>
                  </w:tcBorders>
                  <w:vAlign w:val="top"/>
                </w:tcPr>
                <w:p>
                  <w:pPr>
                    <w:jc w:val="center"/>
                  </w:pPr>
                  <w:r>
                    <w:rPr>
                      <w:sz w:val="21"/>
                    </w:rPr>
                    <w:t>TCP应用NAT后的源地址传递功能</w:t>
                  </w:r>
                </w:p>
              </w:tc>
              <w:tc>
                <w:tcPr>
                  <w:tcW w:type="dxa" w:w="4308"/>
                  <w:tcBorders>
                    <w:top w:val="none" w:color="000000" w:sz="4"/>
                    <w:left w:val="none" w:color="000000" w:sz="4"/>
                    <w:bottom w:val="single" w:color="000000" w:sz="4"/>
                    <w:right w:val="single" w:color="000000" w:sz="4"/>
                  </w:tcBorders>
                  <w:vAlign w:val="top"/>
                </w:tcPr>
                <w:p>
                  <w:pPr>
                    <w:jc w:val="both"/>
                  </w:pPr>
                  <w:r>
                    <w:rPr>
                      <w:sz w:val="21"/>
                    </w:rPr>
                    <w:t>支持</w:t>
                  </w:r>
                  <w:r>
                    <w:rPr>
                      <w:sz w:val="21"/>
                    </w:rPr>
                    <w:t>TCP应用经过设备SNAT之后能将用户的真实地址插入到TCP包中，以便后台服务器获取客户端源地址。</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w:t>
                  </w:r>
                  <w:r>
                    <w:rPr>
                      <w:sz w:val="21"/>
                    </w:rPr>
                    <w:t>MQTT协议</w:t>
                  </w:r>
                </w:p>
              </w:tc>
              <w:tc>
                <w:tcPr>
                  <w:tcW w:type="dxa" w:w="4308"/>
                  <w:tcBorders>
                    <w:top w:val="none" w:color="000000" w:sz="4"/>
                    <w:left w:val="none" w:color="000000" w:sz="4"/>
                    <w:bottom w:val="single" w:color="000000" w:sz="4"/>
                    <w:right w:val="single" w:color="000000" w:sz="4"/>
                  </w:tcBorders>
                  <w:vAlign w:val="top"/>
                </w:tcPr>
                <w:p>
                  <w:pPr>
                    <w:jc w:val="both"/>
                  </w:pPr>
                  <w:r>
                    <w:rPr>
                      <w:sz w:val="21"/>
                    </w:rPr>
                    <w:t>支持</w:t>
                  </w:r>
                  <w:r>
                    <w:rPr>
                      <w:sz w:val="21"/>
                    </w:rPr>
                    <w:t>MQTT协议的协议解析，日志审计和负载分发。</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849"/>
                  <w:tcBorders>
                    <w:top w:val="none" w:color="000000" w:sz="4"/>
                    <w:left w:val="none" w:color="000000" w:sz="4"/>
                    <w:bottom w:val="single" w:color="000000" w:sz="4"/>
                    <w:right w:val="single" w:color="000000" w:sz="4"/>
                  </w:tcBorders>
                  <w:vAlign w:val="top"/>
                </w:tcPr>
                <w:p>
                  <w:pPr>
                    <w:jc w:val="both"/>
                  </w:pPr>
                  <w:r>
                    <w:rPr>
                      <w:sz w:val="19"/>
                    </w:rPr>
                    <w:t xml:space="preserve"> </w:t>
                  </w:r>
                </w:p>
                <w:p>
                  <w:pPr>
                    <w:jc w:val="both"/>
                  </w:pPr>
                  <w:r>
                    <w:rPr>
                      <w:sz w:val="21"/>
                    </w:rPr>
                    <w:t>SDN底层网络协议集成</w:t>
                  </w:r>
                </w:p>
              </w:tc>
              <w:tc>
                <w:tcPr>
                  <w:tcW w:type="dxa" w:w="4308"/>
                  <w:tcBorders>
                    <w:top w:val="none" w:color="000000" w:sz="4"/>
                    <w:left w:val="none" w:color="000000" w:sz="4"/>
                    <w:bottom w:val="single" w:color="000000" w:sz="4"/>
                    <w:right w:val="single" w:color="000000" w:sz="4"/>
                  </w:tcBorders>
                  <w:vAlign w:val="top"/>
                </w:tcPr>
                <w:p>
                  <w:pPr>
                    <w:jc w:val="both"/>
                  </w:pPr>
                  <w:r>
                    <w:rPr>
                      <w:sz w:val="21"/>
                    </w:rPr>
                    <w:t>支持</w:t>
                  </w:r>
                  <w:r>
                    <w:rPr>
                      <w:sz w:val="21"/>
                    </w:rPr>
                    <w:t>VXLAN和NVGRE协议。设备支持作为VXLAN VTEP节点，</w:t>
                  </w:r>
                </w:p>
                <w:p>
                  <w:pPr>
                    <w:jc w:val="both"/>
                  </w:pPr>
                  <w:r>
                    <w:rPr>
                      <w:sz w:val="21"/>
                    </w:rPr>
                    <w:t>提供vlan到vxlan的映射，支持作为NVGRE Gateway。</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849"/>
                  <w:tcBorders>
                    <w:top w:val="none" w:color="000000" w:sz="4"/>
                    <w:left w:val="none" w:color="000000" w:sz="4"/>
                    <w:bottom w:val="single" w:color="000000" w:sz="4"/>
                    <w:right w:val="single" w:color="000000" w:sz="4"/>
                  </w:tcBorders>
                  <w:vAlign w:val="top"/>
                </w:tcPr>
                <w:p>
                  <w:pPr>
                    <w:jc w:val="center"/>
                  </w:pPr>
                  <w:r>
                    <w:rPr>
                      <w:sz w:val="21"/>
                    </w:rPr>
                    <w:t>SSL卸载能力</w:t>
                  </w:r>
                </w:p>
              </w:tc>
              <w:tc>
                <w:tcPr>
                  <w:tcW w:type="dxa" w:w="4308"/>
                  <w:tcBorders>
                    <w:top w:val="none" w:color="000000" w:sz="4"/>
                    <w:left w:val="none" w:color="000000" w:sz="4"/>
                    <w:bottom w:val="single" w:color="000000" w:sz="4"/>
                    <w:right w:val="single" w:color="000000" w:sz="4"/>
                  </w:tcBorders>
                  <w:vAlign w:val="top"/>
                </w:tcPr>
                <w:p>
                  <w:pPr>
                    <w:jc w:val="both"/>
                  </w:pPr>
                  <w:r>
                    <w:rPr>
                      <w:sz w:val="21"/>
                    </w:rPr>
                    <w:t>免费提供</w:t>
                  </w:r>
                  <w:r>
                    <w:rPr>
                      <w:sz w:val="21"/>
                    </w:rPr>
                    <w:t>SSL卸载功能，减少内部服务器压力，必须支持1K、2K、4K密钥长度，必须支持 SSL V1/V2/V3、TLS 1.2/1.3 算法。</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w:t>
                  </w:r>
                  <w:r>
                    <w:rPr>
                      <w:sz w:val="21"/>
                    </w:rPr>
                    <w:t>SSLVPN功能</w:t>
                  </w:r>
                </w:p>
              </w:tc>
              <w:tc>
                <w:tcPr>
                  <w:tcW w:type="dxa" w:w="4308"/>
                  <w:tcBorders>
                    <w:top w:val="none" w:color="000000" w:sz="4"/>
                    <w:left w:val="none" w:color="000000" w:sz="4"/>
                    <w:bottom w:val="single" w:color="000000" w:sz="4"/>
                    <w:right w:val="single" w:color="000000" w:sz="4"/>
                  </w:tcBorders>
                  <w:vAlign w:val="top"/>
                </w:tcPr>
                <w:p>
                  <w:pPr>
                    <w:jc w:val="both"/>
                  </w:pPr>
                  <w:r>
                    <w:rPr>
                      <w:sz w:val="21"/>
                    </w:rPr>
                    <w:t>整机免费提供</w:t>
                  </w:r>
                  <w:r>
                    <w:rPr>
                      <w:sz w:val="21"/>
                    </w:rPr>
                    <w:t>SSL VPN功能，标配10个并发用户许可证，支持Windows、MAC、Linux、IOS、Android等多种平台的接入。</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849"/>
                  <w:tcBorders>
                    <w:top w:val="none" w:color="000000" w:sz="4"/>
                    <w:left w:val="none" w:color="000000" w:sz="4"/>
                    <w:bottom w:val="single" w:color="000000" w:sz="4"/>
                    <w:right w:val="single" w:color="000000" w:sz="4"/>
                  </w:tcBorders>
                  <w:vAlign w:val="top"/>
                </w:tcPr>
                <w:p>
                  <w:pPr>
                    <w:jc w:val="center"/>
                  </w:pPr>
                  <w:r>
                    <w:rPr>
                      <w:sz w:val="21"/>
                    </w:rPr>
                    <w:t>自助巡检</w:t>
                  </w:r>
                </w:p>
              </w:tc>
              <w:tc>
                <w:tcPr>
                  <w:tcW w:type="dxa" w:w="4308"/>
                  <w:tcBorders>
                    <w:top w:val="none" w:color="000000" w:sz="4"/>
                    <w:left w:val="none" w:color="000000" w:sz="4"/>
                    <w:bottom w:val="single" w:color="000000" w:sz="4"/>
                    <w:right w:val="single" w:color="000000" w:sz="4"/>
                  </w:tcBorders>
                  <w:vAlign w:val="top"/>
                </w:tcPr>
                <w:p>
                  <w:pPr>
                    <w:jc w:val="both"/>
                  </w:pPr>
                  <w:r>
                    <w:rPr>
                      <w:sz w:val="21"/>
                    </w:rPr>
                    <w:t>提供免费的在线自助巡检系统，可以随时对设备的运行状态、日志记录、异常报警、设备配置、性能图表、软件版本等进行检测和分析，生成状态诊断和分析报告。</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849"/>
                  <w:tcBorders>
                    <w:top w:val="none" w:color="000000" w:sz="4"/>
                    <w:left w:val="none" w:color="000000" w:sz="4"/>
                    <w:bottom w:val="single" w:color="000000" w:sz="4"/>
                    <w:right w:val="single" w:color="000000" w:sz="4"/>
                  </w:tcBorders>
                  <w:vAlign w:val="top"/>
                </w:tcPr>
                <w:p>
                  <w:pPr>
                    <w:jc w:val="center"/>
                  </w:pPr>
                  <w:r>
                    <w:rPr>
                      <w:sz w:val="21"/>
                    </w:rPr>
                    <w:t>LCD液晶管理面板</w:t>
                  </w:r>
                </w:p>
              </w:tc>
              <w:tc>
                <w:tcPr>
                  <w:tcW w:type="dxa" w:w="4308"/>
                  <w:tcBorders>
                    <w:top w:val="none" w:color="000000" w:sz="4"/>
                    <w:left w:val="none" w:color="000000" w:sz="4"/>
                    <w:bottom w:val="single" w:color="000000" w:sz="4"/>
                    <w:right w:val="single" w:color="000000" w:sz="4"/>
                  </w:tcBorders>
                  <w:vAlign w:val="top"/>
                </w:tcPr>
                <w:p>
                  <w:pPr>
                    <w:jc w:val="both"/>
                  </w:pPr>
                  <w:r>
                    <w:rPr>
                      <w:sz w:val="21"/>
                    </w:rPr>
                    <w:t>提供液晶面板进行简单管理，显示设备工作状态和报警，便于机房管理人员巡检。</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w:t>
                  </w:r>
                  <w:r>
                    <w:rPr>
                      <w:sz w:val="21"/>
                    </w:rPr>
                    <w:t>Ansible自动化运维</w:t>
                  </w:r>
                </w:p>
              </w:tc>
              <w:tc>
                <w:tcPr>
                  <w:tcW w:type="dxa" w:w="4308"/>
                  <w:tcBorders>
                    <w:top w:val="none" w:color="000000" w:sz="4"/>
                    <w:left w:val="none" w:color="000000" w:sz="4"/>
                    <w:bottom w:val="single" w:color="000000" w:sz="4"/>
                    <w:right w:val="single" w:color="000000" w:sz="4"/>
                  </w:tcBorders>
                  <w:vAlign w:val="top"/>
                </w:tcPr>
                <w:p>
                  <w:pPr>
                    <w:jc w:val="both"/>
                  </w:pPr>
                  <w:r>
                    <w:rPr>
                      <w:sz w:val="21"/>
                    </w:rPr>
                    <w:t>可通过主流的自动化运维工具例如</w:t>
                  </w:r>
                  <w:r>
                    <w:rPr>
                      <w:sz w:val="21"/>
                    </w:rPr>
                    <w:t>Ansible自动实现日常运维配置，必须支持自动化网络配置、NTP服务、SNMP服务等初始化参数，必须支持自动化创建、修改和删除虚拟服务器、真实服务器等应用交付对象。</w:t>
                  </w:r>
                  <w:r>
                    <w:rPr>
                      <w:b/>
                      <w:sz w:val="21"/>
                    </w:rPr>
                    <w:t>需提供相关证明材料复印件加盖公章。</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w:t>
                  </w:r>
                  <w:r>
                    <w:rPr>
                      <w:sz w:val="21"/>
                    </w:rPr>
                    <w:t>Terraform自动化运维</w:t>
                  </w:r>
                </w:p>
              </w:tc>
              <w:tc>
                <w:tcPr>
                  <w:tcW w:type="dxa" w:w="4308"/>
                  <w:tcBorders>
                    <w:top w:val="none" w:color="000000" w:sz="4"/>
                    <w:left w:val="none" w:color="000000" w:sz="4"/>
                    <w:bottom w:val="single" w:color="000000" w:sz="4"/>
                    <w:right w:val="single" w:color="000000" w:sz="4"/>
                  </w:tcBorders>
                  <w:vAlign w:val="top"/>
                </w:tcPr>
                <w:p>
                  <w:pPr>
                    <w:jc w:val="both"/>
                  </w:pPr>
                  <w:r>
                    <w:rPr>
                      <w:sz w:val="21"/>
                    </w:rPr>
                    <w:t>可通过主流的自动化运维工具</w:t>
                  </w:r>
                  <w:r>
                    <w:rPr>
                      <w:sz w:val="21"/>
                    </w:rPr>
                    <w:t>Terraform实现基础设施即代码（IaC）； 必须支持网络配置、NTP、DNS、SNMP服务等参数配置； 必须支持自动化创建、修改和删除虚拟服务器、真实服务器等应用交付对象。</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支持声明式</w:t>
                  </w:r>
                  <w:r>
                    <w:rPr>
                      <w:sz w:val="21"/>
                    </w:rPr>
                    <w:t>API设备初始化</w:t>
                  </w:r>
                </w:p>
              </w:tc>
              <w:tc>
                <w:tcPr>
                  <w:tcW w:type="dxa" w:w="4308"/>
                  <w:tcBorders>
                    <w:top w:val="none" w:color="000000" w:sz="4"/>
                    <w:left w:val="none" w:color="000000" w:sz="4"/>
                    <w:bottom w:val="single" w:color="000000" w:sz="4"/>
                    <w:right w:val="single" w:color="000000" w:sz="4"/>
                  </w:tcBorders>
                  <w:vAlign w:val="top"/>
                </w:tcPr>
                <w:p>
                  <w:pPr>
                    <w:jc w:val="both"/>
                  </w:pPr>
                  <w:r>
                    <w:rPr>
                      <w:sz w:val="21"/>
                    </w:rPr>
                    <w:t>可通过声明式</w:t>
                  </w:r>
                  <w:r>
                    <w:rPr>
                      <w:sz w:val="21"/>
                    </w:rPr>
                    <w:t>API在一次API调用中完成设备初始化，包括但不限于NTP、DNS、SNMP配置、VLAN、IP、路由配置、设备集群高可用配置。</w:t>
                  </w:r>
                </w:p>
              </w:tc>
            </w:tr>
            <w:tr>
              <w:tc>
                <w:tcPr>
                  <w:tcW w:type="dxa" w:w="42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849"/>
                  <w:tcBorders>
                    <w:top w:val="none" w:color="000000" w:sz="4"/>
                    <w:left w:val="none" w:color="000000" w:sz="4"/>
                    <w:bottom w:val="single" w:color="000000" w:sz="4"/>
                    <w:right w:val="single" w:color="000000" w:sz="4"/>
                  </w:tcBorders>
                  <w:vAlign w:val="top"/>
                </w:tcPr>
                <w:p>
                  <w:pPr>
                    <w:jc w:val="center"/>
                  </w:pPr>
                  <w:r>
                    <w:rPr>
                      <w:sz w:val="21"/>
                    </w:rPr>
                    <w:t>支持声明式信息采集配置</w:t>
                  </w:r>
                </w:p>
              </w:tc>
              <w:tc>
                <w:tcPr>
                  <w:tcW w:type="dxa" w:w="4308"/>
                  <w:tcBorders>
                    <w:top w:val="none" w:color="000000" w:sz="4"/>
                    <w:left w:val="none" w:color="000000" w:sz="4"/>
                    <w:bottom w:val="single" w:color="000000" w:sz="4"/>
                    <w:right w:val="single" w:color="000000" w:sz="4"/>
                  </w:tcBorders>
                  <w:vAlign w:val="top"/>
                </w:tcPr>
                <w:p>
                  <w:pPr>
                    <w:jc w:val="both"/>
                  </w:pPr>
                  <w:r>
                    <w:rPr>
                      <w:sz w:val="21"/>
                    </w:rPr>
                    <w:t>支持声明式</w:t>
                  </w:r>
                  <w:r>
                    <w:rPr>
                      <w:sz w:val="21"/>
                    </w:rPr>
                    <w:t>API配置，将设备自身状态、及其虚拟服务的应用级信息发送到Splunk、ELK等数据分析平台进行集中分析展示。</w:t>
                  </w:r>
                </w:p>
              </w:tc>
            </w:tr>
            <w:tr>
              <w:tc>
                <w:tcPr>
                  <w:tcW w:type="dxa" w:w="429"/>
                  <w:vMerge w:val="restart"/>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849"/>
                  <w:vMerge w:val="restart"/>
                  <w:tcBorders>
                    <w:top w:val="none" w:color="000000" w:sz="4"/>
                    <w:left w:val="none" w:color="000000" w:sz="4"/>
                    <w:bottom w:val="single" w:color="000000" w:sz="4"/>
                    <w:right w:val="single" w:color="000000" w:sz="4"/>
                  </w:tcBorders>
                  <w:vAlign w:val="top"/>
                </w:tcPr>
                <w:p>
                  <w:pPr>
                    <w:jc w:val="center"/>
                  </w:pPr>
                  <w:r>
                    <w:rPr>
                      <w:sz w:val="21"/>
                    </w:rPr>
                    <w:t>服务要求</w:t>
                  </w:r>
                </w:p>
              </w:tc>
              <w:tc>
                <w:tcPr>
                  <w:tcW w:type="dxa" w:w="4308"/>
                  <w:tcBorders>
                    <w:top w:val="none" w:color="000000" w:sz="4"/>
                    <w:left w:val="none" w:color="000000" w:sz="4"/>
                    <w:bottom w:val="single" w:color="000000" w:sz="4"/>
                    <w:right w:val="single" w:color="000000" w:sz="4"/>
                  </w:tcBorders>
                  <w:vAlign w:val="top"/>
                </w:tcPr>
                <w:p>
                  <w:pPr>
                    <w:jc w:val="both"/>
                  </w:pPr>
                  <w:r>
                    <w:rPr>
                      <w:sz w:val="21"/>
                    </w:rPr>
                    <w:t>23.1 硬件故障诊断程序：测试应用交付控制器是否内置硬件故障诊断程序，是否能够快速确定硬件故障情况。检验内容及报告应该包括：系统检测、传感器检测、 PCI（外部集成电路检测）、 SSL加解密芯片检测 、系统内存检测、Led灯状态检测。</w:t>
                  </w:r>
                </w:p>
              </w:tc>
            </w:tr>
            <w:tr>
              <w:tc>
                <w:tcPr>
                  <w:tcW w:type="dxa" w:w="429"/>
                  <w:vMerge/>
                  <w:tcBorders>
                    <w:top w:val="none" w:color="000000" w:sz="4"/>
                    <w:left w:val="single" w:color="000000" w:sz="4"/>
                    <w:bottom w:val="single" w:color="000000" w:sz="4"/>
                    <w:right w:val="single" w:color="000000" w:sz="4"/>
                  </w:tcBorders>
                </w:tcPr>
                <w:p/>
              </w:tc>
              <w:tc>
                <w:tcPr>
                  <w:tcW w:type="dxa" w:w="849"/>
                  <w:vMerge/>
                  <w:tcBorders>
                    <w:top w:val="none" w:color="000000" w:sz="4"/>
                    <w:left w:val="none" w:color="000000" w:sz="4"/>
                    <w:bottom w:val="single" w:color="000000" w:sz="4"/>
                    <w:right w:val="single" w:color="000000" w:sz="4"/>
                  </w:tcBorders>
                </w:tcPr>
                <w:p/>
              </w:tc>
              <w:tc>
                <w:tcPr>
                  <w:tcW w:type="dxa" w:w="4308"/>
                  <w:tcBorders>
                    <w:top w:val="none" w:color="000000" w:sz="4"/>
                    <w:left w:val="none" w:color="000000" w:sz="4"/>
                    <w:bottom w:val="single" w:color="000000" w:sz="4"/>
                    <w:right w:val="single" w:color="000000" w:sz="4"/>
                  </w:tcBorders>
                  <w:vAlign w:val="top"/>
                </w:tcPr>
                <w:p>
                  <w:pPr>
                    <w:jc w:val="both"/>
                  </w:pPr>
                  <w:r>
                    <w:rPr>
                      <w:b/>
                      <w:sz w:val="21"/>
                    </w:rPr>
                    <w:t>★</w:t>
                  </w:r>
                  <w:r>
                    <w:rPr>
                      <w:b/>
                      <w:sz w:val="21"/>
                    </w:rPr>
                    <w:t>23.2原厂服务：要求提供≥三年原厂软件升级、故障修复，5*8小时的免费技术支持热线等服务。</w:t>
                  </w:r>
                </w:p>
              </w:tc>
            </w:tr>
          </w:tbl>
          <w:p>
            <w:pPr>
              <w:jc w:val="both"/>
            </w:pPr>
          </w:p>
          <w:p>
            <w:pPr>
              <w:jc w:val="both"/>
            </w:pPr>
            <w:r>
              <w:rPr>
                <w:b/>
                <w:sz w:val="21"/>
              </w:rPr>
              <w:t>4</w:t>
            </w:r>
            <w:r>
              <w:rPr>
                <w:b/>
                <w:sz w:val="21"/>
              </w:rPr>
              <w:t>.HBA</w:t>
            </w:r>
            <w:r>
              <w:rPr>
                <w:b/>
                <w:sz w:val="21"/>
              </w:rPr>
              <w:t>卡</w:t>
            </w:r>
          </w:p>
          <w:tbl>
            <w:tblPr>
              <w:tblInd w:type="dxa" w:w="105"/>
              <w:tblBorders>
                <w:top w:val="none" w:color="000000" w:sz="4"/>
                <w:left w:val="none" w:color="000000" w:sz="4"/>
                <w:bottom w:val="none" w:color="000000" w:sz="4"/>
                <w:right w:val="none" w:color="000000" w:sz="4"/>
                <w:insideH w:val="none"/>
                <w:insideV w:val="none"/>
              </w:tblBorders>
            </w:tblPr>
            <w:tblGrid>
              <w:gridCol w:w="360"/>
              <w:gridCol w:w="791"/>
              <w:gridCol w:w="4448"/>
            </w:tblGrid>
            <w:tr>
              <w:tc>
                <w:tcPr>
                  <w:tcW w:type="dxa" w:w="360"/>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791"/>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48"/>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1"/>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48"/>
                  <w:tcBorders>
                    <w:top w:val="none" w:color="000000" w:sz="4"/>
                    <w:left w:val="none" w:color="000000" w:sz="4"/>
                    <w:bottom w:val="single" w:color="000000" w:sz="4"/>
                    <w:right w:val="single" w:color="000000" w:sz="4"/>
                  </w:tcBorders>
                  <w:vAlign w:val="top"/>
                </w:tcPr>
                <w:p>
                  <w:pPr>
                    <w:jc w:val="both"/>
                  </w:pPr>
                  <w:r>
                    <w:rPr>
                      <w:sz w:val="21"/>
                    </w:rPr>
                    <w:t>HPE SN1100Q 16Gb 1p FC HBA含光模块，须兼容现有HPE服务器。</w:t>
                  </w:r>
                </w:p>
              </w:tc>
            </w:tr>
          </w:tbl>
          <w:p>
            <w:pPr>
              <w:jc w:val="both"/>
            </w:pPr>
          </w:p>
          <w:p>
            <w:pPr>
              <w:jc w:val="both"/>
            </w:pPr>
            <w:r>
              <w:rPr>
                <w:b/>
                <w:sz w:val="21"/>
              </w:rPr>
              <w:t>5</w:t>
            </w:r>
            <w:r>
              <w:rPr>
                <w:b/>
                <w:sz w:val="21"/>
              </w:rPr>
              <w:t>.</w:t>
            </w:r>
            <w:r>
              <w:rPr>
                <w:b/>
                <w:sz w:val="21"/>
              </w:rPr>
              <w:t>内存（</w:t>
            </w:r>
            <w:r>
              <w:rPr>
                <w:b/>
                <w:sz w:val="21"/>
              </w:rPr>
              <w:t>Gen9</w:t>
            </w:r>
            <w:r>
              <w:rPr>
                <w:b/>
                <w:sz w:val="21"/>
              </w:rPr>
              <w:t>服务器内存，须兼容现有</w:t>
            </w:r>
            <w:r>
              <w:rPr>
                <w:b/>
                <w:sz w:val="21"/>
              </w:rPr>
              <w:t>HPE</w:t>
            </w:r>
            <w:r>
              <w:rPr>
                <w:b/>
                <w:sz w:val="21"/>
              </w:rPr>
              <w:t>服务器）</w:t>
            </w:r>
          </w:p>
          <w:tbl>
            <w:tblPr>
              <w:tblInd w:type="dxa" w:w="105"/>
              <w:tblBorders>
                <w:top w:val="none" w:color="000000" w:sz="4"/>
                <w:left w:val="none" w:color="000000" w:sz="4"/>
                <w:bottom w:val="none" w:color="000000" w:sz="4"/>
                <w:right w:val="none" w:color="000000" w:sz="4"/>
                <w:insideH w:val="none"/>
                <w:insideV w:val="none"/>
              </w:tblBorders>
            </w:tblPr>
            <w:tblGrid>
              <w:gridCol w:w="339"/>
              <w:gridCol w:w="811"/>
              <w:gridCol w:w="4448"/>
            </w:tblGrid>
            <w:tr>
              <w:tc>
                <w:tcPr>
                  <w:tcW w:type="dxa" w:w="339"/>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11"/>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48"/>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3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11"/>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48"/>
                  <w:tcBorders>
                    <w:top w:val="none" w:color="000000" w:sz="4"/>
                    <w:left w:val="none" w:color="000000" w:sz="4"/>
                    <w:bottom w:val="single" w:color="000000" w:sz="4"/>
                    <w:right w:val="single" w:color="000000" w:sz="4"/>
                  </w:tcBorders>
                  <w:vAlign w:val="top"/>
                </w:tcPr>
                <w:p>
                  <w:pPr>
                    <w:jc w:val="both"/>
                  </w:pPr>
                  <w:r>
                    <w:rPr>
                      <w:sz w:val="21"/>
                    </w:rPr>
                    <w:t>HPE 64GB 2400MHz DDR4 Gen9服务器内存，须兼容现有HPE服务器。</w:t>
                  </w:r>
                </w:p>
              </w:tc>
            </w:tr>
          </w:tbl>
          <w:p>
            <w:pPr>
              <w:jc w:val="both"/>
            </w:pPr>
          </w:p>
          <w:p>
            <w:pPr>
              <w:jc w:val="both"/>
            </w:pPr>
            <w:r>
              <w:rPr>
                <w:b/>
                <w:sz w:val="21"/>
              </w:rPr>
              <w:t>6</w:t>
            </w:r>
            <w:r>
              <w:rPr>
                <w:b/>
                <w:sz w:val="21"/>
              </w:rPr>
              <w:t>.</w:t>
            </w:r>
            <w:r>
              <w:rPr>
                <w:b/>
                <w:sz w:val="21"/>
              </w:rPr>
              <w:t>内存（</w:t>
            </w:r>
            <w:r>
              <w:rPr>
                <w:b/>
                <w:sz w:val="21"/>
              </w:rPr>
              <w:t>Gen10</w:t>
            </w:r>
            <w:r>
              <w:rPr>
                <w:b/>
                <w:sz w:val="21"/>
              </w:rPr>
              <w:t>服务器内存，须兼容现有</w:t>
            </w:r>
            <w:r>
              <w:rPr>
                <w:b/>
                <w:sz w:val="21"/>
              </w:rPr>
              <w:t>HPE</w:t>
            </w:r>
            <w:r>
              <w:rPr>
                <w:b/>
                <w:sz w:val="21"/>
              </w:rPr>
              <w:t>服务器）</w:t>
            </w:r>
          </w:p>
          <w:tbl>
            <w:tblPr>
              <w:tblInd w:type="dxa" w:w="105"/>
              <w:tblBorders>
                <w:top w:val="none" w:color="000000" w:sz="4"/>
                <w:left w:val="none" w:color="000000" w:sz="4"/>
                <w:bottom w:val="none" w:color="000000" w:sz="4"/>
                <w:right w:val="none" w:color="000000" w:sz="4"/>
                <w:insideH w:val="none"/>
                <w:insideV w:val="none"/>
              </w:tblBorders>
            </w:tblPr>
            <w:tblGrid>
              <w:gridCol w:w="338"/>
              <w:gridCol w:w="808"/>
              <w:gridCol w:w="4452"/>
            </w:tblGrid>
            <w:tr>
              <w:tc>
                <w:tcPr>
                  <w:tcW w:type="dxa" w:w="338"/>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08"/>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52"/>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08"/>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52"/>
                  <w:tcBorders>
                    <w:top w:val="none" w:color="000000" w:sz="4"/>
                    <w:left w:val="none" w:color="000000" w:sz="4"/>
                    <w:bottom w:val="single" w:color="000000" w:sz="4"/>
                    <w:right w:val="single" w:color="000000" w:sz="4"/>
                  </w:tcBorders>
                  <w:vAlign w:val="top"/>
                </w:tcPr>
                <w:p>
                  <w:pPr>
                    <w:jc w:val="both"/>
                  </w:pPr>
                  <w:r>
                    <w:rPr>
                      <w:sz w:val="21"/>
                    </w:rPr>
                    <w:t>HPE 64GB 2933MHz DDR4 Gen10服务器内存，须兼容现有HPE服务器。</w:t>
                  </w:r>
                </w:p>
              </w:tc>
            </w:tr>
          </w:tbl>
          <w:p>
            <w:pPr>
              <w:jc w:val="both"/>
            </w:pPr>
          </w:p>
          <w:p>
            <w:pPr>
              <w:jc w:val="both"/>
            </w:pPr>
            <w:r>
              <w:rPr>
                <w:b/>
                <w:sz w:val="21"/>
              </w:rPr>
              <w:t>7</w:t>
            </w:r>
            <w:r>
              <w:rPr>
                <w:b/>
                <w:sz w:val="21"/>
              </w:rPr>
              <w:t>.</w:t>
            </w:r>
            <w:r>
              <w:rPr>
                <w:b/>
                <w:sz w:val="21"/>
              </w:rPr>
              <w:t>网卡</w:t>
            </w:r>
          </w:p>
          <w:tbl>
            <w:tblPr>
              <w:tblInd w:type="dxa" w:w="105"/>
              <w:tblBorders>
                <w:top w:val="none" w:color="000000" w:sz="4"/>
                <w:left w:val="none" w:color="000000" w:sz="4"/>
                <w:bottom w:val="none" w:color="000000" w:sz="4"/>
                <w:right w:val="none" w:color="000000" w:sz="4"/>
                <w:insideH w:val="none"/>
                <w:insideV w:val="none"/>
              </w:tblBorders>
            </w:tblPr>
            <w:tblGrid>
              <w:gridCol w:w="337"/>
              <w:gridCol w:w="807"/>
              <w:gridCol w:w="4454"/>
            </w:tblGrid>
            <w:tr>
              <w:tc>
                <w:tcPr>
                  <w:tcW w:type="dxa" w:w="337"/>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07"/>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54"/>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07"/>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54"/>
                  <w:tcBorders>
                    <w:top w:val="none" w:color="000000" w:sz="4"/>
                    <w:left w:val="none" w:color="000000" w:sz="4"/>
                    <w:bottom w:val="single" w:color="000000" w:sz="4"/>
                    <w:right w:val="single" w:color="000000" w:sz="4"/>
                  </w:tcBorders>
                  <w:vAlign w:val="top"/>
                </w:tcPr>
                <w:p>
                  <w:pPr>
                    <w:jc w:val="both"/>
                  </w:pPr>
                  <w:r>
                    <w:rPr>
                      <w:sz w:val="21"/>
                    </w:rPr>
                    <w:t>HPE Ethernet 10Gb 2-port 562SFP+ Adptr（含模块），须兼容现有HPE服务器。</w:t>
                  </w:r>
                </w:p>
              </w:tc>
            </w:tr>
          </w:tbl>
          <w:p>
            <w:pPr>
              <w:jc w:val="both"/>
            </w:pPr>
          </w:p>
          <w:p>
            <w:pPr>
              <w:jc w:val="both"/>
            </w:pPr>
            <w:r>
              <w:rPr>
                <w:b/>
                <w:sz w:val="21"/>
              </w:rPr>
              <w:t>8</w:t>
            </w:r>
            <w:r>
              <w:rPr>
                <w:b/>
                <w:sz w:val="21"/>
              </w:rPr>
              <w:t>.  1.8TB</w:t>
            </w:r>
            <w:r>
              <w:rPr>
                <w:b/>
                <w:sz w:val="21"/>
              </w:rPr>
              <w:t>存储硬盘（</w:t>
            </w:r>
            <w:r>
              <w:rPr>
                <w:b/>
                <w:sz w:val="21"/>
              </w:rPr>
              <w:t>HPE 3PAR 8000</w:t>
            </w:r>
            <w:r>
              <w:rPr>
                <w:b/>
                <w:sz w:val="21"/>
              </w:rPr>
              <w:t>，须兼容现有</w:t>
            </w:r>
            <w:r>
              <w:rPr>
                <w:b/>
                <w:sz w:val="21"/>
              </w:rPr>
              <w:t>HPE</w:t>
            </w:r>
            <w:r>
              <w:rPr>
                <w:b/>
                <w:sz w:val="21"/>
              </w:rPr>
              <w:t>存储）</w:t>
            </w:r>
          </w:p>
          <w:tbl>
            <w:tblPr>
              <w:tblInd w:type="dxa" w:w="105"/>
              <w:tblBorders>
                <w:top w:val="none" w:color="000000" w:sz="4"/>
                <w:left w:val="none" w:color="000000" w:sz="4"/>
                <w:bottom w:val="none" w:color="000000" w:sz="4"/>
                <w:right w:val="none" w:color="000000" w:sz="4"/>
                <w:insideH w:val="none"/>
                <w:insideV w:val="none"/>
              </w:tblBorders>
            </w:tblPr>
            <w:tblGrid>
              <w:gridCol w:w="338"/>
              <w:gridCol w:w="820"/>
              <w:gridCol w:w="4439"/>
            </w:tblGrid>
            <w:tr>
              <w:tc>
                <w:tcPr>
                  <w:tcW w:type="dxa" w:w="338"/>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20"/>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39"/>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20"/>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39"/>
                  <w:tcBorders>
                    <w:top w:val="none" w:color="000000" w:sz="4"/>
                    <w:left w:val="none" w:color="000000" w:sz="4"/>
                    <w:bottom w:val="single" w:color="000000" w:sz="4"/>
                    <w:right w:val="single" w:color="000000" w:sz="4"/>
                  </w:tcBorders>
                  <w:vAlign w:val="top"/>
                </w:tcPr>
                <w:p>
                  <w:pPr>
                    <w:jc w:val="both"/>
                  </w:pPr>
                  <w:r>
                    <w:rPr>
                      <w:sz w:val="21"/>
                    </w:rPr>
                    <w:t>HPE 3PAR 8000 1.8TB+SW 10K SFF HDD硬盘，须兼容现有HPE存储。</w:t>
                  </w:r>
                </w:p>
              </w:tc>
            </w:tr>
          </w:tbl>
          <w:p>
            <w:pPr>
              <w:jc w:val="both"/>
            </w:pPr>
          </w:p>
          <w:p>
            <w:pPr>
              <w:jc w:val="both"/>
            </w:pPr>
            <w:r>
              <w:rPr>
                <w:b/>
                <w:sz w:val="21"/>
              </w:rPr>
              <w:t>9</w:t>
            </w:r>
            <w:r>
              <w:rPr>
                <w:b/>
                <w:sz w:val="21"/>
              </w:rPr>
              <w:t>.  2.4TB</w:t>
            </w:r>
            <w:r>
              <w:rPr>
                <w:b/>
                <w:sz w:val="21"/>
              </w:rPr>
              <w:t>存储硬盘（</w:t>
            </w:r>
            <w:r>
              <w:rPr>
                <w:b/>
                <w:sz w:val="21"/>
              </w:rPr>
              <w:t>HPE MSA2040</w:t>
            </w:r>
            <w:r>
              <w:rPr>
                <w:b/>
                <w:sz w:val="21"/>
              </w:rPr>
              <w:t>，须兼容现有</w:t>
            </w:r>
            <w:r>
              <w:rPr>
                <w:b/>
                <w:sz w:val="21"/>
              </w:rPr>
              <w:t>HPE</w:t>
            </w:r>
            <w:r>
              <w:rPr>
                <w:b/>
                <w:sz w:val="21"/>
              </w:rPr>
              <w:t>存储）</w:t>
            </w:r>
          </w:p>
          <w:tbl>
            <w:tblPr>
              <w:tblInd w:type="dxa" w:w="105"/>
              <w:tblBorders>
                <w:top w:val="none" w:color="000000" w:sz="4"/>
                <w:left w:val="none" w:color="000000" w:sz="4"/>
                <w:bottom w:val="none" w:color="000000" w:sz="4"/>
                <w:right w:val="none" w:color="000000" w:sz="4"/>
                <w:insideH w:val="none"/>
                <w:insideV w:val="none"/>
              </w:tblBorders>
            </w:tblPr>
            <w:tblGrid>
              <w:gridCol w:w="338"/>
              <w:gridCol w:w="810"/>
              <w:gridCol w:w="4450"/>
            </w:tblGrid>
            <w:tr>
              <w:tc>
                <w:tcPr>
                  <w:tcW w:type="dxa" w:w="338"/>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810"/>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50"/>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10"/>
                  <w:tcBorders>
                    <w:top w:val="none" w:color="000000" w:sz="4"/>
                    <w:left w:val="none" w:color="000000" w:sz="4"/>
                    <w:bottom w:val="single" w:color="000000" w:sz="4"/>
                    <w:right w:val="single" w:color="000000" w:sz="4"/>
                  </w:tcBorders>
                  <w:vAlign w:val="top"/>
                </w:tcPr>
                <w:p>
                  <w:pPr>
                    <w:jc w:val="center"/>
                  </w:pPr>
                  <w:r>
                    <w:rPr>
                      <w:sz w:val="21"/>
                    </w:rPr>
                    <w:t>配件要求</w:t>
                  </w:r>
                </w:p>
              </w:tc>
              <w:tc>
                <w:tcPr>
                  <w:tcW w:type="dxa" w:w="4450"/>
                  <w:tcBorders>
                    <w:top w:val="none" w:color="000000" w:sz="4"/>
                    <w:left w:val="none" w:color="000000" w:sz="4"/>
                    <w:bottom w:val="single" w:color="000000" w:sz="4"/>
                    <w:right w:val="single" w:color="000000" w:sz="4"/>
                  </w:tcBorders>
                  <w:vAlign w:val="top"/>
                </w:tcPr>
                <w:p>
                  <w:pPr>
                    <w:jc w:val="both"/>
                  </w:pPr>
                  <w:r>
                    <w:rPr>
                      <w:sz w:val="21"/>
                    </w:rPr>
                    <w:t>HPE MSA2040 2.4TB 10K HDD硬盘，须兼容现有HPE存储。</w:t>
                  </w:r>
                </w:p>
              </w:tc>
            </w:tr>
          </w:tbl>
          <w:p>
            <w:pPr>
              <w:jc w:val="both"/>
            </w:pPr>
            <w:r>
              <w:rPr>
                <w:sz w:val="21"/>
              </w:rPr>
              <w:t xml:space="preserve"> </w:t>
            </w:r>
          </w:p>
          <w:p>
            <w:pPr>
              <w:jc w:val="both"/>
            </w:pPr>
            <w:r>
              <w:rPr>
                <w:sz w:val="21"/>
              </w:rPr>
              <w:t xml:space="preserve"> </w:t>
            </w:r>
          </w:p>
          <w:p>
            <w:pPr>
              <w:jc w:val="both"/>
            </w:pPr>
          </w:p>
          <w:p>
            <w:r>
              <w:rPr/>
              <w:t xml:space="preserve"> </w:t>
            </w:r>
          </w:p>
          <w:p>
            <w:r>
              <w:rPr/>
              <w:t xml:space="preserve"> </w:t>
            </w:r>
          </w:p>
          <w:p>
            <w:r>
              <w:rPr/>
              <w:t xml:space="preserve"> </w:t>
            </w:r>
          </w:p>
          <w:p>
            <w:pPr>
              <w:jc w:val="both"/>
            </w:pP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存储设备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1.</w:t>
            </w:r>
            <w:r>
              <w:rPr>
                <w:b/>
                <w:sz w:val="21"/>
              </w:rPr>
              <w:t>存储设备</w:t>
            </w:r>
          </w:p>
          <w:tbl>
            <w:tblPr>
              <w:tblInd w:type="dxa" w:w="105"/>
              <w:tblBorders>
                <w:top w:val="none" w:color="000000" w:sz="4"/>
                <w:left w:val="none" w:color="000000" w:sz="4"/>
                <w:bottom w:val="none" w:color="000000" w:sz="4"/>
                <w:right w:val="none" w:color="000000" w:sz="4"/>
                <w:insideH w:val="none"/>
                <w:insideV w:val="none"/>
              </w:tblBorders>
            </w:tblPr>
            <w:tblGrid>
              <w:gridCol w:w="340"/>
              <w:gridCol w:w="794"/>
              <w:gridCol w:w="4464"/>
            </w:tblGrid>
            <w:tr>
              <w:tc>
                <w:tcPr>
                  <w:tcW w:type="dxa" w:w="340"/>
                  <w:tcBorders>
                    <w:top w:val="single" w:color="000000" w:sz="4"/>
                    <w:left w:val="single" w:color="000000" w:sz="4"/>
                    <w:bottom w:val="single" w:color="000000" w:sz="4"/>
                    <w:right w:val="single" w:color="000000" w:sz="4"/>
                  </w:tcBorders>
                  <w:shd w:fill="D8D8D8"/>
                  <w:vAlign w:val="top"/>
                </w:tcPr>
                <w:p>
                  <w:pPr>
                    <w:jc w:val="center"/>
                  </w:pPr>
                  <w:r>
                    <w:rPr>
                      <w:b/>
                      <w:sz w:val="21"/>
                    </w:rPr>
                    <w:t>序号</w:t>
                  </w:r>
                </w:p>
              </w:tc>
              <w:tc>
                <w:tcPr>
                  <w:tcW w:type="dxa" w:w="794"/>
                  <w:tcBorders>
                    <w:top w:val="single" w:color="000000" w:sz="4"/>
                    <w:left w:val="none" w:color="000000" w:sz="4"/>
                    <w:bottom w:val="single" w:color="000000" w:sz="4"/>
                    <w:right w:val="single" w:color="000000" w:sz="4"/>
                  </w:tcBorders>
                  <w:shd w:fill="D8D8D8"/>
                  <w:vAlign w:val="top"/>
                </w:tcPr>
                <w:p>
                  <w:pPr>
                    <w:jc w:val="center"/>
                  </w:pPr>
                  <w:r>
                    <w:rPr>
                      <w:b/>
                      <w:sz w:val="21"/>
                    </w:rPr>
                    <w:t>技术指标</w:t>
                  </w:r>
                </w:p>
              </w:tc>
              <w:tc>
                <w:tcPr>
                  <w:tcW w:type="dxa" w:w="4464"/>
                  <w:tcBorders>
                    <w:top w:val="single" w:color="000000" w:sz="4"/>
                    <w:left w:val="none" w:color="000000" w:sz="4"/>
                    <w:bottom w:val="single" w:color="000000" w:sz="4"/>
                    <w:right w:val="single" w:color="000000" w:sz="4"/>
                  </w:tcBorders>
                  <w:shd w:fill="D8D8D8"/>
                  <w:vAlign w:val="top"/>
                </w:tcPr>
                <w:p>
                  <w:pPr>
                    <w:jc w:val="center"/>
                  </w:pPr>
                  <w:r>
                    <w:rPr>
                      <w:b/>
                      <w:sz w:val="21"/>
                    </w:rPr>
                    <w:t>技术参数</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94"/>
                  <w:tcBorders>
                    <w:top w:val="none" w:color="000000" w:sz="4"/>
                    <w:left w:val="none" w:color="000000" w:sz="4"/>
                    <w:bottom w:val="single" w:color="000000" w:sz="4"/>
                    <w:right w:val="single" w:color="000000" w:sz="4"/>
                  </w:tcBorders>
                  <w:vAlign w:val="top"/>
                </w:tcPr>
                <w:p>
                  <w:pPr>
                    <w:jc w:val="center"/>
                  </w:pPr>
                  <w:r>
                    <w:rPr>
                      <w:sz w:val="21"/>
                    </w:rPr>
                    <w:t>产品要求</w:t>
                  </w:r>
                </w:p>
              </w:tc>
              <w:tc>
                <w:tcPr>
                  <w:tcW w:type="dxa" w:w="4464"/>
                  <w:tcBorders>
                    <w:top w:val="none" w:color="000000" w:sz="4"/>
                    <w:left w:val="none" w:color="000000" w:sz="4"/>
                    <w:bottom w:val="single" w:color="000000" w:sz="4"/>
                    <w:right w:val="single" w:color="000000" w:sz="4"/>
                  </w:tcBorders>
                  <w:vAlign w:val="top"/>
                </w:tcPr>
                <w:p>
                  <w:pPr>
                    <w:jc w:val="both"/>
                  </w:pPr>
                  <w:r>
                    <w:rPr>
                      <w:sz w:val="21"/>
                    </w:rPr>
                    <w:t>投标产品必须为成熟产品，</w:t>
                  </w:r>
                  <w:r>
                    <w:rPr>
                      <w:b/>
                      <w:sz w:val="21"/>
                    </w:rPr>
                    <w:t>需提供官方</w:t>
                  </w:r>
                  <w:r>
                    <w:rPr>
                      <w:b/>
                      <w:sz w:val="21"/>
                    </w:rPr>
                    <w:t>6个9的高可用证明材料复印件加盖投标人公章。</w:t>
                  </w:r>
                </w:p>
              </w:tc>
            </w:tr>
            <w:tr>
              <w:tc>
                <w:tcPr>
                  <w:tcW w:type="dxa" w:w="340"/>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94"/>
                  <w:vMerge w:val="restart"/>
                  <w:tcBorders>
                    <w:top w:val="none" w:color="000000" w:sz="4"/>
                    <w:left w:val="none" w:color="000000" w:sz="4"/>
                    <w:bottom w:val="single" w:color="000000" w:sz="4"/>
                    <w:right w:val="single" w:color="000000" w:sz="4"/>
                  </w:tcBorders>
                  <w:vAlign w:val="top"/>
                </w:tcPr>
                <w:p>
                  <w:pPr>
                    <w:jc w:val="center"/>
                  </w:pPr>
                  <w:r>
                    <w:rPr>
                      <w:sz w:val="21"/>
                    </w:rPr>
                    <w:t>体系结构</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2.1.多控制器架构，多个控制器之间采用PCI-E或Infiniband总线点对点全网状直接互联，非交换机模式互联且非万兆网络或FC链路互联模式，</w:t>
                  </w:r>
                  <w:r>
                    <w:rPr>
                      <w:b/>
                      <w:sz w:val="21"/>
                    </w:rPr>
                    <w:t>需提供相关证明材料复印件加盖投标人公章。</w:t>
                  </w:r>
                </w:p>
              </w:tc>
            </w:tr>
            <w:tr>
              <w:tc>
                <w:tcPr>
                  <w:tcW w:type="dxa" w:w="340"/>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4464"/>
                  <w:tcBorders>
                    <w:top w:val="none" w:color="000000" w:sz="4"/>
                    <w:left w:val="none" w:color="000000" w:sz="4"/>
                    <w:bottom w:val="single" w:color="000000" w:sz="4"/>
                    <w:right w:val="single" w:color="000000" w:sz="4"/>
                  </w:tcBorders>
                  <w:vAlign w:val="top"/>
                </w:tcPr>
                <w:p>
                  <w:pPr>
                    <w:jc w:val="both"/>
                  </w:pPr>
                  <w:r>
                    <w:rPr>
                      <w:sz w:val="21"/>
                    </w:rPr>
                    <w:t>2.2.配置≥2个存储控制器，最大可以扩展到≥16个控制器引擎（不包括外接虚拟化网关或者NAS控制器等）。</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94"/>
                  <w:tcBorders>
                    <w:top w:val="none" w:color="000000" w:sz="4"/>
                    <w:left w:val="none" w:color="000000" w:sz="4"/>
                    <w:bottom w:val="single" w:color="000000" w:sz="4"/>
                    <w:right w:val="single" w:color="000000" w:sz="4"/>
                  </w:tcBorders>
                  <w:vAlign w:val="top"/>
                </w:tcPr>
                <w:p>
                  <w:pPr>
                    <w:jc w:val="center"/>
                  </w:pPr>
                  <w:r>
                    <w:rPr>
                      <w:sz w:val="21"/>
                    </w:rPr>
                    <w:t>存储处理器</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每个控制器配置</w:t>
                  </w:r>
                  <w:r>
                    <w:rPr>
                      <w:sz w:val="21"/>
                    </w:rPr>
                    <w:t>2颗相同型号的Intel存储处理器或者1颗Intel存储处理器+1颗存储专用ASIC处理器</w:t>
                  </w:r>
                  <w:r>
                    <w:rPr>
                      <w:sz w:val="21"/>
                    </w:rPr>
                    <w:t>。</w:t>
                  </w:r>
                  <w:r>
                    <w:rPr>
                      <w:b/>
                      <w:sz w:val="21"/>
                    </w:rPr>
                    <w:t>需提供相关证明材料复印件加盖投标人公章。</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94"/>
                  <w:tcBorders>
                    <w:top w:val="none" w:color="000000" w:sz="4"/>
                    <w:left w:val="none" w:color="000000" w:sz="4"/>
                    <w:bottom w:val="single" w:color="000000" w:sz="4"/>
                    <w:right w:val="single" w:color="000000" w:sz="4"/>
                  </w:tcBorders>
                  <w:vAlign w:val="top"/>
                </w:tcPr>
                <w:p>
                  <w:pPr>
                    <w:jc w:val="center"/>
                  </w:pPr>
                  <w:r>
                    <w:rPr>
                      <w:sz w:val="21"/>
                    </w:rPr>
                    <w:t>性能可用性</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当配置或升级至四控制器时，存储的多个控制器之间实现负载均衡；当一个控制器故障时，存储整体性能损耗</w:t>
                  </w:r>
                  <w:r>
                    <w:rPr>
                      <w:sz w:val="21"/>
                    </w:rPr>
                    <w:t>≤30%</w:t>
                  </w:r>
                  <w:r>
                    <w:rPr>
                      <w:sz w:val="21"/>
                    </w:rPr>
                    <w:t>。</w:t>
                  </w:r>
                  <w:r>
                    <w:rPr>
                      <w:b/>
                      <w:sz w:val="21"/>
                    </w:rPr>
                    <w:t>需提供相关证明材料复印件加盖公章。</w:t>
                  </w:r>
                </w:p>
              </w:tc>
            </w:tr>
            <w:tr>
              <w:tc>
                <w:tcPr>
                  <w:tcW w:type="dxa" w:w="340"/>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94"/>
                  <w:vMerge w:val="restart"/>
                  <w:tcBorders>
                    <w:top w:val="none" w:color="000000" w:sz="4"/>
                    <w:left w:val="none" w:color="000000" w:sz="4"/>
                    <w:bottom w:val="single" w:color="000000" w:sz="4"/>
                    <w:right w:val="single" w:color="000000" w:sz="4"/>
                  </w:tcBorders>
                  <w:vAlign w:val="top"/>
                </w:tcPr>
                <w:p>
                  <w:pPr>
                    <w:jc w:val="center"/>
                  </w:pPr>
                  <w:r>
                    <w:rPr>
                      <w:sz w:val="21"/>
                    </w:rPr>
                    <w:t>接口</w:t>
                  </w:r>
                </w:p>
              </w:tc>
              <w:tc>
                <w:tcPr>
                  <w:tcW w:type="dxa" w:w="4464"/>
                  <w:tcBorders>
                    <w:top w:val="none" w:color="000000" w:sz="4"/>
                    <w:left w:val="none" w:color="000000" w:sz="4"/>
                    <w:bottom w:val="single" w:color="000000" w:sz="4"/>
                    <w:right w:val="single" w:color="000000" w:sz="4"/>
                  </w:tcBorders>
                  <w:vAlign w:val="top"/>
                </w:tcPr>
                <w:p>
                  <w:pPr>
                    <w:jc w:val="both"/>
                  </w:pPr>
                  <w:r>
                    <w:rPr>
                      <w:sz w:val="21"/>
                    </w:rPr>
                    <w:t>5.1.提供16Gbps FC主机端口≥4个。</w:t>
                  </w:r>
                </w:p>
              </w:tc>
            </w:tr>
            <w:tr>
              <w:tc>
                <w:tcPr>
                  <w:tcW w:type="dxa" w:w="340"/>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4464"/>
                  <w:tcBorders>
                    <w:top w:val="none" w:color="000000" w:sz="4"/>
                    <w:left w:val="none" w:color="000000" w:sz="4"/>
                    <w:bottom w:val="single" w:color="000000" w:sz="4"/>
                    <w:right w:val="single" w:color="000000" w:sz="4"/>
                  </w:tcBorders>
                  <w:vAlign w:val="top"/>
                </w:tcPr>
                <w:p>
                  <w:pPr>
                    <w:jc w:val="both"/>
                  </w:pPr>
                  <w:r>
                    <w:rPr>
                      <w:sz w:val="21"/>
                    </w:rPr>
                    <w:t>5.2.支持32Gb FC/16Gb FC/10Gb iSCSI/10Gb FCoE/10GbE等主机接口</w:t>
                  </w:r>
                  <w:r>
                    <w:rPr>
                      <w:sz w:val="21"/>
                    </w:rPr>
                    <w:t>。</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94"/>
                  <w:tcBorders>
                    <w:top w:val="none" w:color="000000" w:sz="4"/>
                    <w:left w:val="none" w:color="000000" w:sz="4"/>
                    <w:bottom w:val="single" w:color="000000" w:sz="4"/>
                    <w:right w:val="single" w:color="000000" w:sz="4"/>
                  </w:tcBorders>
                  <w:vAlign w:val="top"/>
                </w:tcPr>
                <w:p>
                  <w:pPr>
                    <w:jc w:val="center"/>
                  </w:pPr>
                  <w:r>
                    <w:rPr>
                      <w:sz w:val="21"/>
                    </w:rPr>
                    <w:t>缓存</w:t>
                  </w:r>
                </w:p>
              </w:tc>
              <w:tc>
                <w:tcPr>
                  <w:tcW w:type="dxa" w:w="4464"/>
                  <w:tcBorders>
                    <w:top w:val="none" w:color="000000" w:sz="4"/>
                    <w:left w:val="none" w:color="000000" w:sz="4"/>
                    <w:bottom w:val="single" w:color="000000" w:sz="4"/>
                    <w:right w:val="single" w:color="000000" w:sz="4"/>
                  </w:tcBorders>
                  <w:vAlign w:val="top"/>
                </w:tcPr>
                <w:p>
                  <w:pPr>
                    <w:jc w:val="both"/>
                  </w:pPr>
                  <w:r>
                    <w:rPr>
                      <w:sz w:val="21"/>
                    </w:rPr>
                    <w:t>配置高速缓存</w:t>
                  </w:r>
                  <w:r>
                    <w:rPr>
                      <w:sz w:val="21"/>
                    </w:rPr>
                    <w:t>≥64GB。</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94"/>
                  <w:tcBorders>
                    <w:top w:val="none" w:color="000000" w:sz="4"/>
                    <w:left w:val="none" w:color="000000" w:sz="4"/>
                    <w:bottom w:val="single" w:color="000000" w:sz="4"/>
                    <w:right w:val="single" w:color="000000" w:sz="4"/>
                  </w:tcBorders>
                  <w:vAlign w:val="top"/>
                </w:tcPr>
                <w:p>
                  <w:pPr>
                    <w:jc w:val="center"/>
                  </w:pPr>
                  <w:r>
                    <w:rPr>
                      <w:sz w:val="21"/>
                    </w:rPr>
                    <w:t>容量密度</w:t>
                  </w:r>
                </w:p>
              </w:tc>
              <w:tc>
                <w:tcPr>
                  <w:tcW w:type="dxa" w:w="4464"/>
                  <w:tcBorders>
                    <w:top w:val="none" w:color="000000" w:sz="4"/>
                    <w:left w:val="none" w:color="000000" w:sz="4"/>
                    <w:bottom w:val="single" w:color="000000" w:sz="4"/>
                    <w:right w:val="single" w:color="000000" w:sz="4"/>
                  </w:tcBorders>
                  <w:vAlign w:val="top"/>
                </w:tcPr>
                <w:p>
                  <w:pPr>
                    <w:jc w:val="both"/>
                  </w:pPr>
                  <w:r>
                    <w:rPr>
                      <w:sz w:val="21"/>
                    </w:rPr>
                    <w:t>支持重删技术，提高存储可用容量密度。</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94"/>
                  <w:tcBorders>
                    <w:top w:val="none" w:color="000000" w:sz="4"/>
                    <w:left w:val="none" w:color="000000" w:sz="4"/>
                    <w:bottom w:val="single" w:color="000000" w:sz="4"/>
                    <w:right w:val="single" w:color="000000" w:sz="4"/>
                  </w:tcBorders>
                  <w:vAlign w:val="top"/>
                </w:tcPr>
                <w:p>
                  <w:pPr>
                    <w:jc w:val="center"/>
                  </w:pPr>
                  <w:r>
                    <w:rPr>
                      <w:sz w:val="21"/>
                    </w:rPr>
                    <w:t>硬盘配置</w:t>
                  </w:r>
                </w:p>
              </w:tc>
              <w:tc>
                <w:tcPr>
                  <w:tcW w:type="dxa" w:w="4464"/>
                  <w:tcBorders>
                    <w:top w:val="none" w:color="000000" w:sz="4"/>
                    <w:left w:val="none" w:color="000000" w:sz="4"/>
                    <w:bottom w:val="single" w:color="000000" w:sz="4"/>
                    <w:right w:val="single" w:color="000000" w:sz="4"/>
                  </w:tcBorders>
                  <w:vAlign w:val="top"/>
                </w:tcPr>
                <w:p>
                  <w:pPr>
                    <w:jc w:val="both"/>
                  </w:pPr>
                  <w:r>
                    <w:rPr>
                      <w:sz w:val="21"/>
                    </w:rPr>
                    <w:t>配置</w:t>
                  </w:r>
                  <w:r>
                    <w:rPr>
                      <w:sz w:val="21"/>
                    </w:rPr>
                    <w:t>≥6块2.5寸1.92TB SSD硬盘，≥16块3.5寸8TB 7.2K HDD硬盘。</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94"/>
                  <w:tcBorders>
                    <w:top w:val="none" w:color="000000" w:sz="4"/>
                    <w:left w:val="none" w:color="000000" w:sz="4"/>
                    <w:bottom w:val="single" w:color="000000" w:sz="4"/>
                    <w:right w:val="single" w:color="000000" w:sz="4"/>
                  </w:tcBorders>
                  <w:vAlign w:val="top"/>
                </w:tcPr>
                <w:p>
                  <w:pPr>
                    <w:jc w:val="center"/>
                  </w:pPr>
                  <w:r>
                    <w:rPr>
                      <w:sz w:val="21"/>
                    </w:rPr>
                    <w:t>RAID级别</w:t>
                  </w:r>
                </w:p>
              </w:tc>
              <w:tc>
                <w:tcPr>
                  <w:tcW w:type="dxa" w:w="4464"/>
                  <w:tcBorders>
                    <w:top w:val="none" w:color="000000" w:sz="4"/>
                    <w:left w:val="none" w:color="000000" w:sz="4"/>
                    <w:bottom w:val="single" w:color="000000" w:sz="4"/>
                    <w:right w:val="single" w:color="000000" w:sz="4"/>
                  </w:tcBorders>
                  <w:vAlign w:val="top"/>
                </w:tcPr>
                <w:p>
                  <w:pPr>
                    <w:jc w:val="both"/>
                  </w:pPr>
                  <w:r>
                    <w:rPr>
                      <w:sz w:val="21"/>
                    </w:rPr>
                    <w:t>支持</w:t>
                  </w:r>
                  <w:r>
                    <w:rPr>
                      <w:sz w:val="21"/>
                    </w:rPr>
                    <w:t>RAID0/1/5/6/10/50/60，支持多类型磁盘多方向、无中断在线数据迁移，迁移过程不影响业务性能。</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94"/>
                  <w:tcBorders>
                    <w:top w:val="none" w:color="000000" w:sz="4"/>
                    <w:left w:val="none" w:color="000000" w:sz="4"/>
                    <w:bottom w:val="single" w:color="000000" w:sz="4"/>
                    <w:right w:val="single" w:color="000000" w:sz="4"/>
                  </w:tcBorders>
                  <w:vAlign w:val="top"/>
                </w:tcPr>
                <w:p>
                  <w:pPr>
                    <w:jc w:val="center"/>
                  </w:pPr>
                  <w:r>
                    <w:rPr>
                      <w:sz w:val="21"/>
                    </w:rPr>
                    <w:t>数据保护</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支持硬盘扩展柜保护功能，当配置多个硬盘扩展柜时，可支持至少一个硬盘扩展柜掉电或故障时数据不丢失，应用不中断</w:t>
                  </w:r>
                  <w:r>
                    <w:rPr>
                      <w:sz w:val="21"/>
                    </w:rPr>
                    <w:t>。</w:t>
                  </w:r>
                  <w:r>
                    <w:rPr>
                      <w:b/>
                      <w:sz w:val="21"/>
                    </w:rPr>
                    <w:t>需提供相关证明材料复印件加盖公章。</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94"/>
                  <w:tcBorders>
                    <w:top w:val="none" w:color="000000" w:sz="4"/>
                    <w:left w:val="none" w:color="000000" w:sz="4"/>
                    <w:bottom w:val="single" w:color="000000" w:sz="4"/>
                    <w:right w:val="single" w:color="000000" w:sz="4"/>
                  </w:tcBorders>
                  <w:vAlign w:val="top"/>
                </w:tcPr>
                <w:p>
                  <w:pPr>
                    <w:jc w:val="center"/>
                  </w:pPr>
                  <w:r>
                    <w:rPr>
                      <w:sz w:val="21"/>
                    </w:rPr>
                    <w:t>智能管理运维平台</w:t>
                  </w:r>
                </w:p>
              </w:tc>
              <w:tc>
                <w:tcPr>
                  <w:tcW w:type="dxa" w:w="4464"/>
                  <w:tcBorders>
                    <w:top w:val="none" w:color="000000" w:sz="4"/>
                    <w:left w:val="none" w:color="000000" w:sz="4"/>
                    <w:bottom w:val="single" w:color="000000" w:sz="4"/>
                    <w:right w:val="single" w:color="000000" w:sz="4"/>
                  </w:tcBorders>
                  <w:vAlign w:val="top"/>
                </w:tcPr>
                <w:p>
                  <w:pPr>
                    <w:jc w:val="both"/>
                  </w:pPr>
                  <w:r>
                    <w:rPr>
                      <w:sz w:val="21"/>
                    </w:rPr>
                    <w:t>配置智能管理运维平台，提供基于机器学习及大数据分析的智能管理运维技术，实时进行容量分析、性能趋势分析和健康状况检查等，并提供可用性预测、自动预警、健康预警和自动生成建议报告；实现端到端的应用分析，精准定位主机及虚拟机到存储之间的瓶颈所在，准确发现故障源并给出处理及修复建议，此功能无容量限制。</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94"/>
                  <w:tcBorders>
                    <w:top w:val="none" w:color="000000" w:sz="4"/>
                    <w:left w:val="none" w:color="000000" w:sz="4"/>
                    <w:bottom w:val="single" w:color="000000" w:sz="4"/>
                    <w:right w:val="single" w:color="000000" w:sz="4"/>
                  </w:tcBorders>
                  <w:vAlign w:val="top"/>
                </w:tcPr>
                <w:p>
                  <w:pPr>
                    <w:jc w:val="center"/>
                  </w:pPr>
                  <w:r>
                    <w:rPr>
                      <w:sz w:val="21"/>
                    </w:rPr>
                    <w:t>综合洞察</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存储设备可通过自身的配置、性能、容量、业务压力及类别等信息计算出当前存储的综合能力，并通过计算分析展示当前业务下的综合能力使用比。并可通过与云端数据中心的机器学习和智能计算相结合，不断地从云端修正和更新此综合能力，提供精准的存储能力预测服务</w:t>
                  </w:r>
                  <w:r>
                    <w:rPr>
                      <w:sz w:val="21"/>
                    </w:rPr>
                    <w:t>。</w:t>
                  </w:r>
                  <w:r>
                    <w:rPr>
                      <w:b/>
                      <w:sz w:val="21"/>
                    </w:rPr>
                    <w:t>需提供相关证明材料复印件加盖公章。</w:t>
                  </w:r>
                </w:p>
              </w:tc>
            </w:tr>
            <w:tr>
              <w:tc>
                <w:tcPr>
                  <w:tcW w:type="dxa" w:w="340"/>
                  <w:vMerge w:val="restart"/>
                  <w:tcBorders>
                    <w:top w:val="none" w:color="000000" w:sz="4"/>
                    <w:left w:val="single" w:color="000000" w:sz="4"/>
                    <w:bottom w:val="single" w:color="000000" w:sz="4"/>
                    <w:right w:val="single" w:color="000000" w:sz="4"/>
                  </w:tcBorders>
                  <w:vAlign w:val="top"/>
                </w:tcPr>
                <w:p>
                  <w:pPr>
                    <w:jc w:val="center"/>
                  </w:pPr>
                </w:p>
                <w:p>
                  <w:pPr>
                    <w:jc w:val="center"/>
                  </w:pPr>
                  <w:r>
                    <w:rPr>
                      <w:sz w:val="21"/>
                    </w:rPr>
                    <w:t>13</w:t>
                  </w:r>
                </w:p>
              </w:tc>
              <w:tc>
                <w:tcPr>
                  <w:tcW w:type="dxa" w:w="794"/>
                  <w:vMerge w:val="restart"/>
                  <w:tcBorders>
                    <w:top w:val="none" w:color="000000" w:sz="4"/>
                    <w:left w:val="none" w:color="000000" w:sz="4"/>
                    <w:bottom w:val="single" w:color="000000" w:sz="4"/>
                    <w:right w:val="single" w:color="000000" w:sz="4"/>
                  </w:tcBorders>
                  <w:vAlign w:val="top"/>
                </w:tcPr>
                <w:p>
                  <w:pPr>
                    <w:jc w:val="center"/>
                  </w:pPr>
                  <w:r>
                    <w:rPr>
                      <w:sz w:val="21"/>
                    </w:rPr>
                    <w:t>高级软件特性</w:t>
                  </w:r>
                </w:p>
              </w:tc>
              <w:tc>
                <w:tcPr>
                  <w:tcW w:type="dxa" w:w="4464"/>
                  <w:tcBorders>
                    <w:top w:val="none" w:color="000000" w:sz="4"/>
                    <w:left w:val="none" w:color="000000" w:sz="4"/>
                    <w:bottom w:val="single" w:color="000000" w:sz="4"/>
                    <w:right w:val="single" w:color="000000" w:sz="4"/>
                  </w:tcBorders>
                  <w:vAlign w:val="top"/>
                </w:tcPr>
                <w:p>
                  <w:pPr>
                    <w:jc w:val="both"/>
                  </w:pPr>
                  <w:r>
                    <w:rPr>
                      <w:sz w:val="21"/>
                    </w:rPr>
                    <w:t>13.1.配置全容量许可精简功能，后续扩容无需额外购买许可。</w:t>
                  </w:r>
                </w:p>
              </w:tc>
            </w:tr>
            <w:tr>
              <w:tc>
                <w:tcPr>
                  <w:tcW w:type="dxa" w:w="340"/>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4464"/>
                  <w:tcBorders>
                    <w:top w:val="none" w:color="000000" w:sz="4"/>
                    <w:left w:val="none" w:color="000000" w:sz="4"/>
                    <w:bottom w:val="single" w:color="000000" w:sz="4"/>
                    <w:right w:val="single" w:color="000000" w:sz="4"/>
                  </w:tcBorders>
                  <w:vAlign w:val="top"/>
                </w:tcPr>
                <w:p>
                  <w:pPr>
                    <w:jc w:val="both"/>
                  </w:pPr>
                  <w:r>
                    <w:rPr>
                      <w:sz w:val="21"/>
                    </w:rPr>
                    <w:t>13.2.配置全容量许可快照功能，后续扩容无需额外购买许可。</w:t>
                  </w:r>
                </w:p>
              </w:tc>
            </w:tr>
            <w:tr>
              <w:tc>
                <w:tcPr>
                  <w:tcW w:type="dxa" w:w="340"/>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4464"/>
                  <w:tcBorders>
                    <w:top w:val="none" w:color="000000" w:sz="4"/>
                    <w:left w:val="none" w:color="000000" w:sz="4"/>
                    <w:bottom w:val="single" w:color="000000" w:sz="4"/>
                    <w:right w:val="single" w:color="000000" w:sz="4"/>
                  </w:tcBorders>
                  <w:vAlign w:val="top"/>
                </w:tcPr>
                <w:p>
                  <w:pPr>
                    <w:jc w:val="both"/>
                  </w:pPr>
                  <w:r>
                    <w:rPr>
                      <w:sz w:val="21"/>
                    </w:rPr>
                    <w:t>13.3.配置全容量许可的克隆功能，后续扩容无需额外购买许可。</w:t>
                  </w:r>
                </w:p>
              </w:tc>
            </w:tr>
            <w:tr>
              <w:tc>
                <w:tcPr>
                  <w:tcW w:type="dxa" w:w="340"/>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4464"/>
                  <w:tcBorders>
                    <w:top w:val="none" w:color="000000" w:sz="4"/>
                    <w:left w:val="none" w:color="000000" w:sz="4"/>
                    <w:bottom w:val="single" w:color="000000" w:sz="4"/>
                    <w:right w:val="single" w:color="000000" w:sz="4"/>
                  </w:tcBorders>
                  <w:vAlign w:val="top"/>
                </w:tcPr>
                <w:p>
                  <w:pPr>
                    <w:jc w:val="both"/>
                  </w:pPr>
                  <w:r>
                    <w:rPr>
                      <w:sz w:val="21"/>
                    </w:rPr>
                    <w:t>13.4.配置存储双活功能，在不加额外网关的情况下可以实现双活阵列，在一台阵列故障的情况下，主机IO访问可以无缝切换到另外一台阵列而不会中断业务，要求支持VMWare、Windows Server、MS Hyper-V和Oracle RAC等。</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94"/>
                  <w:tcBorders>
                    <w:top w:val="none" w:color="000000" w:sz="4"/>
                    <w:left w:val="none" w:color="000000" w:sz="4"/>
                    <w:bottom w:val="single" w:color="000000" w:sz="4"/>
                    <w:right w:val="single" w:color="000000" w:sz="4"/>
                  </w:tcBorders>
                  <w:vAlign w:val="top"/>
                </w:tcPr>
                <w:p>
                  <w:pPr>
                    <w:jc w:val="center"/>
                  </w:pPr>
                  <w:r>
                    <w:rPr>
                      <w:sz w:val="21"/>
                    </w:rPr>
                    <w:t>QoS</w:t>
                  </w:r>
                </w:p>
              </w:tc>
              <w:tc>
                <w:tcPr>
                  <w:tcW w:type="dxa" w:w="4464"/>
                  <w:tcBorders>
                    <w:top w:val="none" w:color="000000" w:sz="4"/>
                    <w:left w:val="none" w:color="000000" w:sz="4"/>
                    <w:bottom w:val="single" w:color="000000" w:sz="4"/>
                    <w:right w:val="single" w:color="000000" w:sz="4"/>
                  </w:tcBorders>
                  <w:vAlign w:val="top"/>
                </w:tcPr>
                <w:p>
                  <w:pPr>
                    <w:jc w:val="both"/>
                  </w:pPr>
                  <w:r>
                    <w:rPr>
                      <w:sz w:val="21"/>
                    </w:rPr>
                    <w:t>配置存储</w:t>
                  </w:r>
                  <w:r>
                    <w:rPr>
                      <w:sz w:val="21"/>
                    </w:rPr>
                    <w:t>QoS授权许可，支持单卷和分区的IOPS上限和下限、Bandwidth上限和下限、Response Time设定。</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94"/>
                  <w:tcBorders>
                    <w:top w:val="none" w:color="000000" w:sz="4"/>
                    <w:left w:val="none" w:color="000000" w:sz="4"/>
                    <w:bottom w:val="single" w:color="000000" w:sz="4"/>
                    <w:right w:val="single" w:color="000000" w:sz="4"/>
                  </w:tcBorders>
                  <w:vAlign w:val="top"/>
                </w:tcPr>
                <w:p>
                  <w:pPr>
                    <w:jc w:val="center"/>
                  </w:pPr>
                  <w:r>
                    <w:rPr>
                      <w:sz w:val="21"/>
                    </w:rPr>
                    <w:t>存储兼容性</w:t>
                  </w:r>
                </w:p>
              </w:tc>
              <w:tc>
                <w:tcPr>
                  <w:tcW w:type="dxa" w:w="4464"/>
                  <w:tcBorders>
                    <w:top w:val="none" w:color="000000" w:sz="4"/>
                    <w:left w:val="none" w:color="000000" w:sz="4"/>
                    <w:bottom w:val="single" w:color="000000" w:sz="4"/>
                    <w:right w:val="single" w:color="000000" w:sz="4"/>
                  </w:tcBorders>
                  <w:vAlign w:val="top"/>
                </w:tcPr>
                <w:p>
                  <w:pPr>
                    <w:jc w:val="both"/>
                  </w:pPr>
                  <w:r>
                    <w:rPr>
                      <w:sz w:val="21"/>
                    </w:rPr>
                    <w:t>▲</w:t>
                  </w:r>
                  <w:r>
                    <w:rPr>
                      <w:sz w:val="21"/>
                    </w:rPr>
                    <w:t>在不加额外网关的情况下可以实现和现网的存储组成存储联邦，数据可以在多台存储之间按照性能、容量等策略进行在线数据迁移，迁移过程中业务可连续运行，对于主机平台透明</w:t>
                  </w:r>
                  <w:r>
                    <w:rPr>
                      <w:sz w:val="21"/>
                    </w:rPr>
                    <w:t>。</w:t>
                  </w:r>
                  <w:r>
                    <w:rPr>
                      <w:b/>
                      <w:sz w:val="21"/>
                    </w:rPr>
                    <w:t>需提供相关证明材料复印件加盖公章。</w:t>
                  </w:r>
                </w:p>
              </w:tc>
            </w:tr>
            <w:tr>
              <w:tc>
                <w:tcPr>
                  <w:tcW w:type="dxa" w:w="340"/>
                  <w:tcBorders>
                    <w:top w:val="none" w:color="000000" w:sz="4"/>
                    <w:left w:val="single" w:color="000000" w:sz="4"/>
                    <w:bottom w:val="single" w:color="000000" w:sz="4"/>
                    <w:right w:val="single" w:color="000000" w:sz="4"/>
                  </w:tcBorders>
                  <w:vAlign w:val="top"/>
                </w:tcPr>
                <w:p>
                  <w:pPr>
                    <w:jc w:val="center"/>
                  </w:pPr>
                  <w:r>
                    <w:rPr>
                      <w:b/>
                      <w:sz w:val="21"/>
                    </w:rPr>
                    <w:t>16</w:t>
                  </w:r>
                </w:p>
              </w:tc>
              <w:tc>
                <w:tcPr>
                  <w:tcW w:type="dxa" w:w="794"/>
                  <w:tcBorders>
                    <w:top w:val="none" w:color="000000" w:sz="4"/>
                    <w:left w:val="none" w:color="000000" w:sz="4"/>
                    <w:bottom w:val="single" w:color="000000" w:sz="4"/>
                    <w:right w:val="single" w:color="000000" w:sz="4"/>
                  </w:tcBorders>
                  <w:vAlign w:val="top"/>
                </w:tcPr>
                <w:p>
                  <w:pPr>
                    <w:jc w:val="center"/>
                  </w:pPr>
                  <w:r>
                    <w:rPr>
                      <w:b/>
                      <w:sz w:val="21"/>
                    </w:rPr>
                    <w:t>服务配置</w:t>
                  </w:r>
                </w:p>
              </w:tc>
              <w:tc>
                <w:tcPr>
                  <w:tcW w:type="dxa" w:w="4464"/>
                  <w:tcBorders>
                    <w:top w:val="none" w:color="000000" w:sz="4"/>
                    <w:left w:val="none" w:color="000000" w:sz="4"/>
                    <w:bottom w:val="single" w:color="000000" w:sz="4"/>
                    <w:right w:val="single" w:color="000000" w:sz="4"/>
                  </w:tcBorders>
                  <w:vAlign w:val="top"/>
                </w:tcPr>
                <w:p>
                  <w:pPr>
                    <w:jc w:val="both"/>
                  </w:pPr>
                  <w:r>
                    <w:rPr>
                      <w:b/>
                      <w:sz w:val="21"/>
                    </w:rPr>
                    <w:t>★</w:t>
                  </w:r>
                  <w:r>
                    <w:rPr>
                      <w:b/>
                      <w:sz w:val="21"/>
                    </w:rPr>
                    <w:t>需免费提供</w:t>
                  </w:r>
                  <w:r>
                    <w:rPr>
                      <w:b/>
                      <w:sz w:val="21"/>
                    </w:rPr>
                    <w:t>≥5年7x24原厂服务。</w:t>
                  </w:r>
                </w:p>
              </w:tc>
            </w:tr>
          </w:tbl>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857号）标准下浮20%收取。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服务器存储及相关配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采购包1（服务器存储及相关配套设备采购项目）：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采购包1（服务器存储及相关配套设备采购项目）：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采购包1（服务器存储及相关配套设备采购项目）：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采购包1(服务器存储及相关配套设备采购项目):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商务部分16.0分</w:t>
            </w:r>
          </w:p>
          <w:p>
            <w:r>
              <w:rPr/>
              <w:t>技术部分54.0分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中附表一和附表二的“具体技术(参数)要求”条款的响应情况 (18.0分)</w:t>
            </w:r>
          </w:p>
        </w:tc>
        <w:tc>
          <w:tcPr>
            <w:tcW w:type="dxa" w:w="5076"/>
          </w:tcPr>
          <w:p>
            <w:pPr>
              <w:jc w:val="left"/>
            </w:pPr>
            <w:r>
              <w:rPr/>
              <w:t>考核投标人对招标文件第二章《采购需求》中附表一和附表二“具体技术(参数)要求”中所有条款（星号条款除外）的响应程度（每条条款最小一级序号均以一项计算）：  1.完全响应技术要求的得18分；  2.“▲”条款参数每负偏离一项扣1分，本项共4分，扣完为止； 3.非“▲”条款每负偏离一项扣0.5分，本项共14分，扣完为止。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项目实施方案 (8.0分)</w:t>
            </w:r>
            <w:r>
              <w:rPr/>
              <w:t>，（等次分值选择：</w:t>
            </w:r>
            <w:r>
              <w:rPr/>
              <w:t>0.0;</w:t>
            </w:r>
            <w:r>
              <w:rPr/>
              <w:t>2.0;</w:t>
            </w:r>
            <w:r>
              <w:rPr/>
              <w:t>4.0;</w:t>
            </w:r>
            <w:r>
              <w:rPr/>
              <w:t>8.0;</w:t>
            </w:r>
            <w:r>
              <w:rPr/>
              <w:t>）</w:t>
            </w:r>
          </w:p>
        </w:tc>
        <w:tc>
          <w:tcPr>
            <w:tcW w:type="dxa" w:w="5076"/>
          </w:tcPr>
          <w:p>
            <w:pPr>
              <w:jc w:val="left"/>
            </w:pPr>
            <w:r>
              <w:rPr/>
              <w:t>评委对各投标人提供的实施方案（包括但不限于所投产品实力、实施计划、设备安装调试方案等）进行评审。  1.实施方案非常详细、具体、内容齐全，方案可行性非常强，所投产品选型及性能完全符合采购人的采购需求，得8分；   2.实施方案较详细、具体、内容较齐全，方案可行性较强，所投产品选型及性能比较符合采购人的采购需求，得4分；   3.实施方案基本详细、具体、内容基本齐全，方案可行性一般，所投产品选型及性能基本符合采购人的采购需求，得2分；   4.未提供方案，得0分。</w:t>
            </w:r>
          </w:p>
        </w:tc>
      </w:tr>
      <w:tr>
        <w:tc>
          <w:tcPr>
            <w:tcW w:type="dxa" w:w="922"/>
            <w:gridSpan w:val="2"/>
            <w:vMerge/>
          </w:tcPr>
          <w:p/>
        </w:tc>
        <w:tc>
          <w:tcPr>
            <w:tcW w:type="dxa" w:w="2307"/>
          </w:tcPr>
          <w:p>
            <w:pPr>
              <w:jc w:val="left"/>
            </w:pPr>
            <w:r>
              <w:rPr/>
              <w:t>售后及应急措施方案 (8.0分)</w:t>
            </w:r>
            <w:r>
              <w:rPr/>
              <w:t>，（等次分值选择：</w:t>
            </w:r>
            <w:r>
              <w:rPr/>
              <w:t>0.0;</w:t>
            </w:r>
            <w:r>
              <w:rPr/>
              <w:t>2.0;</w:t>
            </w:r>
            <w:r>
              <w:rPr/>
              <w:t>4.0;</w:t>
            </w:r>
            <w:r>
              <w:rPr/>
              <w:t>8.0;</w:t>
            </w:r>
            <w:r>
              <w:rPr/>
              <w:t>）</w:t>
            </w:r>
          </w:p>
        </w:tc>
        <w:tc>
          <w:tcPr>
            <w:tcW w:type="dxa" w:w="5076"/>
          </w:tcPr>
          <w:p>
            <w:pPr>
              <w:jc w:val="left"/>
            </w:pPr>
            <w:r>
              <w:rPr/>
              <w:t>评委对各投标人售后及应急措施方案（包括但不限于售后服务响应时间、修复时间、维修及保养方案、质量保证和备品备件计划等）进行评审。   1.有详细具体可行的保修、维护、服务、备品备件计划和质量保证，处理问题能力强，售后及保修期内的服务方案优；应急预案好，考虑情况全面，系统应急处理措施方案非常周全、详尽、可行，得8分；   2.有比较详细具体可行的保修、维护、服务、备品备件计划计划和质量保证，售后及保修期内的服务方案较好；应急预案较好，考虑情况较全面，系统应急处理措 施方案比较周全、详尽、可行，得4分；   3.保修、维护、服务、备品备件计划和质量保证可行性一般，售后及保修期内的服务方案一般；应急措施方案可行性一般，得2分；   4.未提供方案或未按要求提供方案，得0分。</w:t>
            </w:r>
          </w:p>
        </w:tc>
      </w:tr>
      <w:tr>
        <w:tc>
          <w:tcPr>
            <w:tcW w:type="dxa" w:w="922"/>
            <w:gridSpan w:val="2"/>
            <w:vMerge/>
          </w:tcPr>
          <w:p/>
        </w:tc>
        <w:tc>
          <w:tcPr>
            <w:tcW w:type="dxa" w:w="2307"/>
          </w:tcPr>
          <w:p>
            <w:pPr>
              <w:jc w:val="left"/>
            </w:pPr>
            <w:r>
              <w:rPr/>
              <w:t>项目增值服务方案 (20.0分)</w:t>
            </w:r>
            <w:r>
              <w:rPr/>
              <w:t>，（等次分值选择：</w:t>
            </w:r>
            <w:r>
              <w:rPr/>
              <w:t>0.0;</w:t>
            </w:r>
            <w:r>
              <w:rPr/>
              <w:t>5.0;</w:t>
            </w:r>
            <w:r>
              <w:rPr/>
              <w:t>10.0;</w:t>
            </w:r>
            <w:r>
              <w:rPr/>
              <w:t>20.0;</w:t>
            </w:r>
            <w:r>
              <w:rPr/>
              <w:t>）</w:t>
            </w:r>
          </w:p>
        </w:tc>
        <w:tc>
          <w:tcPr>
            <w:tcW w:type="dxa" w:w="5076"/>
          </w:tcPr>
          <w:p>
            <w:pPr>
              <w:jc w:val="left"/>
            </w:pPr>
            <w:r>
              <w:rPr/>
              <w:t>评委对各投标人的增值服务方案（包括但不限于搭建虚拟化平台及数据容灾切换演练方案等）进行评审。 1.增值服务方案非常详细、具体、内容齐全，方案可行性强，针对性强，所投方案完全符合采购人的采购需求，得20分； 2.增值服务方案较详细、具体、内容较齐全，方案可行性一般，针对性一般，所投方案比较符合采购人的采购需求，得10分； 3.增值服务方案一般详细、具体、内容不齐全，方案可行性差，所投方案不太符合采购人的采购需求，得5分； 4.未提供方案或未按要求提供方案，得0分。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考核对采购需求中“主要商务要求”所有小点（星号条款除外）的响应程度。   1.完全响应要求的得 5分；  2.每负偏离一项扣1分，本项5分，扣完为止。</w:t>
            </w:r>
          </w:p>
        </w:tc>
      </w:tr>
      <w:tr>
        <w:tc>
          <w:tcPr>
            <w:tcW w:type="dxa" w:w="922"/>
            <w:gridSpan w:val="2"/>
            <w:vMerge/>
          </w:tcPr>
          <w:p/>
        </w:tc>
        <w:tc>
          <w:tcPr>
            <w:tcW w:type="dxa" w:w="2307"/>
          </w:tcPr>
          <w:p>
            <w:pPr>
              <w:jc w:val="left"/>
            </w:pPr>
            <w:r>
              <w:rPr/>
              <w:t>企业资质 (6.0分)</w:t>
            </w:r>
          </w:p>
        </w:tc>
        <w:tc>
          <w:tcPr>
            <w:tcW w:type="dxa" w:w="5076"/>
          </w:tcPr>
          <w:p>
            <w:pPr>
              <w:jc w:val="left"/>
            </w:pPr>
            <w:r>
              <w:rPr/>
              <w:t>1.职业健康安全管理体系证书（1分）；  2.信息技术服务管理体系认证证书（1分）；  3.信息安全管理体系认证证书（1分）；  4.信息技术服务运行维护标准符合性证书（1分）；  5.信息安全服务资质信息系统安全运维方向和信息系统安全集成方向的认证证书（1分）；  6.《安全与韧性-应急管理-事件管理指南》应急预案管理能力评价认证证书（1分）。  注：1.投标人或所投设备生产厂家具备以上证书，每提供一个证书得1分，满分6分。   2.提供有效期内的证书复印件并加盖投标人的公章，不按要求提供不得分。</w:t>
            </w:r>
          </w:p>
        </w:tc>
      </w:tr>
      <w:tr>
        <w:tc>
          <w:tcPr>
            <w:tcW w:type="dxa" w:w="922"/>
            <w:gridSpan w:val="2"/>
            <w:vMerge/>
          </w:tcPr>
          <w:p/>
        </w:tc>
        <w:tc>
          <w:tcPr>
            <w:tcW w:type="dxa" w:w="2307"/>
          </w:tcPr>
          <w:p>
            <w:pPr>
              <w:jc w:val="left"/>
            </w:pPr>
            <w:r>
              <w:rPr/>
              <w:t>拟投入项目团队成员实力 (5.0分)</w:t>
            </w:r>
          </w:p>
        </w:tc>
        <w:tc>
          <w:tcPr>
            <w:tcW w:type="dxa" w:w="5076"/>
          </w:tcPr>
          <w:p>
            <w:pPr>
              <w:jc w:val="left"/>
            </w:pPr>
            <w:r>
              <w:rPr/>
              <w:t>1.拟投入的项目经理或项目负责人（1人）：  （1）具有与项目相关的中级或以上职称证书的，每提供1个得1分；本项最多得1分；  （2）具有硕士或以上学历，得1分；具有本科学历的，得0.5分；本项最多得1分；  2．拟投入本项目的其他人员（项目经理或项目负责人除外）：  （1)具有信息系统考试委员会(ISEB)或国际信息科学考试协会（EXIN）颁发的 ITIL 证书，每提供一人得1.5分；本项最多得1.5分；  （2)具有硬件运维高级或高级以上认证，每提供一人得1.5分，本项最多得1.5分；  注：1.提供上述证书复印件或扫描件、证书持有人身份证复印件或扫描件；  2.同一人员提供多个不相同类型证书的只能按其中一个证书计算，不累计得分； 3.投标人提供为其购买2022年1月至开标当月任意一个月的参保证明复印件（扫描件）或承诺中标后满足参保要求；  4.未按要求提供的不得分。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color w:val="222222"/>
          <w:sz w:val="24"/>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4"/>
        </w:rPr>
        <w:t>甲　　方：</w:t>
      </w:r>
    </w:p>
    <w:p>
      <w:pPr>
        <w:jc w:val="both"/>
      </w:pPr>
      <w:r>
        <w:rPr>
          <w:sz w:val="24"/>
        </w:rPr>
        <w:t>电　　话：</w:t>
      </w:r>
      <w:r>
        <w:rPr>
          <w:sz w:val="24"/>
        </w:rPr>
        <w:t>　　传　　真：</w:t>
      </w:r>
      <w:r>
        <w:rPr>
          <w:sz w:val="24"/>
        </w:rPr>
        <w:t>　　地　　址：</w:t>
      </w:r>
    </w:p>
    <w:p>
      <w:pPr>
        <w:jc w:val="both"/>
      </w:pPr>
      <w:r>
        <w:rPr>
          <w:b/>
          <w:sz w:val="24"/>
        </w:rPr>
        <w:t>乙　　方：</w:t>
      </w:r>
    </w:p>
    <w:p>
      <w:pPr>
        <w:jc w:val="both"/>
      </w:pPr>
      <w:r>
        <w:rPr>
          <w:sz w:val="24"/>
        </w:rPr>
        <w:t>电　　话：</w:t>
      </w:r>
      <w:r>
        <w:rPr>
          <w:sz w:val="24"/>
        </w:rPr>
        <w:t>　　传　　真：</w:t>
      </w:r>
      <w:r>
        <w:rPr>
          <w:sz w:val="24"/>
        </w:rPr>
        <w:t>　　地　　址：</w:t>
      </w:r>
    </w:p>
    <w:p>
      <w:pPr>
        <w:jc w:val="both"/>
      </w:pPr>
      <w:r>
        <w:rPr>
          <w:sz w:val="21"/>
        </w:rPr>
        <w:t xml:space="preserve"> </w:t>
      </w:r>
    </w:p>
    <w:p>
      <w:pPr>
        <w:ind w:firstLine="40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jc w:val="both"/>
      </w:pPr>
      <w:r>
        <w:rPr>
          <w:b/>
          <w:sz w:val="24"/>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vAlign w:val="top"/>
          </w:tcPr>
          <w:p>
            <w:pPr>
              <w:jc w:val="both"/>
            </w:pPr>
            <w:r>
              <w:rPr>
                <w:sz w:val="22"/>
              </w:rPr>
              <w:t>名称</w:t>
            </w:r>
          </w:p>
        </w:tc>
        <w:tc>
          <w:tcPr>
            <w:tcW w:type="dxa" w:w="4032"/>
            <w:tcBorders>
              <w:top w:val="single" w:color="CCCCCC" w:sz="4"/>
              <w:left w:val="single" w:color="000000" w:sz="4"/>
              <w:bottom w:val="single" w:color="CCCCCC" w:sz="4"/>
              <w:right w:val="single" w:color="CCCCCC" w:sz="4"/>
            </w:tcBorders>
            <w:vAlign w:val="top"/>
          </w:tcPr>
          <w:p>
            <w:pPr>
              <w:jc w:val="center"/>
            </w:pPr>
            <w:r>
              <w:rPr>
                <w:sz w:val="22"/>
              </w:rPr>
              <w:t>品牌、规格、标准</w:t>
            </w:r>
            <w:r>
              <w:rPr>
                <w:sz w:val="22"/>
              </w:rPr>
              <w:t>/</w:t>
            </w:r>
            <w:r>
              <w:rPr>
                <w:sz w:val="22"/>
              </w:rPr>
              <w:t>主要服务内容</w:t>
            </w:r>
          </w:p>
        </w:tc>
        <w:tc>
          <w:tcPr>
            <w:tcW w:type="dxa" w:w="793"/>
            <w:tcBorders>
              <w:top w:val="single" w:color="CCCCCC" w:sz="4"/>
              <w:left w:val="single" w:color="000000" w:sz="4"/>
              <w:bottom w:val="single" w:color="CCCCCC" w:sz="4"/>
              <w:right w:val="single" w:color="CCCCCC" w:sz="4"/>
            </w:tcBorders>
            <w:vAlign w:val="top"/>
          </w:tcPr>
          <w:p>
            <w:pPr>
              <w:jc w:val="both"/>
            </w:pPr>
            <w:r>
              <w:rPr>
                <w:sz w:val="22"/>
              </w:rPr>
              <w:t>产地</w:t>
            </w:r>
          </w:p>
        </w:tc>
        <w:tc>
          <w:tcPr>
            <w:tcW w:type="dxa" w:w="534"/>
            <w:tcBorders>
              <w:top w:val="single" w:color="CCCCCC" w:sz="4"/>
              <w:left w:val="single" w:color="000000" w:sz="4"/>
              <w:bottom w:val="single" w:color="CCCCCC" w:sz="4"/>
              <w:right w:val="single" w:color="CCCCCC" w:sz="4"/>
            </w:tcBorders>
            <w:vAlign w:val="top"/>
          </w:tcPr>
          <w:p>
            <w:pPr>
              <w:jc w:val="center"/>
            </w:pPr>
            <w:r>
              <w:rPr>
                <w:sz w:val="22"/>
              </w:rPr>
              <w:t>数量</w:t>
            </w:r>
          </w:p>
        </w:tc>
        <w:tc>
          <w:tcPr>
            <w:tcW w:type="dxa" w:w="534"/>
            <w:tcBorders>
              <w:top w:val="single" w:color="CCCCCC" w:sz="4"/>
              <w:left w:val="single" w:color="000000" w:sz="4"/>
              <w:bottom w:val="single" w:color="CCCCCC" w:sz="4"/>
              <w:right w:val="single" w:color="CCCCCC" w:sz="4"/>
            </w:tcBorders>
            <w:vAlign w:val="top"/>
          </w:tcPr>
          <w:p>
            <w:pPr>
              <w:jc w:val="center"/>
            </w:pPr>
            <w:r>
              <w:rPr>
                <w:sz w:val="22"/>
              </w:rPr>
              <w:t>单位</w:t>
            </w:r>
          </w:p>
        </w:tc>
        <w:tc>
          <w:tcPr>
            <w:tcW w:type="dxa" w:w="810"/>
            <w:tcBorders>
              <w:top w:val="single" w:color="CCCCCC" w:sz="4"/>
              <w:left w:val="single" w:color="000000" w:sz="4"/>
              <w:bottom w:val="single" w:color="CCCCCC" w:sz="4"/>
              <w:right w:val="single" w:color="CCCCCC" w:sz="4"/>
            </w:tcBorders>
            <w:vAlign w:val="top"/>
          </w:tcPr>
          <w:p>
            <w:pPr>
              <w:jc w:val="center"/>
            </w:pPr>
            <w:r>
              <w:rPr>
                <w:sz w:val="22"/>
              </w:rPr>
              <w:t>单价</w:t>
            </w:r>
          </w:p>
          <w:p>
            <w:pPr>
              <w:jc w:val="center"/>
            </w:pPr>
            <w:r>
              <w:rPr>
                <w:sz w:val="22"/>
              </w:rPr>
              <w:t>（元）</w:t>
            </w:r>
          </w:p>
        </w:tc>
        <w:tc>
          <w:tcPr>
            <w:tcW w:type="dxa" w:w="810"/>
            <w:tcBorders>
              <w:top w:val="single" w:color="CCCCCC" w:sz="4"/>
              <w:left w:val="single" w:color="000000" w:sz="4"/>
              <w:bottom w:val="single" w:color="CCCCCC" w:sz="4"/>
              <w:right w:val="single" w:color="CCCCCC" w:sz="4"/>
            </w:tcBorders>
            <w:vAlign w:val="top"/>
          </w:tcPr>
          <w:p>
            <w:pPr>
              <w:jc w:val="center"/>
            </w:pPr>
            <w:r>
              <w:rPr>
                <w:sz w:val="22"/>
              </w:rPr>
              <w:t>金额</w:t>
            </w:r>
          </w:p>
          <w:p>
            <w:pPr>
              <w:jc w:val="center"/>
            </w:pPr>
            <w:r>
              <w:rPr>
                <w:sz w:val="22"/>
              </w:rPr>
              <w:t>（元）</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2"/>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2"/>
              </w:rPr>
              <w:t>**</w:t>
            </w:r>
          </w:p>
        </w:tc>
        <w:tc>
          <w:tcPr>
            <w:tcW w:type="dxa" w:w="793"/>
            <w:tcBorders>
              <w:top w:val="single" w:color="000000" w:sz="4"/>
              <w:left w:val="single" w:color="000000" w:sz="4"/>
              <w:bottom w:val="single" w:color="CCCCCC" w:sz="4"/>
              <w:right w:val="single" w:color="CCCCCC" w:sz="4"/>
            </w:tcBorders>
            <w:vAlign w:val="top"/>
          </w:tcPr>
          <w:p>
            <w:pPr>
              <w:jc w:val="center"/>
            </w:pPr>
            <w:r>
              <w:rPr>
                <w:sz w:val="22"/>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2"/>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2"/>
              </w:rPr>
              <w:t>**</w:t>
            </w:r>
          </w:p>
        </w:tc>
        <w:tc>
          <w:tcPr>
            <w:tcW w:type="dxa" w:w="810"/>
            <w:tcBorders>
              <w:top w:val="single" w:color="000000" w:sz="4"/>
              <w:left w:val="single" w:color="000000" w:sz="4"/>
              <w:bottom w:val="single" w:color="CCCCCC" w:sz="4"/>
              <w:right w:val="single" w:color="CCCCCC" w:sz="4"/>
            </w:tcBorders>
            <w:vAlign w:val="top"/>
          </w:tcPr>
          <w:p>
            <w:pPr>
              <w:jc w:val="center"/>
            </w:pPr>
            <w:r>
              <w:rPr>
                <w:sz w:val="22"/>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2"/>
              </w:rPr>
              <w:t>**</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vAlign w:val="top"/>
          </w:tcPr>
          <w:p>
            <w:pPr>
              <w:jc w:val="center"/>
            </w:pPr>
            <w:r>
              <w:rPr>
                <w:sz w:val="22"/>
              </w:rPr>
              <w:t>合计：人民币大写：</w:t>
            </w:r>
            <w:r>
              <w:rPr>
                <w:sz w:val="22"/>
              </w:rPr>
              <w:t>**</w:t>
            </w:r>
            <w:r>
              <w:rPr>
                <w:sz w:val="22"/>
              </w:rPr>
              <w:t>元整</w:t>
            </w:r>
          </w:p>
        </w:tc>
        <w:tc>
          <w:tcPr>
            <w:tcW w:type="dxa" w:w="810"/>
            <w:tcBorders>
              <w:top w:val="single" w:color="000000" w:sz="4"/>
              <w:left w:val="single" w:color="000000" w:sz="4"/>
              <w:bottom w:val="single" w:color="CCCCCC" w:sz="4"/>
              <w:right w:val="single" w:color="CCCCCC" w:sz="4"/>
            </w:tcBorders>
            <w:vAlign w:val="top"/>
          </w:tcPr>
          <w:p>
            <w:pPr>
              <w:jc w:val="center"/>
            </w:pPr>
            <w:r>
              <w:rPr>
                <w:sz w:val="22"/>
              </w:rPr>
              <w:t>￥：</w:t>
            </w:r>
            <w:r>
              <w:rPr>
                <w:sz w:val="22"/>
              </w:rPr>
              <w:t>**</w:t>
            </w:r>
          </w:p>
        </w:tc>
      </w:tr>
      <w:tr>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4032"/>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793"/>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34"/>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810"/>
            <w:tcBorders>
              <w:top w:val="none" w:color="000000" w:sz="4"/>
              <w:left w:val="none" w:color="000000" w:sz="4"/>
              <w:bottom w:val="none" w:color="000000" w:sz="4"/>
              <w:right w:val="none" w:color="000000" w:sz="4"/>
            </w:tcBorders>
            <w:vAlign w:val="top"/>
          </w:tcPr>
          <w:p>
            <w:pPr>
              <w:jc w:val="both"/>
            </w:pPr>
            <w:r>
              <w:rPr>
                <w:sz w:val="21"/>
              </w:rPr>
              <w:t xml:space="preserve"> </w:t>
            </w:r>
          </w:p>
        </w:tc>
      </w:tr>
    </w:tbl>
    <w:p>
      <w:pPr>
        <w:jc w:val="both"/>
      </w:pPr>
      <w:r>
        <w:rPr>
          <w:sz w:val="21"/>
        </w:rPr>
        <w:t xml:space="preserve"> </w:t>
      </w:r>
    </w:p>
    <w:p>
      <w:pPr>
        <w:ind w:firstLine="400"/>
        <w:jc w:val="both"/>
      </w:pPr>
      <w:r>
        <w:rPr>
          <w:sz w:val="24"/>
        </w:rPr>
        <w:t>合同总额包括乙方设计、安装、随机零配件、标配工具、运输保险、调试、培训、质保期服务、各项税费及合同实施过程中不可预见费用等。</w:t>
      </w:r>
    </w:p>
    <w:p>
      <w:pPr>
        <w:ind w:firstLine="400"/>
        <w:jc w:val="both"/>
      </w:pPr>
      <w:r>
        <w:rPr>
          <w:sz w:val="24"/>
        </w:rPr>
        <w:t>注：货物名称内容必须与投标文件中货物名称内容一致。</w:t>
      </w:r>
    </w:p>
    <w:p>
      <w:pPr>
        <w:jc w:val="both"/>
      </w:pPr>
      <w:r>
        <w:rPr>
          <w:b/>
          <w:sz w:val="24"/>
        </w:rPr>
        <w:t>二、合同金额</w:t>
      </w:r>
    </w:p>
    <w:p>
      <w:pPr>
        <w:jc w:val="both"/>
      </w:pPr>
      <w:r>
        <w:rPr>
          <w:sz w:val="24"/>
        </w:rPr>
        <w:t>合同金额为（大写）：</w:t>
      </w:r>
      <w:r>
        <w:rPr>
          <w:sz w:val="24"/>
        </w:rPr>
        <w:t>_________________</w:t>
      </w:r>
      <w:r>
        <w:rPr>
          <w:sz w:val="24"/>
        </w:rPr>
        <w:t>元（￥</w:t>
      </w:r>
      <w:r>
        <w:rPr>
          <w:sz w:val="24"/>
        </w:rPr>
        <w:t>_______________</w:t>
      </w:r>
      <w:r>
        <w:rPr>
          <w:sz w:val="24"/>
        </w:rPr>
        <w:t>元）人民币。</w:t>
      </w:r>
    </w:p>
    <w:p>
      <w:pPr>
        <w:jc w:val="both"/>
      </w:pPr>
      <w:r>
        <w:rPr>
          <w:b/>
          <w:sz w:val="24"/>
        </w:rPr>
        <w:t>三、设备要求</w:t>
      </w:r>
    </w:p>
    <w:p>
      <w:pPr>
        <w:jc w:val="both"/>
      </w:pPr>
      <w:r>
        <w:rPr>
          <w:sz w:val="24"/>
        </w:rPr>
        <w:t>货物为原制造商制造的全新产品，整机无污染，无侵权行为、表面无划损、无任何缺陷隐患，在中国境内可依常规安全合法使用。</w:t>
      </w:r>
    </w:p>
    <w:p>
      <w:pPr>
        <w:jc w:val="both"/>
      </w:pPr>
      <w:r>
        <w:rPr>
          <w:b/>
          <w:sz w:val="24"/>
        </w:rPr>
        <w:t>四、交货期、交货方式及交货地点</w:t>
      </w:r>
    </w:p>
    <w:p>
      <w:pPr>
        <w:jc w:val="both"/>
      </w:pPr>
      <w:r>
        <w:rPr>
          <w:sz w:val="24"/>
        </w:rPr>
        <w:t xml:space="preserve">       1.</w:t>
      </w:r>
      <w:r>
        <w:rPr>
          <w:sz w:val="24"/>
        </w:rPr>
        <w:t>交货期：</w:t>
      </w:r>
    </w:p>
    <w:p>
      <w:pPr>
        <w:jc w:val="both"/>
      </w:pPr>
      <w:r>
        <w:rPr>
          <w:sz w:val="24"/>
        </w:rPr>
        <w:t xml:space="preserve">       2.</w:t>
      </w:r>
      <w:r>
        <w:rPr>
          <w:sz w:val="24"/>
        </w:rPr>
        <w:t>交货方式：</w:t>
      </w:r>
    </w:p>
    <w:p>
      <w:pPr>
        <w:jc w:val="both"/>
      </w:pPr>
      <w:r>
        <w:rPr>
          <w:sz w:val="24"/>
        </w:rPr>
        <w:t xml:space="preserve">       3.</w:t>
      </w:r>
      <w:r>
        <w:rPr>
          <w:sz w:val="24"/>
        </w:rPr>
        <w:t>交货地点：</w:t>
      </w:r>
    </w:p>
    <w:p>
      <w:pPr>
        <w:jc w:val="both"/>
      </w:pPr>
      <w:r>
        <w:rPr>
          <w:b/>
          <w:sz w:val="24"/>
        </w:rPr>
        <w:t>五、付款方式</w:t>
      </w:r>
    </w:p>
    <w:p>
      <w:pPr>
        <w:jc w:val="both"/>
      </w:pPr>
      <w:r>
        <w:rPr>
          <w:sz w:val="24"/>
        </w:rPr>
        <w:t>1.</w:t>
      </w:r>
      <w:r>
        <w:rPr>
          <w:sz w:val="24"/>
        </w:rPr>
        <w:t>本项目的款项以人民币结算，合同设备到甲方指定地点交付，甲方收到乙方提交的付款申请资料后，一个月内支付合同总金额的</w:t>
      </w:r>
      <w:r>
        <w:rPr>
          <w:sz w:val="24"/>
        </w:rPr>
        <w:t>40%</w:t>
      </w:r>
      <w:r>
        <w:rPr>
          <w:sz w:val="24"/>
        </w:rPr>
        <w:t>。</w:t>
      </w:r>
    </w:p>
    <w:p>
      <w:pPr>
        <w:jc w:val="both"/>
      </w:pPr>
      <w:r>
        <w:rPr>
          <w:sz w:val="24"/>
        </w:rPr>
        <w:t>2.</w:t>
      </w:r>
      <w:r>
        <w:rPr>
          <w:sz w:val="24"/>
        </w:rPr>
        <w:t>合同设备完成安装、调试，项目最终合格，甲方收到乙方提交的付款申请资料后，六个月内支付合同总金额的</w:t>
      </w:r>
      <w:r>
        <w:rPr>
          <w:sz w:val="24"/>
        </w:rPr>
        <w:t>60%</w:t>
      </w:r>
      <w:r>
        <w:rPr>
          <w:sz w:val="24"/>
        </w:rPr>
        <w:t>。</w:t>
      </w:r>
    </w:p>
    <w:p>
      <w:pPr>
        <w:jc w:val="both"/>
      </w:pPr>
      <w:r>
        <w:rPr>
          <w:sz w:val="24"/>
        </w:rPr>
        <w:t>说明：甲方凭以下有效文件采用转账方式向乙方支付：</w:t>
      </w:r>
      <w:r>
        <w:rPr>
          <w:sz w:val="24"/>
        </w:rPr>
        <w:t>(1)</w:t>
      </w:r>
      <w:r>
        <w:rPr>
          <w:sz w:val="24"/>
        </w:rPr>
        <w:t>中标通知书及合同；</w:t>
      </w:r>
      <w:r>
        <w:rPr>
          <w:sz w:val="24"/>
        </w:rPr>
        <w:t>(2)</w:t>
      </w:r>
      <w:r>
        <w:rPr>
          <w:sz w:val="24"/>
        </w:rPr>
        <w:t>验收合格报告</w:t>
      </w:r>
      <w:r>
        <w:rPr>
          <w:sz w:val="24"/>
        </w:rPr>
        <w:t>(</w:t>
      </w:r>
      <w:r>
        <w:rPr>
          <w:sz w:val="24"/>
        </w:rPr>
        <w:t>加盖甲方公章</w:t>
      </w:r>
      <w:r>
        <w:rPr>
          <w:sz w:val="24"/>
        </w:rPr>
        <w:t>)</w:t>
      </w:r>
      <w:r>
        <w:rPr>
          <w:sz w:val="24"/>
        </w:rPr>
        <w:t>；</w:t>
      </w:r>
      <w:r>
        <w:rPr>
          <w:sz w:val="24"/>
        </w:rPr>
        <w:t>(3)</w:t>
      </w:r>
      <w:r>
        <w:rPr>
          <w:sz w:val="24"/>
        </w:rPr>
        <w:t>乙方开具的当次应收款项等额正式发票。</w:t>
      </w:r>
    </w:p>
    <w:p>
      <w:pPr>
        <w:jc w:val="both"/>
      </w:pPr>
    </w:p>
    <w:p>
      <w:pPr>
        <w:jc w:val="both"/>
      </w:pPr>
      <w:r>
        <w:rPr>
          <w:b/>
          <w:sz w:val="24"/>
        </w:rPr>
        <w:t>六、质保期及售后服务要求</w:t>
      </w:r>
    </w:p>
    <w:p>
      <w:pPr>
        <w:jc w:val="both"/>
      </w:pPr>
      <w:r>
        <w:rPr>
          <w:sz w:val="24"/>
        </w:rPr>
        <w:t>1.</w:t>
      </w:r>
      <w:r>
        <w:rPr>
          <w:sz w:val="24"/>
        </w:rPr>
        <w:t>本合同的质量保证期（简称</w:t>
      </w:r>
      <w:r>
        <w:rPr>
          <w:sz w:val="24"/>
        </w:rPr>
        <w:t>“</w:t>
      </w:r>
      <w:r>
        <w:rPr>
          <w:sz w:val="24"/>
        </w:rPr>
        <w:t>质保期</w:t>
      </w:r>
      <w:r>
        <w:rPr>
          <w:sz w:val="24"/>
        </w:rPr>
        <w:t>”</w:t>
      </w:r>
      <w:r>
        <w:rPr>
          <w:sz w:val="24"/>
        </w:rPr>
        <w:t>）为</w:t>
      </w:r>
      <w:r>
        <w:rPr>
          <w:sz w:val="21"/>
          <w:u w:val="single"/>
        </w:rPr>
        <w:t xml:space="preserve">    </w:t>
      </w:r>
      <w:r>
        <w:rPr>
          <w:sz w:val="24"/>
        </w:rPr>
        <w:t>年，质保期内乙方对所供货物实行包修、包换、包退及合同约定的其它事项，期满后可同时提供终身</w:t>
      </w:r>
      <w:r>
        <w:rPr>
          <w:sz w:val="24"/>
          <w:u w:val="single"/>
        </w:rPr>
        <w:t>(</w:t>
      </w:r>
      <w:r>
        <w:rPr>
          <w:sz w:val="24"/>
          <w:u w:val="single"/>
        </w:rPr>
        <w:t>免费</w:t>
      </w:r>
      <w:r>
        <w:rPr>
          <w:sz w:val="24"/>
          <w:u w:val="single"/>
        </w:rPr>
        <w:t>/</w:t>
      </w:r>
      <w:r>
        <w:rPr>
          <w:sz w:val="24"/>
          <w:u w:val="single"/>
        </w:rPr>
        <w:t>有偿</w:t>
      </w:r>
      <w:r>
        <w:rPr>
          <w:sz w:val="24"/>
          <w:u w:val="single"/>
        </w:rPr>
        <w:t>)</w:t>
      </w:r>
      <w:r>
        <w:rPr>
          <w:sz w:val="24"/>
        </w:rPr>
        <w:t>维修保养服务。</w:t>
      </w:r>
    </w:p>
    <w:p>
      <w:pPr>
        <w:jc w:val="both"/>
      </w:pPr>
      <w:r>
        <w:rPr>
          <w:sz w:val="24"/>
        </w:rPr>
        <w:t>2.</w:t>
      </w:r>
      <w:r>
        <w:rPr>
          <w:sz w:val="24"/>
        </w:rPr>
        <w:t>质保期内，如设备或零部件因质量原因出现故障而造成短期停用时，则质保期和免费维修期相应顺延。如停用时间累计超过</w:t>
      </w:r>
      <w:r>
        <w:rPr>
          <w:sz w:val="24"/>
        </w:rPr>
        <w:t>60</w:t>
      </w:r>
      <w:r>
        <w:rPr>
          <w:sz w:val="24"/>
        </w:rPr>
        <w:t>天则质保期重新计算。</w:t>
      </w:r>
    </w:p>
    <w:p>
      <w:pPr>
        <w:jc w:val="both"/>
      </w:pPr>
      <w:r>
        <w:rPr>
          <w:sz w:val="24"/>
        </w:rPr>
        <w:t>3.</w:t>
      </w:r>
      <w:r>
        <w:rPr>
          <w:sz w:val="22"/>
        </w:rPr>
        <w:t>乙方须在</w:t>
      </w:r>
      <w:r>
        <w:rPr>
          <w:sz w:val="22"/>
        </w:rPr>
        <w:t>30</w:t>
      </w:r>
      <w:r>
        <w:rPr>
          <w:sz w:val="22"/>
        </w:rPr>
        <w:t>分钟内对甲方提出的需求做出响应，乙方承诺在接到甲方的故障通知后</w:t>
      </w:r>
      <w:r>
        <w:rPr>
          <w:sz w:val="22"/>
        </w:rPr>
        <w:t>2</w:t>
      </w:r>
      <w:r>
        <w:rPr>
          <w:sz w:val="22"/>
        </w:rPr>
        <w:t>小时内到达现场，</w:t>
      </w:r>
      <w:r>
        <w:rPr>
          <w:sz w:val="22"/>
        </w:rPr>
        <w:t>4</w:t>
      </w:r>
      <w:r>
        <w:rPr>
          <w:sz w:val="22"/>
        </w:rPr>
        <w:t>小时内处理完毕。若故障严重不能在现场处理需送到公司维修的，需提供备用设备。</w:t>
      </w:r>
    </w:p>
    <w:p>
      <w:pPr>
        <w:jc w:val="both"/>
      </w:pPr>
      <w:r>
        <w:rPr>
          <w:b/>
          <w:sz w:val="24"/>
        </w:rPr>
        <w:t>七、安装与调试</w:t>
      </w:r>
    </w:p>
    <w:p>
      <w:pPr>
        <w:jc w:val="both"/>
      </w:pPr>
      <w:r>
        <w:rPr>
          <w:sz w:val="24"/>
        </w:rPr>
        <w:t>1.</w:t>
      </w:r>
      <w:r>
        <w:rPr>
          <w:sz w:val="24"/>
        </w:rPr>
        <w:t>乙方必须依照招标文件的要求和报价文件的承诺，将设备、系统安装并调试至正常运行的最佳状态。</w:t>
      </w:r>
    </w:p>
    <w:p>
      <w:pPr>
        <w:jc w:val="both"/>
      </w:pPr>
      <w:r>
        <w:rPr>
          <w:b/>
          <w:sz w:val="24"/>
        </w:rPr>
        <w:t>八、验收：</w:t>
      </w:r>
    </w:p>
    <w:p>
      <w:pPr>
        <w:jc w:val="both"/>
      </w:pPr>
      <w:r>
        <w:rPr>
          <w:sz w:val="24"/>
        </w:rPr>
        <w:t>1.</w:t>
      </w:r>
      <w:r>
        <w:rPr>
          <w:sz w:val="24"/>
        </w:rPr>
        <w:t>交付验收标准依次序对照适用标准为：</w:t>
      </w:r>
      <w:r>
        <w:rPr>
          <w:sz w:val="24"/>
        </w:rPr>
        <w:t>①</w:t>
      </w:r>
      <w:r>
        <w:rPr>
          <w:sz w:val="24"/>
        </w:rPr>
        <w:t>符合中华人民共和国国家安全质量标准、环保标准或行业标准；</w:t>
      </w:r>
      <w:r>
        <w:rPr>
          <w:sz w:val="24"/>
        </w:rPr>
        <w:t>②</w:t>
      </w:r>
      <w:r>
        <w:rPr>
          <w:sz w:val="24"/>
        </w:rPr>
        <w:t>符合招标文件和响应承诺中甲方认可的合理最佳配置、参数及各项要求；</w:t>
      </w:r>
      <w:r>
        <w:rPr>
          <w:sz w:val="24"/>
        </w:rPr>
        <w:t>③</w:t>
      </w:r>
      <w:r>
        <w:rPr>
          <w:sz w:val="24"/>
        </w:rPr>
        <w:t>货物来源国官方标准。</w:t>
      </w:r>
    </w:p>
    <w:p>
      <w:pPr>
        <w:jc w:val="both"/>
      </w:pPr>
      <w:r>
        <w:rPr>
          <w:sz w:val="24"/>
        </w:rPr>
        <w:t>2.</w:t>
      </w:r>
      <w:r>
        <w:rPr>
          <w:sz w:val="24"/>
        </w:rPr>
        <w:t>进口产品必须具备原产地证明和商检局的检验证明及合法进货渠道证明。</w:t>
      </w:r>
    </w:p>
    <w:p>
      <w:pPr>
        <w:jc w:val="both"/>
      </w:pPr>
      <w:r>
        <w:rPr>
          <w:sz w:val="24"/>
        </w:rPr>
        <w:t>3.</w:t>
      </w:r>
      <w:r>
        <w:rPr>
          <w:sz w:val="24"/>
        </w:rPr>
        <w:t>货物为原厂商未启封全新包装，具出厂合格证，序列号、包装箱号与出厂批号一致，并可追索查阅。所有随设备的附件必须齐全。</w:t>
      </w:r>
    </w:p>
    <w:p>
      <w:pPr>
        <w:jc w:val="both"/>
      </w:pPr>
      <w:r>
        <w:rPr>
          <w:sz w:val="24"/>
        </w:rPr>
        <w:t>4.</w:t>
      </w:r>
      <w:r>
        <w:rPr>
          <w:sz w:val="24"/>
        </w:rPr>
        <w:t>乙方应将关键主机设备的用户手册、保修手册、有关单证资料及配备件、随机工具等交付给甲方，使用操作及安全须知等重要资料应附有中文说明。</w:t>
      </w:r>
    </w:p>
    <w:p>
      <w:pPr>
        <w:jc w:val="both"/>
      </w:pPr>
      <w:r>
        <w:rPr>
          <w:sz w:val="24"/>
        </w:rPr>
        <w:t>5.</w:t>
      </w:r>
      <w:r>
        <w:rPr>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4"/>
        </w:rPr>
        <w:t>九、违约责任与赔偿损失</w:t>
      </w:r>
    </w:p>
    <w:p>
      <w:pPr>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rPr>
        <w:t>5%</w:t>
      </w:r>
      <w:r>
        <w:rPr>
          <w:sz w:val="24"/>
        </w:rPr>
        <w:t>的违约金。</w:t>
      </w:r>
    </w:p>
    <w:p>
      <w:pPr>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的数额向甲方支付违约金；逾期半个月以上的，甲方有权终止合同，由此造成的甲方经济损失由乙方承担。</w:t>
      </w:r>
    </w:p>
    <w:p>
      <w:pPr>
        <w:jc w:val="both"/>
      </w:pPr>
      <w:r>
        <w:rPr>
          <w:sz w:val="24"/>
        </w:rPr>
        <w:t>3.</w:t>
      </w:r>
      <w:r>
        <w:rPr>
          <w:sz w:val="24"/>
        </w:rPr>
        <w:t>甲方无正当理由拒收货物</w:t>
      </w:r>
      <w:r>
        <w:rPr>
          <w:sz w:val="24"/>
        </w:rPr>
        <w:t>/</w:t>
      </w:r>
      <w:r>
        <w:rPr>
          <w:sz w:val="24"/>
        </w:rPr>
        <w:t>接受服务，到期拒付货物</w:t>
      </w:r>
      <w:r>
        <w:rPr>
          <w:sz w:val="24"/>
        </w:rPr>
        <w:t>/</w:t>
      </w:r>
      <w:r>
        <w:rPr>
          <w:sz w:val="24"/>
        </w:rPr>
        <w:t>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jc w:val="both"/>
      </w:pPr>
      <w:r>
        <w:rPr>
          <w:sz w:val="24"/>
        </w:rPr>
        <w:t xml:space="preserve">4.   </w:t>
      </w:r>
      <w:r>
        <w:rPr>
          <w:sz w:val="24"/>
        </w:rPr>
        <w:t>对于因甲方原因导致变更、中止或者终止政府采购合同的，甲方应当依照以下合同约定对供应商受到的损失予以赔偿或者补偿：</w:t>
      </w:r>
    </w:p>
    <w:p>
      <w:pPr>
        <w:jc w:val="both"/>
      </w:pPr>
      <w:r>
        <w:rPr>
          <w:sz w:val="21"/>
        </w:rPr>
        <w:t xml:space="preserve">       </w:t>
      </w:r>
      <w:r>
        <w:rPr>
          <w:sz w:val="21"/>
          <w:u w:val="single"/>
        </w:rPr>
        <w:t xml:space="preserve">                                                </w:t>
      </w:r>
    </w:p>
    <w:p>
      <w:pPr>
        <w:jc w:val="both"/>
      </w:pPr>
      <w:r>
        <w:rPr>
          <w:sz w:val="24"/>
        </w:rPr>
        <w:t>5.</w:t>
      </w:r>
      <w:r>
        <w:rPr>
          <w:sz w:val="24"/>
        </w:rPr>
        <w:t>其它违约责任按《中华人民共和国民法典</w:t>
      </w:r>
      <w:r>
        <w:rPr>
          <w:sz w:val="24"/>
        </w:rPr>
        <w:t>(</w:t>
      </w:r>
      <w:r>
        <w:rPr>
          <w:sz w:val="24"/>
        </w:rPr>
        <w:t>合同编</w:t>
      </w:r>
      <w:r>
        <w:rPr>
          <w:sz w:val="24"/>
        </w:rPr>
        <w:t>)</w:t>
      </w:r>
      <w:r>
        <w:rPr>
          <w:sz w:val="24"/>
        </w:rPr>
        <w:t>》处理。</w:t>
      </w:r>
    </w:p>
    <w:p>
      <w:pPr>
        <w:jc w:val="both"/>
      </w:pPr>
      <w:r>
        <w:rPr>
          <w:b/>
          <w:sz w:val="24"/>
        </w:rPr>
        <w:t>十、争议的解决</w:t>
      </w:r>
      <w:r>
        <w:rPr>
          <w:sz w:val="24"/>
        </w:rPr>
        <w:t xml:space="preserve">  </w:t>
      </w:r>
      <w:r>
        <w:rPr>
          <w:sz w:val="24"/>
        </w:rPr>
        <w:t>合同执行过程中发生的任何争议，如双方不能通过友好协商解决，按相关法律法规处理。</w:t>
      </w:r>
    </w:p>
    <w:p>
      <w:pPr>
        <w:jc w:val="both"/>
      </w:pPr>
      <w:r>
        <w:rPr>
          <w:b/>
          <w:sz w:val="24"/>
        </w:rPr>
        <w:t>十一、不可抗力</w:t>
      </w:r>
    </w:p>
    <w:p>
      <w:pPr>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十二、税费</w:t>
      </w:r>
    </w:p>
    <w:p>
      <w:pPr>
        <w:jc w:val="both"/>
      </w:pPr>
      <w:r>
        <w:rPr>
          <w:sz w:val="24"/>
        </w:rPr>
        <w:t>1.</w:t>
      </w:r>
      <w:r>
        <w:rPr>
          <w:sz w:val="24"/>
        </w:rPr>
        <w:t>在中国境内、外发生的与本合同执行有关的一切税费均由乙方负担。</w:t>
      </w:r>
    </w:p>
    <w:p>
      <w:pPr>
        <w:jc w:val="both"/>
      </w:pPr>
      <w:r>
        <w:rPr>
          <w:b/>
          <w:sz w:val="24"/>
        </w:rPr>
        <w:t>十三、</w:t>
      </w:r>
      <w:r>
        <w:rPr>
          <w:sz w:val="21"/>
        </w:rPr>
        <w:t xml:space="preserve"> </w:t>
      </w:r>
      <w:r>
        <w:rPr>
          <w:b/>
          <w:sz w:val="24"/>
        </w:rPr>
        <w:t>其它</w:t>
      </w:r>
    </w:p>
    <w:p>
      <w:pPr>
        <w:jc w:val="both"/>
      </w:pPr>
      <w:r>
        <w:rPr>
          <w:sz w:val="24"/>
        </w:rPr>
        <w:t>1.</w:t>
      </w:r>
      <w:r>
        <w:rPr>
          <w:sz w:val="24"/>
        </w:rPr>
        <w:t>本合同所有附件、招标文件、投标文件、中标通知书均为合同的有效组成部分，与本合同具有同等法律效力。</w:t>
      </w:r>
    </w:p>
    <w:p>
      <w:pPr>
        <w:jc w:val="both"/>
      </w:pPr>
      <w:r>
        <w:rPr>
          <w:sz w:val="24"/>
        </w:rPr>
        <w:t>2.</w:t>
      </w:r>
      <w:r>
        <w:rPr>
          <w:sz w:val="24"/>
        </w:rPr>
        <w:t>在执行本合同的过程中，所有经双方签署确认的文件（包括会议纪要、补充协议、往来信函）即成为本合同的有效组成部分。</w:t>
      </w:r>
    </w:p>
    <w:p>
      <w:pPr>
        <w:jc w:val="both"/>
      </w:pPr>
      <w:r>
        <w:rPr>
          <w:sz w:val="24"/>
        </w:rPr>
        <w:t>3.</w:t>
      </w:r>
      <w:r>
        <w:rPr>
          <w:sz w:val="24"/>
        </w:rPr>
        <w:t>如一方地址、电话、传真号码有变更，应在变更当日内书面通知对方，否则，应承担相应责任。</w:t>
      </w:r>
    </w:p>
    <w:p>
      <w:pPr>
        <w:jc w:val="both"/>
      </w:pPr>
      <w:r>
        <w:rPr>
          <w:sz w:val="24"/>
        </w:rPr>
        <w:t>4.</w:t>
      </w:r>
      <w:r>
        <w:rPr>
          <w:sz w:val="24"/>
        </w:rPr>
        <w:t>除甲方事先书面同意外，乙方不得部分或全部转让其应履行的合同项下的义务。</w:t>
      </w:r>
    </w:p>
    <w:p>
      <w:pPr>
        <w:jc w:val="both"/>
      </w:pPr>
      <w:r>
        <w:rPr>
          <w:b/>
          <w:sz w:val="24"/>
        </w:rPr>
        <w:t>十四、</w:t>
      </w:r>
      <w:r>
        <w:rPr>
          <w:sz w:val="21"/>
        </w:rPr>
        <w:t xml:space="preserve">     </w:t>
      </w:r>
      <w:r>
        <w:rPr>
          <w:b/>
          <w:sz w:val="24"/>
        </w:rPr>
        <w:t>合同生效</w:t>
      </w:r>
    </w:p>
    <w:p>
      <w:pPr>
        <w:jc w:val="both"/>
      </w:pPr>
      <w:r>
        <w:rPr>
          <w:sz w:val="24"/>
        </w:rPr>
        <w:t>1.</w:t>
      </w:r>
      <w:r>
        <w:rPr>
          <w:sz w:val="24"/>
        </w:rPr>
        <w:t>本合同在甲乙双方法人代表或其授权代表签字盖章后生效。</w:t>
      </w:r>
    </w:p>
    <w:p>
      <w:pPr>
        <w:jc w:val="both"/>
      </w:pPr>
      <w:r>
        <w:rPr>
          <w:sz w:val="24"/>
        </w:rPr>
        <w:t>2.</w:t>
      </w:r>
      <w:r>
        <w:rPr>
          <w:sz w:val="24"/>
        </w:rPr>
        <w:t>合同一式</w:t>
      </w:r>
      <w:r>
        <w:rPr>
          <w:sz w:val="21"/>
          <w:u w:val="single"/>
        </w:rPr>
        <w:t xml:space="preserve">   </w:t>
      </w:r>
      <w:r>
        <w:rPr>
          <w:sz w:val="24"/>
        </w:rPr>
        <w:t>份。</w:t>
      </w:r>
      <w:r>
        <w:rPr>
          <w:color w:val="000000"/>
          <w:sz w:val="21"/>
        </w:rPr>
        <w:t>具有同等法律效力，</w:t>
      </w:r>
      <w:r>
        <w:rPr>
          <w:sz w:val="24"/>
        </w:rPr>
        <w:t>甲方执</w:t>
      </w:r>
      <w:r>
        <w:rPr>
          <w:sz w:val="21"/>
          <w:u w:val="single"/>
        </w:rPr>
        <w:t xml:space="preserve">   </w:t>
      </w:r>
      <w:r>
        <w:rPr>
          <w:sz w:val="24"/>
        </w:rPr>
        <w:t>份</w:t>
      </w:r>
      <w:r>
        <w:rPr>
          <w:sz w:val="24"/>
        </w:rPr>
        <w:t>，</w:t>
      </w:r>
      <w:r>
        <w:rPr>
          <w:sz w:val="24"/>
        </w:rPr>
        <w:t>乙方执</w:t>
      </w:r>
      <w:r>
        <w:rPr>
          <w:sz w:val="21"/>
          <w:u w:val="single"/>
        </w:rPr>
        <w:t xml:space="preserve">   </w:t>
      </w:r>
      <w:r>
        <w:rPr>
          <w:sz w:val="24"/>
        </w:rPr>
        <w:t>份</w:t>
      </w:r>
      <w:r>
        <w:rPr>
          <w:sz w:val="24"/>
        </w:rPr>
        <w:t>，</w:t>
      </w:r>
      <w:r>
        <w:rPr>
          <w:sz w:val="24"/>
        </w:rPr>
        <w:t>代理机构执壹份。</w:t>
      </w:r>
      <w:r>
        <w:rPr>
          <w:color w:val="000000"/>
          <w:sz w:val="21"/>
        </w:rPr>
        <w:t>合同自签字之</w:t>
      </w:r>
      <w:r>
        <w:rPr>
          <w:color w:val="000000"/>
          <w:sz w:val="21"/>
        </w:rPr>
        <w:t>日起即时生效。</w:t>
      </w:r>
    </w:p>
    <w:p>
      <w:pPr>
        <w:jc w:val="both"/>
      </w:pPr>
    </w:p>
    <w:p>
      <w:pPr>
        <w:jc w:val="both"/>
      </w:pP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签订地点：</w:t>
      </w:r>
    </w:p>
    <w:p>
      <w:pPr>
        <w:jc w:val="both"/>
      </w:pPr>
      <w:r>
        <w:rPr>
          <w:sz w:val="27"/>
        </w:rPr>
        <w:t>签订日期：　　　年　　月　　日</w:t>
      </w:r>
      <w:r>
        <w:rPr>
          <w:sz w:val="27"/>
        </w:rPr>
        <w:t>签订日期：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442000-2023-00836</w:t>
      </w:r>
    </w:p>
    <w:p>
      <w:pPr>
        <w:jc w:val="center"/>
      </w:pPr>
      <w:r>
        <w:rPr>
          <w:b/>
          <w:sz w:val="24"/>
        </w:rPr>
        <w:t>采购项目编号：</w:t>
      </w:r>
      <w:r>
        <w:rPr>
          <w:b/>
          <w:sz w:val="24"/>
        </w:rPr>
        <w:t>442000-2023-00836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中山市博爱医院服务器存储及相关配套设备采购项目（二次）</w:t>
      </w:r>
      <w:r>
        <w:rPr>
          <w:u w:val="single"/>
        </w:rPr>
        <w:t>”</w:t>
      </w:r>
      <w:r>
        <w:rPr/>
        <w:t>项目的招标[采购项目编号为：</w:t>
      </w:r>
      <w:r>
        <w:rPr>
          <w:u w:val="single"/>
        </w:rPr>
        <w:t>442000-2023-00836</w:t>
      </w:r>
      <w:r>
        <w:rPr/>
        <w:t>]，我方愿参与投标。</w:t>
      </w:r>
    </w:p>
    <w:p>
      <w:pPr>
        <w:ind w:firstLine="480"/>
      </w:pPr>
      <w:r>
        <w:rPr/>
        <w:t>我方确认收到贵方提供的</w:t>
      </w:r>
      <w:r>
        <w:rPr>
          <w:u w:val="single"/>
        </w:rPr>
        <w:t>“</w:t>
      </w:r>
      <w:r>
        <w:rPr>
          <w:u w:val="single"/>
        </w:rPr>
        <w:t>中山市博爱医院服务器存储及相关配套设备采购项目（二次）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中山市博爱医院服务器存储及相关配套设备采购项目（二次）</w:t>
      </w:r>
      <w:r>
        <w:rPr/>
        <w:t>”项目采购[采购项目编号为</w:t>
      </w:r>
      <w:r>
        <w:rPr/>
        <w:t>442000-2023-00836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中山市博爱医院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中山市博爱医院服务器存储及相关配套设备采购项目（二次）</w:t>
      </w:r>
      <w:r>
        <w:rPr/>
        <w:t>招标中获中标（采购项目编号：</w:t>
      </w:r>
      <w:r>
        <w:rPr/>
        <w:t>442000-2023-00836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中山市博爱医院服务器存储及相关配套设备采购项目（二次）</w:t>
      </w:r>
      <w:r>
        <w:rPr/>
        <w:t>”项目（采购项目编号：</w:t>
      </w:r>
      <w:r>
        <w:rPr/>
        <w:t>442000-2023-00836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