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  <w:highlight w:val="none"/>
                <w:shd w:val="clear" w:color="auto" w:fill="FFFFFF"/>
                <w:lang w:eastAsia="zh-CN"/>
              </w:rPr>
              <w:t>中山市石岐体育路学校</w:t>
            </w: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正品楼教师阅览室</w:t>
            </w:r>
            <w:r>
              <w:rPr>
                <w:rFonts w:hint="eastAsia" w:eastAsia="宋体" w:cs="宋体"/>
                <w:color w:val="222222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装修工程项目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ZL-202206-TYLXX-G004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1FAF2B5F"/>
    <w:rsid w:val="314D6479"/>
    <w:rsid w:val="36EB187D"/>
    <w:rsid w:val="37F96AB2"/>
    <w:rsid w:val="383704F5"/>
    <w:rsid w:val="39142E62"/>
    <w:rsid w:val="3CDA52CD"/>
    <w:rsid w:val="3D9D0A82"/>
    <w:rsid w:val="416D06DD"/>
    <w:rsid w:val="42AC0BEC"/>
    <w:rsid w:val="462958D9"/>
    <w:rsid w:val="53433C36"/>
    <w:rsid w:val="58C97D68"/>
    <w:rsid w:val="5B15401D"/>
    <w:rsid w:val="60DC1B4F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0</TotalTime>
  <ScaleCrop>false</ScaleCrop>
  <LinksUpToDate>false</LinksUpToDate>
  <CharactersWithSpaces>276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sakura</cp:lastModifiedBy>
  <dcterms:modified xsi:type="dcterms:W3CDTF">2022-05-31T02:28:38Z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F9BDC693B48643E293B11C9B9F111391</vt:lpwstr>
  </property>
</Properties>
</file>