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442000108-2022-00395</w:t>
      </w:r>
    </w:p>
    <w:p>
      <w:pPr>
        <w:jc w:val="center"/>
      </w:pPr>
      <w:r>
        <w:rPr>
          <w:b/>
          <w:sz w:val="24"/>
        </w:rPr>
        <w:t>采购项目编号：</w:t>
      </w:r>
      <w:r>
        <w:rPr>
          <w:b/>
          <w:sz w:val="24"/>
        </w:rPr>
        <w:t>442000108-2022-00395</w:t>
      </w:r>
    </w:p>
    <w:p>
      <w:pPr>
        <w:jc w:val="center"/>
      </w:pPr>
      <w:r>
        <w:rPr>
          <w:b/>
          <w:sz w:val="24"/>
        </w:rPr>
        <w:t>项目名称：</w:t>
      </w:r>
      <w:r>
        <w:rPr>
          <w:b/>
          <w:sz w:val="24"/>
        </w:rPr>
        <w:t>中山市港口医院数字化钼靶乳腺机采购项目</w:t>
      </w:r>
    </w:p>
    <w:p>
      <w:pPr>
        <w:jc w:val="center"/>
      </w:pPr>
      <w:r>
        <w:rPr>
          <w:b/>
          <w:sz w:val="24"/>
        </w:rPr>
        <w:t>采购人：</w:t>
      </w:r>
      <w:r>
        <w:rPr>
          <w:b/>
          <w:sz w:val="24"/>
        </w:rPr>
        <w:t>中山市港口医院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中山市港口医院</w:t>
      </w:r>
      <w:r>
        <w:rPr/>
        <w:t>的委托，采用</w:t>
      </w:r>
      <w:r>
        <w:rPr/>
        <w:t>公开招标</w:t>
      </w:r>
      <w:r>
        <w:rPr/>
        <w:t>方式组织采购</w:t>
      </w:r>
      <w:r>
        <w:rPr/>
        <w:t>中山市港口医院数字化钼靶乳腺机采购项目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中山市港口医院数字化钼靶乳腺机采购项目</w:t>
      </w:r>
    </w:p>
    <w:p>
      <w:pPr>
        <w:ind w:firstLine="480"/>
      </w:pPr>
      <w:r>
        <w:rPr/>
        <w:t>采购计划编号：</w:t>
      </w:r>
      <w:r>
        <w:rPr/>
        <w:t>442000108-2022-00395</w:t>
      </w:r>
    </w:p>
    <w:p>
      <w:pPr>
        <w:ind w:firstLine="480"/>
      </w:pPr>
      <w:r>
        <w:rPr/>
        <w:t>采购项目编号：</w:t>
      </w:r>
      <w:r>
        <w:rPr/>
        <w:t>442000108-2022-00395</w:t>
      </w:r>
    </w:p>
    <w:p>
      <w:pPr>
        <w:ind w:firstLine="480"/>
      </w:pPr>
      <w:r>
        <w:rPr/>
        <w:t>采购方式：</w:t>
      </w:r>
      <w:r>
        <w:rPr/>
        <w:t>公开招标</w:t>
      </w:r>
    </w:p>
    <w:p>
      <w:pPr>
        <w:ind w:firstLine="480"/>
      </w:pPr>
      <w:r>
        <w:rPr/>
        <w:t>预算金额：</w:t>
      </w:r>
      <w:r>
        <w:rPr/>
        <w:t>2,500,000.00</w:t>
      </w:r>
      <w:r>
        <w:rPr/>
        <w:t>元</w:t>
      </w:r>
    </w:p>
    <w:p>
      <w:r>
        <w:rPr>
          <w:b/>
          <w:sz w:val="24"/>
        </w:rPr>
        <w:t>2.项目内容及需求情况（采购项目技术规格、参数及要求）</w:t>
      </w:r>
    </w:p>
    <w:p>
      <w:pPr>
        <w:ind w:firstLine="480"/>
      </w:pPr>
    </w:p>
    <w:p/>
    <w:p>
      <w:r>
        <w:rPr/>
        <w:t>采购包1(中山市港口医院数字化钼靶乳腺机采购项目):</w:t>
      </w:r>
    </w:p>
    <w:p>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医用X线设备</w:t>
            </w:r>
          </w:p>
        </w:tc>
        <w:tc>
          <w:tcPr>
            <w:tcW w:type="dxa" w:w="2052"/>
          </w:tcPr>
          <w:p>
            <w:r>
              <w:rPr/>
              <w:t>数字化钼靶乳腺机</w:t>
            </w:r>
          </w:p>
        </w:tc>
        <w:tc>
          <w:tcPr>
            <w:tcW w:type="dxa" w:w="977"/>
          </w:tcPr>
          <w:p>
            <w:r>
              <w:rPr/>
              <w:t>1.0000(套)</w:t>
            </w:r>
          </w:p>
        </w:tc>
        <w:tc>
          <w:tcPr>
            <w:tcW w:type="dxa" w:w="977"/>
          </w:tcPr>
          <w:p>
            <w:r>
              <w:rPr/>
              <w:t>详见第二章</w:t>
            </w:r>
          </w:p>
        </w:tc>
        <w:tc>
          <w:tcPr>
            <w:tcW w:type="dxa" w:w="977"/>
          </w:tcPr>
          <w:p>
            <w:r>
              <w:rPr/>
              <w:t>2,500,000.00</w:t>
            </w:r>
          </w:p>
        </w:tc>
        <w:tc>
          <w:tcPr>
            <w:tcW w:type="dxa" w:w="977"/>
          </w:tcPr>
          <w:p>
            <w:r>
              <w:rPr/>
              <w:t>否</w:t>
            </w:r>
          </w:p>
        </w:tc>
      </w:tr>
    </w:tbl>
    <w:p/>
    <w:p>
      <w:r>
        <w:rPr/>
        <w:t>本采购包不接受联合体投标</w:t>
      </w:r>
    </w:p>
    <w:p/>
    <w:p>
      <w:r>
        <w:rPr/>
        <w:t>合同履行期限：签订合同后 45 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采购包1（中山市港口医院数字化钼靶乳腺机采购项目）：</w:t>
      </w:r>
      <w:r>
        <w:rPr/>
        <w:t>本项目不专门面向中小企业采购。</w:t>
      </w:r>
    </w:p>
    <w:p/>
    <w:p>
      <w:r>
        <w:rPr>
          <w:b/>
          <w:sz w:val="24"/>
        </w:rPr>
        <w:t>3.本项目特定的资格要求：</w:t>
      </w:r>
    </w:p>
    <w:p>
      <w:pPr>
        <w:ind w:firstLine="480"/>
      </w:pPr>
    </w:p>
    <w:p/>
    <w:p>
      <w:r>
        <w:rPr/>
        <w:t>采购包1（中山市港口医院数字化钼靶乳腺机采购项目）：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t>3)供应商须具有其中一项有效的许可证明：《医疗器械生产许可证》、《医疗器械生产备案凭证》、《医疗器械经营许可证》、《医疗器械经营备案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中山市港口医院</w:t>
      </w:r>
    </w:p>
    <w:p>
      <w:pPr>
        <w:ind w:firstLine="480"/>
      </w:pPr>
      <w:r>
        <w:rPr/>
        <w:t>地址：</w:t>
      </w:r>
      <w:r>
        <w:rPr/>
        <w:t>中山市港口镇胜隆西路</w:t>
      </w:r>
    </w:p>
    <w:p>
      <w:pPr>
        <w:ind w:firstLine="480"/>
      </w:pPr>
      <w:r>
        <w:rPr/>
        <w:t>联系方式：</w:t>
      </w:r>
      <w:r>
        <w:rPr/>
        <w:t>0760-88419189</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p>
    <w:p>
      <w:pPr>
        <w:jc w:val="both"/>
      </w:pPr>
      <w:r>
        <w:rPr>
          <w:sz w:val="21"/>
        </w:rPr>
        <w:t>1.</w:t>
      </w:r>
      <w:r>
        <w:rPr>
          <w:sz w:val="21"/>
        </w:rPr>
        <w:t>项目名称：</w:t>
      </w:r>
      <w:r>
        <w:rPr>
          <w:sz w:val="21"/>
        </w:rPr>
        <w:t>中山市港口医院数字化钼靶乳腺机采购项目</w:t>
      </w:r>
    </w:p>
    <w:p>
      <w:pPr>
        <w:jc w:val="both"/>
      </w:pPr>
      <w:r>
        <w:rPr>
          <w:sz w:val="21"/>
        </w:rPr>
        <w:t>2.</w:t>
      </w:r>
      <w:r>
        <w:rPr>
          <w:sz w:val="21"/>
        </w:rPr>
        <w:t>采购计划编号：</w:t>
      </w:r>
      <w:r>
        <w:rPr>
          <w:sz w:val="21"/>
        </w:rPr>
        <w:t>442000108-2022-00395</w:t>
      </w:r>
      <w:r>
        <w:rPr>
          <w:sz w:val="21"/>
        </w:rPr>
        <w:t xml:space="preserve">     </w:t>
      </w:r>
    </w:p>
    <w:p>
      <w:pPr>
        <w:jc w:val="both"/>
      </w:pPr>
      <w:r>
        <w:rPr>
          <w:sz w:val="21"/>
        </w:rPr>
        <w:t>3.</w:t>
      </w:r>
      <w:r>
        <w:rPr>
          <w:sz w:val="21"/>
        </w:rPr>
        <w:t>采购项目编号：</w:t>
      </w:r>
      <w:r>
        <w:rPr>
          <w:sz w:val="21"/>
        </w:rPr>
        <w:t>442000108-2022-00395</w:t>
      </w:r>
      <w:r>
        <w:rPr>
          <w:sz w:val="21"/>
        </w:rPr>
        <w:t xml:space="preserve">        </w:t>
      </w:r>
    </w:p>
    <w:p>
      <w:pPr>
        <w:jc w:val="both"/>
      </w:pPr>
      <w:r>
        <w:rPr>
          <w:sz w:val="21"/>
        </w:rPr>
        <w:t>4.</w:t>
      </w:r>
      <w:r>
        <w:rPr>
          <w:sz w:val="21"/>
        </w:rPr>
        <w:t>采购</w:t>
      </w:r>
      <w:r>
        <w:rPr>
          <w:sz w:val="21"/>
        </w:rPr>
        <w:t>方式：</w:t>
      </w:r>
      <w:r>
        <w:rPr>
          <w:sz w:val="21"/>
        </w:rPr>
        <w:t>公开招标</w:t>
      </w:r>
    </w:p>
    <w:p>
      <w:pPr>
        <w:jc w:val="both"/>
      </w:pPr>
      <w:r>
        <w:rPr>
          <w:sz w:val="21"/>
        </w:rPr>
        <w:t>5.</w:t>
      </w:r>
      <w:r>
        <w:rPr>
          <w:sz w:val="21"/>
        </w:rPr>
        <w:t>预算金额：</w:t>
      </w:r>
      <w:r>
        <w:rPr>
          <w:sz w:val="21"/>
        </w:rPr>
        <w:t>2500000.00</w:t>
      </w:r>
      <w:r>
        <w:rPr>
          <w:sz w:val="21"/>
        </w:rPr>
        <w:t>元</w:t>
      </w:r>
    </w:p>
    <w:p>
      <w:pPr>
        <w:jc w:val="both"/>
      </w:pPr>
      <w:r>
        <w:rPr>
          <w:sz w:val="21"/>
        </w:rPr>
        <w:t>6.</w:t>
      </w:r>
      <w:r>
        <w:rPr>
          <w:sz w:val="21"/>
        </w:rPr>
        <w:t>投标上限价：</w:t>
      </w:r>
      <w:r>
        <w:rPr>
          <w:sz w:val="21"/>
        </w:rPr>
        <w:t xml:space="preserve"> </w:t>
      </w:r>
      <w:r>
        <w:rPr>
          <w:sz w:val="21"/>
        </w:rPr>
        <w:t>2500000.0</w:t>
      </w:r>
      <w:r>
        <w:rPr>
          <w:sz w:val="21"/>
        </w:rPr>
        <w:t>0</w:t>
      </w:r>
      <w:r>
        <w:rPr>
          <w:sz w:val="21"/>
        </w:rPr>
        <w:t>元</w:t>
      </w:r>
    </w:p>
    <w:p>
      <w:pPr>
        <w:jc w:val="both"/>
      </w:pPr>
      <w:r>
        <w:rPr>
          <w:sz w:val="21"/>
        </w:rPr>
        <w:t>7.</w:t>
      </w:r>
      <w:r>
        <w:rPr>
          <w:sz w:val="21"/>
        </w:rPr>
        <w:t>本项目不属于专门面向中小微企业项目。</w:t>
      </w:r>
    </w:p>
    <w:p>
      <w:pPr>
        <w:jc w:val="both"/>
      </w:pPr>
      <w:r>
        <w:rPr>
          <w:sz w:val="21"/>
        </w:rPr>
        <w:t>8.</w:t>
      </w:r>
      <w:r>
        <w:rPr>
          <w:sz w:val="21"/>
        </w:rPr>
        <w:t>采购标的对应的中小企业划分标准所属行业为：工业</w:t>
      </w:r>
    </w:p>
    <w:p>
      <w:pPr>
        <w:jc w:val="both"/>
      </w:pPr>
      <w:r>
        <w:rPr>
          <w:sz w:val="21"/>
        </w:rPr>
        <w:t>9.</w:t>
      </w:r>
      <w:r>
        <w:rPr>
          <w:sz w:val="21"/>
        </w:rPr>
        <w:t>本采购包不接受联合体投标。</w:t>
      </w:r>
    </w:p>
    <w:p>
      <w:pPr>
        <w:jc w:val="both"/>
      </w:pPr>
      <w:r>
        <w:rPr>
          <w:sz w:val="21"/>
        </w:rPr>
        <w:t>10.</w:t>
      </w:r>
      <w:r>
        <w:rPr>
          <w:sz w:val="21"/>
        </w:rPr>
        <w:t>合同履行期限：签订合同</w:t>
      </w:r>
      <w:r>
        <w:rPr>
          <w:sz w:val="21"/>
        </w:rPr>
        <w:t>后</w:t>
      </w:r>
      <w:r>
        <w:rPr>
          <w:sz w:val="21"/>
          <w:u w:val="single"/>
        </w:rPr>
        <w:t xml:space="preserve"> </w:t>
      </w:r>
      <w:r>
        <w:rPr>
          <w:sz w:val="21"/>
          <w:u w:val="single"/>
        </w:rPr>
        <w:t>45</w:t>
      </w:r>
      <w:r>
        <w:rPr>
          <w:sz w:val="21"/>
        </w:rPr>
        <w:t>天内完成</w:t>
      </w:r>
      <w:r>
        <w:rPr>
          <w:sz w:val="21"/>
        </w:rPr>
        <w:t>安装调试。</w:t>
      </w:r>
    </w:p>
    <w:p>
      <w:pPr>
        <w:jc w:val="both"/>
      </w:pPr>
      <w:r>
        <w:rPr>
          <w:b/>
          <w:sz w:val="21"/>
        </w:rPr>
        <w:t>11.</w:t>
      </w:r>
      <w:r>
        <w:rPr>
          <w:b/>
          <w:sz w:val="21"/>
        </w:rPr>
        <w:t>招标文件中凡有</w:t>
      </w:r>
      <w:r>
        <w:rPr>
          <w:b/>
          <w:sz w:val="21"/>
        </w:rPr>
        <w:t>“★”</w:t>
      </w:r>
      <w:r>
        <w:rPr>
          <w:b/>
          <w:sz w:val="21"/>
        </w:rPr>
        <w:t>标识的内容条款为关键条款，投标供应商必须对此作出回答并完全满足这些要求不可以出现任何负偏离，对这些关键条款的任何负偏离将视为无效投标。</w:t>
      </w:r>
    </w:p>
    <w:p>
      <w:pPr>
        <w:jc w:val="both"/>
      </w:pPr>
      <w:r>
        <w:rPr>
          <w:b/>
          <w:sz w:val="21"/>
        </w:rPr>
        <w:t>12.</w:t>
      </w:r>
      <w:r>
        <w:rPr>
          <w:b/>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13</w:t>
      </w:r>
      <w:r>
        <w:rPr>
          <w:b/>
          <w:sz w:val="21"/>
        </w:rPr>
        <w:t>.</w:t>
      </w:r>
      <w:r>
        <w:rPr>
          <w:b/>
          <w:sz w:val="21"/>
        </w:rPr>
        <w:t>供</w:t>
      </w:r>
      <w:r>
        <w:rPr>
          <w:b/>
          <w:sz w:val="21"/>
        </w:rPr>
        <w:t>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p>
    <w:p/>
    <w:p>
      <w:pPr>
        <w:ind w:firstLine="480"/>
      </w:pPr>
    </w:p>
    <w:p/>
    <w:p>
      <w:r>
        <w:rPr/>
        <w:t>合同包1（中山市港口医院数字化钼靶乳腺机采购项目）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 45 天内完成安装调试。</w:t>
            </w:r>
          </w:p>
        </w:tc>
      </w:tr>
      <w:tr>
        <w:tc>
          <w:tcPr>
            <w:tcW w:type="dxa" w:w="4153"/>
          </w:tcPr>
          <w:p>
            <w:r>
              <w:rPr/>
              <w:t>标的提供的地点</w:t>
            </w:r>
          </w:p>
        </w:tc>
        <w:tc>
          <w:tcPr>
            <w:tcW w:type="dxa" w:w="4153"/>
          </w:tcPr>
          <w:p/>
          <w:p>
            <w:r>
              <w:rPr/>
              <w:t>中山市港口医院指定地点。</w:t>
            </w:r>
          </w:p>
        </w:tc>
      </w:tr>
      <w:tr>
        <w:tc>
          <w:tcPr>
            <w:tcW w:type="dxa" w:w="4153"/>
          </w:tcPr>
          <w:p>
            <w:r>
              <w:rPr/>
              <w:t>付款方式</w:t>
            </w:r>
          </w:p>
        </w:tc>
        <w:tc>
          <w:tcPr>
            <w:tcW w:type="dxa" w:w="4153"/>
          </w:tcPr>
          <w:p/>
          <w:p/>
          <w:p>
            <w:r>
              <w:rPr/>
              <w:t>1期：支付比例100%,采购人验收合格收到发票后30天内支付合同货款总额的100%。</w:t>
            </w:r>
          </w:p>
        </w:tc>
      </w:tr>
      <w:tr>
        <w:tc>
          <w:tcPr>
            <w:tcW w:type="dxa" w:w="4153"/>
          </w:tcPr>
          <w:p>
            <w:r>
              <w:rPr/>
              <w:t>验收要求</w:t>
            </w:r>
          </w:p>
        </w:tc>
        <w:tc>
          <w:tcPr>
            <w:tcW w:type="dxa" w:w="4153"/>
          </w:tcPr>
          <w:p/>
          <w:p/>
          <w:p/>
          <w:p>
            <w:r>
              <w:rPr/>
              <w:t>1期：合同设备安装调试完成并移交所有资料文档后15个工作日内验收，验收应在双方共同参加下进行，验收标准按照国家有关标准。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 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2.1.设备安装调试验收合格之日起，保修期不少于3年； 2.2.保修期内免费维修。设备发生故障时，中标人在接到采购人的故障通知后3小时内响应，24小时内到达现场，48小时内处理完毕。若在48小时内仍未能有效解决，中标人须免费提供同质量的货物予采购人临时使用； 2.3.保修期内厂家每年免费回访设备至少2次。</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3.2.中标人须在广东省珠三角设有（或提供承诺函承诺中标后满足）售后服务点（提供维修的详细地址及工程师联系方式），负责设备的安装调试； 3.3.有操作、维护、维修培训计划，至少两名以上医务人员熟练掌握使用设备为止； 3.4.保证供应设备的维修与原厂配件。</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保证提供的是全新产品，未曾使用过的；要求合同必须注明该产品（或主机）产地。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医用X线设备</w:t>
            </w:r>
          </w:p>
        </w:tc>
        <w:tc>
          <w:tcPr>
            <w:tcW w:type="dxa" w:w="831"/>
          </w:tcPr>
          <w:p>
            <w:pPr>
              <w:jc w:val="left"/>
            </w:pPr>
            <w:r>
              <w:rPr/>
              <w:t>数字化钼靶乳腺机</w:t>
            </w:r>
          </w:p>
        </w:tc>
        <w:tc>
          <w:tcPr>
            <w:tcW w:type="dxa" w:w="831"/>
          </w:tcPr>
          <w:p>
            <w:pPr>
              <w:jc w:val="left"/>
            </w:pPr>
            <w:r>
              <w:rPr/>
              <w:t>套</w:t>
            </w:r>
          </w:p>
        </w:tc>
        <w:tc>
          <w:tcPr>
            <w:tcW w:type="dxa" w:w="831"/>
          </w:tcPr>
          <w:p>
            <w:pPr>
              <w:jc w:val="right"/>
            </w:pPr>
            <w:r>
              <w:rPr/>
              <w:t>1.00</w:t>
            </w:r>
          </w:p>
        </w:tc>
        <w:tc>
          <w:tcPr>
            <w:tcW w:type="dxa" w:w="831"/>
          </w:tcPr>
          <w:p>
            <w:pPr>
              <w:jc w:val="right"/>
            </w:pPr>
            <w:r>
              <w:rPr/>
              <w:t>2,500,000.00</w:t>
            </w:r>
          </w:p>
        </w:tc>
        <w:tc>
          <w:tcPr>
            <w:tcW w:type="dxa" w:w="831"/>
          </w:tcPr>
          <w:p>
            <w:pPr>
              <w:jc w:val="right"/>
            </w:pPr>
            <w:r>
              <w:rPr/>
              <w:t>2,500,000.00</w:t>
            </w:r>
          </w:p>
        </w:tc>
        <w:tc>
          <w:tcPr>
            <w:tcW w:type="dxa" w:w="831"/>
          </w:tcPr>
          <w:p>
            <w:r>
              <w:rPr/>
              <w:t>工业</w:t>
            </w:r>
          </w:p>
        </w:tc>
        <w:tc>
          <w:tcPr>
            <w:tcW w:type="dxa" w:w="831"/>
          </w:tcPr>
          <w:p>
            <w:r>
              <w:rPr/>
              <w:t>详见附表一</w:t>
            </w:r>
          </w:p>
        </w:tc>
      </w:tr>
    </w:tbl>
    <w:p/>
    <w:p>
      <w:r>
        <w:rPr>
          <w:b/>
        </w:rPr>
        <w:t>附表</w:t>
      </w:r>
      <w:r>
        <w:rPr>
          <w:b/>
        </w:rPr>
        <w:t>一</w:t>
      </w:r>
      <w:r>
        <w:rPr>
          <w:b/>
        </w:rPr>
        <w:t>：</w:t>
      </w:r>
      <w:r>
        <w:rPr>
          <w:b/>
        </w:rPr>
        <w:t>数字化钼靶乳腺机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p>
          <w:p>
            <w:pPr>
              <w:jc w:val="both"/>
            </w:pPr>
            <w:r>
              <w:rPr>
                <w:b/>
                <w:sz w:val="21"/>
              </w:rPr>
              <w:t>1.</w:t>
            </w:r>
            <w:r>
              <w:rPr>
                <w:b/>
                <w:sz w:val="21"/>
              </w:rPr>
              <w:t>高压发生器</w:t>
            </w:r>
          </w:p>
          <w:p>
            <w:pPr>
              <w:jc w:val="both"/>
            </w:pPr>
            <w:r>
              <w:rPr>
                <w:sz w:val="21"/>
              </w:rPr>
              <w:t>1.1.</w:t>
            </w:r>
            <w:r>
              <w:rPr>
                <w:sz w:val="21"/>
              </w:rPr>
              <w:t>功率≥</w:t>
            </w:r>
            <w:r>
              <w:rPr>
                <w:sz w:val="21"/>
              </w:rPr>
              <w:t>4.8KW</w:t>
            </w:r>
            <w:r>
              <w:rPr>
                <w:sz w:val="21"/>
              </w:rPr>
              <w:t>；</w:t>
            </w:r>
          </w:p>
          <w:p>
            <w:pPr>
              <w:jc w:val="both"/>
            </w:pPr>
            <w:r>
              <w:rPr>
                <w:sz w:val="21"/>
              </w:rPr>
              <w:t>1.2.</w:t>
            </w:r>
            <w:r>
              <w:rPr>
                <w:sz w:val="21"/>
              </w:rPr>
              <w:t>最大</w:t>
            </w:r>
            <w:r>
              <w:rPr>
                <w:sz w:val="21"/>
              </w:rPr>
              <w:t>mA</w:t>
            </w:r>
            <w:r>
              <w:rPr>
                <w:sz w:val="21"/>
              </w:rPr>
              <w:t>≥</w:t>
            </w:r>
            <w:r>
              <w:rPr>
                <w:sz w:val="21"/>
              </w:rPr>
              <w:t>200mA</w:t>
            </w:r>
            <w:r>
              <w:rPr>
                <w:sz w:val="21"/>
              </w:rPr>
              <w:t>；</w:t>
            </w:r>
          </w:p>
          <w:p>
            <w:pPr>
              <w:jc w:val="both"/>
            </w:pPr>
            <w:r>
              <w:rPr>
                <w:sz w:val="21"/>
              </w:rPr>
              <w:t>1.3.</w:t>
            </w:r>
            <w:r>
              <w:rPr>
                <w:sz w:val="21"/>
              </w:rPr>
              <w:t>最大</w:t>
            </w:r>
            <w:r>
              <w:rPr>
                <w:sz w:val="21"/>
              </w:rPr>
              <w:t>mAs</w:t>
            </w:r>
            <w:r>
              <w:rPr>
                <w:sz w:val="21"/>
              </w:rPr>
              <w:t>≥</w:t>
            </w:r>
            <w:r>
              <w:rPr>
                <w:sz w:val="21"/>
              </w:rPr>
              <w:t>560mAs</w:t>
            </w:r>
            <w:r>
              <w:rPr>
                <w:sz w:val="21"/>
              </w:rPr>
              <w:t>；</w:t>
            </w:r>
          </w:p>
          <w:p>
            <w:pPr>
              <w:jc w:val="both"/>
            </w:pPr>
            <w:r>
              <w:rPr>
                <w:sz w:val="21"/>
              </w:rPr>
              <w:t>1.4.</w:t>
            </w:r>
            <w:r>
              <w:rPr>
                <w:sz w:val="21"/>
              </w:rPr>
              <w:t>多种曝光控制方式：手动曝光或自动曝光（</w:t>
            </w:r>
            <w:r>
              <w:rPr>
                <w:sz w:val="21"/>
              </w:rPr>
              <w:t>AEC</w:t>
            </w:r>
            <w:r>
              <w:rPr>
                <w:sz w:val="21"/>
              </w:rPr>
              <w:t>）。</w:t>
            </w:r>
          </w:p>
          <w:p>
            <w:pPr>
              <w:jc w:val="both"/>
            </w:pPr>
            <w:r>
              <w:rPr>
                <w:b/>
                <w:sz w:val="21"/>
              </w:rPr>
              <w:t>2.X</w:t>
            </w:r>
            <w:r>
              <w:rPr>
                <w:b/>
                <w:sz w:val="21"/>
              </w:rPr>
              <w:t>线球管</w:t>
            </w:r>
          </w:p>
          <w:p>
            <w:pPr>
              <w:jc w:val="both"/>
            </w:pPr>
            <w:r>
              <w:rPr>
                <w:sz w:val="21"/>
              </w:rPr>
              <w:t>2.1.</w:t>
            </w:r>
            <w:r>
              <w:rPr>
                <w:sz w:val="21"/>
              </w:rPr>
              <w:t>阳极靶靶面材料：钨靶或钨铼合金；</w:t>
            </w:r>
          </w:p>
          <w:p>
            <w:pPr>
              <w:jc w:val="both"/>
            </w:pPr>
            <w:r>
              <w:rPr>
                <w:sz w:val="21"/>
              </w:rPr>
              <w:t>2.2.</w:t>
            </w:r>
            <w:r>
              <w:rPr>
                <w:sz w:val="21"/>
              </w:rPr>
              <w:t>最小管电压≤</w:t>
            </w:r>
            <w:r>
              <w:rPr>
                <w:sz w:val="21"/>
              </w:rPr>
              <w:t>20KV</w:t>
            </w:r>
            <w:r>
              <w:rPr>
                <w:sz w:val="21"/>
              </w:rPr>
              <w:t>，最大管电压≥</w:t>
            </w:r>
            <w:r>
              <w:rPr>
                <w:sz w:val="21"/>
              </w:rPr>
              <w:t>49KV</w:t>
            </w:r>
            <w:r>
              <w:rPr>
                <w:sz w:val="21"/>
              </w:rPr>
              <w:t>；</w:t>
            </w:r>
          </w:p>
          <w:p>
            <w:pPr>
              <w:jc w:val="both"/>
            </w:pPr>
            <w:r>
              <w:rPr>
                <w:sz w:val="21"/>
              </w:rPr>
              <w:t>2.3.</w:t>
            </w:r>
            <w:r>
              <w:rPr>
                <w:sz w:val="21"/>
              </w:rPr>
              <w:t>球管小</w:t>
            </w:r>
            <w:r>
              <w:rPr>
                <w:sz w:val="21"/>
              </w:rPr>
              <w:t>/</w:t>
            </w:r>
            <w:r>
              <w:rPr>
                <w:sz w:val="21"/>
              </w:rPr>
              <w:t>大焦点尺寸：≤</w:t>
            </w:r>
            <w:r>
              <w:rPr>
                <w:sz w:val="21"/>
              </w:rPr>
              <w:t>0.1mm</w:t>
            </w:r>
            <w:r>
              <w:rPr>
                <w:sz w:val="21"/>
              </w:rPr>
              <w:t>（小）</w:t>
            </w:r>
            <w:r>
              <w:rPr>
                <w:sz w:val="21"/>
              </w:rPr>
              <w:t>/</w:t>
            </w:r>
            <w:r>
              <w:rPr>
                <w:sz w:val="21"/>
              </w:rPr>
              <w:t>≥</w:t>
            </w:r>
            <w:r>
              <w:rPr>
                <w:sz w:val="21"/>
              </w:rPr>
              <w:t>0.3mm</w:t>
            </w:r>
            <w:r>
              <w:rPr>
                <w:sz w:val="21"/>
              </w:rPr>
              <w:t>（大）；</w:t>
            </w:r>
          </w:p>
          <w:p>
            <w:pPr>
              <w:jc w:val="both"/>
            </w:pPr>
            <w:r>
              <w:rPr>
                <w:sz w:val="21"/>
              </w:rPr>
              <w:t>2.4.</w:t>
            </w:r>
            <w:r>
              <w:rPr>
                <w:sz w:val="21"/>
              </w:rPr>
              <w:t>阳极转速：≥</w:t>
            </w:r>
            <w:r>
              <w:rPr>
                <w:sz w:val="21"/>
              </w:rPr>
              <w:t>9000rpm/</w:t>
            </w:r>
            <w:r>
              <w:rPr>
                <w:sz w:val="21"/>
              </w:rPr>
              <w:t>分；</w:t>
            </w:r>
          </w:p>
          <w:p>
            <w:pPr>
              <w:jc w:val="both"/>
            </w:pPr>
            <w:r>
              <w:rPr>
                <w:sz w:val="21"/>
              </w:rPr>
              <w:t>2.5.</w:t>
            </w:r>
            <w:r>
              <w:rPr>
                <w:sz w:val="21"/>
              </w:rPr>
              <w:t>球管阳极热容量：≥</w:t>
            </w:r>
            <w:r>
              <w:rPr>
                <w:sz w:val="21"/>
              </w:rPr>
              <w:t>300KHU</w:t>
            </w:r>
            <w:r>
              <w:rPr>
                <w:sz w:val="21"/>
              </w:rPr>
              <w:t>。</w:t>
            </w:r>
          </w:p>
          <w:p>
            <w:pPr>
              <w:jc w:val="both"/>
            </w:pPr>
            <w:r>
              <w:rPr>
                <w:b/>
                <w:sz w:val="21"/>
              </w:rPr>
              <w:t>3.</w:t>
            </w:r>
            <w:r>
              <w:rPr>
                <w:b/>
                <w:sz w:val="21"/>
              </w:rPr>
              <w:t>平板探测器</w:t>
            </w:r>
          </w:p>
          <w:p>
            <w:pPr>
              <w:jc w:val="both"/>
            </w:pPr>
            <w:r>
              <w:rPr>
                <w:sz w:val="21"/>
              </w:rPr>
              <w:t>3.1.</w:t>
            </w:r>
            <w:r>
              <w:rPr>
                <w:sz w:val="21"/>
              </w:rPr>
              <w:t>探测器材料：非晶硅、单晶硅、非晶硒或非非晶硒；</w:t>
            </w:r>
          </w:p>
          <w:p>
            <w:pPr>
              <w:jc w:val="both"/>
            </w:pPr>
            <w:r>
              <w:rPr>
                <w:sz w:val="21"/>
              </w:rPr>
              <w:t>3.2.</w:t>
            </w:r>
            <w:r>
              <w:rPr>
                <w:sz w:val="21"/>
              </w:rPr>
              <w:t>探测器尺寸：≥</w:t>
            </w:r>
            <w:r>
              <w:rPr>
                <w:sz w:val="21"/>
              </w:rPr>
              <w:t>23</w:t>
            </w:r>
            <w:r>
              <w:rPr>
                <w:sz w:val="21"/>
              </w:rPr>
              <w:t>×</w:t>
            </w:r>
            <w:r>
              <w:rPr>
                <w:sz w:val="21"/>
              </w:rPr>
              <w:t>29cm</w:t>
            </w:r>
            <w:r>
              <w:rPr>
                <w:sz w:val="21"/>
              </w:rPr>
              <w:t>；</w:t>
            </w:r>
          </w:p>
          <w:p>
            <w:pPr>
              <w:jc w:val="both"/>
            </w:pPr>
            <w:r>
              <w:rPr>
                <w:sz w:val="21"/>
              </w:rPr>
              <w:t>3.3.</w:t>
            </w:r>
            <w:r>
              <w:rPr>
                <w:sz w:val="21"/>
              </w:rPr>
              <w:t>采集矩阵：≥</w:t>
            </w:r>
            <w:r>
              <w:rPr>
                <w:sz w:val="21"/>
              </w:rPr>
              <w:t>3500</w:t>
            </w:r>
            <w:r>
              <w:rPr>
                <w:sz w:val="21"/>
              </w:rPr>
              <w:t>×</w:t>
            </w:r>
            <w:r>
              <w:rPr>
                <w:sz w:val="21"/>
              </w:rPr>
              <w:t>2800</w:t>
            </w:r>
            <w:r>
              <w:rPr>
                <w:sz w:val="21"/>
              </w:rPr>
              <w:t>；</w:t>
            </w:r>
          </w:p>
          <w:p>
            <w:pPr>
              <w:jc w:val="both"/>
            </w:pPr>
            <w:r>
              <w:rPr>
                <w:sz w:val="21"/>
              </w:rPr>
              <w:t>3.4.</w:t>
            </w:r>
            <w:r>
              <w:rPr>
                <w:sz w:val="21"/>
              </w:rPr>
              <w:t>最小像素：≤</w:t>
            </w:r>
            <w:r>
              <w:rPr>
                <w:sz w:val="21"/>
              </w:rPr>
              <w:t>85um</w:t>
            </w:r>
            <w:r>
              <w:rPr>
                <w:sz w:val="21"/>
              </w:rPr>
              <w:t>；</w:t>
            </w:r>
          </w:p>
          <w:p>
            <w:pPr>
              <w:jc w:val="both"/>
            </w:pPr>
            <w:r>
              <w:rPr>
                <w:sz w:val="21"/>
              </w:rPr>
              <w:t>3.5.</w:t>
            </w:r>
            <w:r>
              <w:rPr>
                <w:sz w:val="21"/>
              </w:rPr>
              <w:t>灰阶度：≥</w:t>
            </w:r>
            <w:r>
              <w:rPr>
                <w:sz w:val="21"/>
              </w:rPr>
              <w:t>14bits</w:t>
            </w:r>
            <w:r>
              <w:rPr>
                <w:sz w:val="21"/>
              </w:rPr>
              <w:t>；</w:t>
            </w:r>
          </w:p>
          <w:p>
            <w:pPr>
              <w:jc w:val="both"/>
            </w:pPr>
            <w:r>
              <w:rPr>
                <w:sz w:val="21"/>
              </w:rPr>
              <w:t>3.6.</w:t>
            </w:r>
            <w:r>
              <w:rPr>
                <w:sz w:val="21"/>
              </w:rPr>
              <w:t>空间分辨率：≥</w:t>
            </w:r>
            <w:r>
              <w:rPr>
                <w:sz w:val="21"/>
              </w:rPr>
              <w:t>5LP/mm</w:t>
            </w:r>
            <w:r>
              <w:rPr>
                <w:sz w:val="21"/>
              </w:rPr>
              <w:t>。</w:t>
            </w:r>
          </w:p>
          <w:p>
            <w:pPr>
              <w:jc w:val="both"/>
            </w:pPr>
            <w:r>
              <w:rPr>
                <w:b/>
                <w:sz w:val="21"/>
              </w:rPr>
              <w:t>4.</w:t>
            </w:r>
            <w:r>
              <w:rPr>
                <w:b/>
                <w:sz w:val="21"/>
              </w:rPr>
              <w:t>立式摄影机架</w:t>
            </w:r>
          </w:p>
          <w:p>
            <w:pPr>
              <w:jc w:val="both"/>
            </w:pPr>
            <w:r>
              <w:rPr>
                <w:sz w:val="21"/>
              </w:rPr>
              <w:t>4.1.</w:t>
            </w:r>
            <w:r>
              <w:rPr>
                <w:sz w:val="21"/>
              </w:rPr>
              <w:t>旋转</w:t>
            </w:r>
            <w:r>
              <w:rPr>
                <w:sz w:val="21"/>
              </w:rPr>
              <w:t>C</w:t>
            </w:r>
            <w:r>
              <w:rPr>
                <w:sz w:val="21"/>
              </w:rPr>
              <w:t>形臂：自动或手动；</w:t>
            </w:r>
          </w:p>
          <w:p>
            <w:pPr>
              <w:jc w:val="both"/>
            </w:pPr>
            <w:r>
              <w:rPr>
                <w:sz w:val="21"/>
              </w:rPr>
              <w:t>4.2.</w:t>
            </w:r>
            <w:r>
              <w:rPr>
                <w:sz w:val="21"/>
              </w:rPr>
              <w:t>压迫类型：手动或智能；</w:t>
            </w:r>
          </w:p>
          <w:p>
            <w:pPr>
              <w:jc w:val="both"/>
            </w:pPr>
            <w:r>
              <w:rPr>
                <w:sz w:val="21"/>
              </w:rPr>
              <w:t>4.3.</w:t>
            </w:r>
            <w:r>
              <w:rPr>
                <w:sz w:val="21"/>
              </w:rPr>
              <w:t>压迫板类型：常规；</w:t>
            </w:r>
          </w:p>
          <w:p>
            <w:pPr>
              <w:jc w:val="both"/>
            </w:pPr>
            <w:r>
              <w:rPr>
                <w:sz w:val="21"/>
              </w:rPr>
              <w:t>4.4.</w:t>
            </w:r>
            <w:r>
              <w:rPr>
                <w:sz w:val="21"/>
              </w:rPr>
              <w:t>压迫板可单独拆卸、更换；</w:t>
            </w:r>
          </w:p>
          <w:p>
            <w:pPr>
              <w:jc w:val="both"/>
            </w:pPr>
            <w:r>
              <w:rPr>
                <w:sz w:val="21"/>
              </w:rPr>
              <w:t>4.5.</w:t>
            </w:r>
            <w:r>
              <w:rPr>
                <w:sz w:val="21"/>
              </w:rPr>
              <w:t>压迫板：两个；</w:t>
            </w:r>
          </w:p>
          <w:p>
            <w:pPr>
              <w:jc w:val="both"/>
            </w:pPr>
            <w:r>
              <w:rPr>
                <w:sz w:val="21"/>
              </w:rPr>
              <w:t>4.6.</w:t>
            </w:r>
            <w:r>
              <w:rPr>
                <w:sz w:val="21"/>
              </w:rPr>
              <w:t>压迫板支持紧急释放、自动释放。</w:t>
            </w:r>
          </w:p>
          <w:p>
            <w:pPr>
              <w:jc w:val="both"/>
            </w:pPr>
            <w:r>
              <w:rPr>
                <w:b/>
                <w:sz w:val="21"/>
              </w:rPr>
              <w:t>5.</w:t>
            </w:r>
            <w:r>
              <w:rPr>
                <w:b/>
                <w:sz w:val="21"/>
              </w:rPr>
              <w:t>图像采集工作站</w:t>
            </w:r>
          </w:p>
          <w:p>
            <w:pPr>
              <w:jc w:val="both"/>
            </w:pPr>
            <w:r>
              <w:rPr>
                <w:sz w:val="21"/>
              </w:rPr>
              <w:t>5.1.</w:t>
            </w:r>
            <w:r>
              <w:rPr>
                <w:sz w:val="21"/>
              </w:rPr>
              <w:t>支持影像采集、处理、分析、诊断、报告、传输功能；</w:t>
            </w:r>
          </w:p>
          <w:p>
            <w:pPr>
              <w:jc w:val="both"/>
            </w:pPr>
            <w:r>
              <w:rPr>
                <w:sz w:val="21"/>
              </w:rPr>
              <w:t>5.2.CPU</w:t>
            </w:r>
            <w:r>
              <w:rPr>
                <w:sz w:val="21"/>
              </w:rPr>
              <w:t>主频：≥</w:t>
            </w:r>
            <w:r>
              <w:rPr>
                <w:sz w:val="21"/>
              </w:rPr>
              <w:t>3.0GHz</w:t>
            </w:r>
            <w:r>
              <w:rPr>
                <w:sz w:val="21"/>
              </w:rPr>
              <w:t>，主机工作站操作台内存：≥</w:t>
            </w:r>
            <w:r>
              <w:rPr>
                <w:sz w:val="21"/>
              </w:rPr>
              <w:t>16GB</w:t>
            </w:r>
            <w:r>
              <w:rPr>
                <w:sz w:val="21"/>
              </w:rPr>
              <w:t>，硬盘：≥</w:t>
            </w:r>
            <w:r>
              <w:rPr>
                <w:sz w:val="21"/>
              </w:rPr>
              <w:t>1TB</w:t>
            </w:r>
            <w:r>
              <w:rPr>
                <w:sz w:val="21"/>
              </w:rPr>
              <w:t>；</w:t>
            </w:r>
          </w:p>
          <w:p>
            <w:pPr>
              <w:jc w:val="both"/>
            </w:pPr>
            <w:r>
              <w:rPr>
                <w:sz w:val="21"/>
              </w:rPr>
              <w:t>5.3.</w:t>
            </w:r>
            <w:r>
              <w:rPr>
                <w:sz w:val="21"/>
              </w:rPr>
              <w:t>显示器尺寸：≥</w:t>
            </w:r>
            <w:r>
              <w:rPr>
                <w:sz w:val="21"/>
              </w:rPr>
              <w:t>20</w:t>
            </w:r>
            <w:r>
              <w:rPr>
                <w:sz w:val="21"/>
              </w:rPr>
              <w:t>英寸，分辨率：≥</w:t>
            </w:r>
            <w:r>
              <w:rPr>
                <w:sz w:val="21"/>
              </w:rPr>
              <w:t>1920</w:t>
            </w:r>
            <w:r>
              <w:rPr>
                <w:sz w:val="21"/>
              </w:rPr>
              <w:t>×</w:t>
            </w:r>
            <w:r>
              <w:rPr>
                <w:sz w:val="21"/>
              </w:rPr>
              <w:t>1080</w:t>
            </w:r>
            <w:r>
              <w:rPr>
                <w:sz w:val="21"/>
              </w:rPr>
              <w:t>；</w:t>
            </w:r>
          </w:p>
          <w:p>
            <w:pPr>
              <w:jc w:val="both"/>
            </w:pPr>
            <w:r>
              <w:rPr>
                <w:sz w:val="21"/>
              </w:rPr>
              <w:t>5.4.</w:t>
            </w:r>
            <w:r>
              <w:rPr>
                <w:sz w:val="21"/>
              </w:rPr>
              <w:t>操作系统：</w:t>
            </w:r>
            <w:r>
              <w:rPr>
                <w:sz w:val="21"/>
              </w:rPr>
              <w:t>Windows</w:t>
            </w:r>
            <w:r>
              <w:rPr>
                <w:sz w:val="21"/>
              </w:rPr>
              <w:t>系统；</w:t>
            </w:r>
          </w:p>
          <w:p>
            <w:pPr>
              <w:jc w:val="both"/>
            </w:pPr>
            <w:r>
              <w:rPr>
                <w:sz w:val="21"/>
              </w:rPr>
              <w:t>5.5.</w:t>
            </w:r>
            <w:r>
              <w:rPr>
                <w:sz w:val="21"/>
              </w:rPr>
              <w:t>操作软件基本功能：基于</w:t>
            </w:r>
            <w:r>
              <w:rPr>
                <w:sz w:val="21"/>
              </w:rPr>
              <w:t>DICOM</w:t>
            </w:r>
            <w:r>
              <w:rPr>
                <w:sz w:val="21"/>
              </w:rPr>
              <w:t>标准的患者登记、患者管理、参数设置、患者检查、图像导入、图像显示、图像调整、数字化归档、胶片打印管理等；</w:t>
            </w:r>
          </w:p>
          <w:p>
            <w:pPr>
              <w:jc w:val="both"/>
            </w:pPr>
            <w:r>
              <w:rPr>
                <w:sz w:val="21"/>
              </w:rPr>
              <w:t>5.6.</w:t>
            </w:r>
            <w:r>
              <w:rPr>
                <w:sz w:val="21"/>
              </w:rPr>
              <w:t>图像基本后处理功能：图像整体缩放、图像移动、窗宽</w:t>
            </w:r>
            <w:r>
              <w:rPr>
                <w:sz w:val="21"/>
              </w:rPr>
              <w:t>/</w:t>
            </w:r>
            <w:r>
              <w:rPr>
                <w:sz w:val="21"/>
              </w:rPr>
              <w:t>窗位调整、图像局部放大、感兴趣区域缩放、图像反色、图像翻转</w:t>
            </w:r>
            <w:r>
              <w:rPr>
                <w:sz w:val="21"/>
              </w:rPr>
              <w:t>/</w:t>
            </w:r>
            <w:r>
              <w:rPr>
                <w:sz w:val="21"/>
              </w:rPr>
              <w:t>旋转、输入文本，图像显示支持多种布局；</w:t>
            </w:r>
          </w:p>
          <w:p>
            <w:pPr>
              <w:jc w:val="both"/>
            </w:pPr>
            <w:r>
              <w:rPr>
                <w:sz w:val="21"/>
              </w:rPr>
              <w:t>5.7.</w:t>
            </w:r>
            <w:r>
              <w:rPr>
                <w:sz w:val="21"/>
              </w:rPr>
              <w:t>支持</w:t>
            </w:r>
            <w:r>
              <w:rPr>
                <w:sz w:val="21"/>
              </w:rPr>
              <w:t>DICOM 3.0</w:t>
            </w:r>
            <w:r>
              <w:rPr>
                <w:sz w:val="21"/>
              </w:rPr>
              <w:t>。</w:t>
            </w:r>
          </w:p>
          <w:p>
            <w:pPr>
              <w:jc w:val="both"/>
            </w:pPr>
          </w:p>
        </w:tc>
      </w:tr>
      <w:tr>
        <w:tc>
          <w:tcPr>
            <w:tcW w:type="dxa" w:w="2076"/>
          </w:tcPr>
          <w:p>
            <w:r>
              <w:rPr/>
              <w:t>★</w:t>
            </w:r>
          </w:p>
        </w:tc>
        <w:tc>
          <w:tcPr>
            <w:tcW w:type="dxa" w:w="415"/>
          </w:tcPr>
          <w:p>
            <w:r>
              <w:rPr/>
              <w:t>3</w:t>
            </w:r>
          </w:p>
        </w:tc>
        <w:tc>
          <w:tcPr>
            <w:tcW w:type="dxa" w:w="5814"/>
          </w:tcPr>
          <w:p>
            <w:pPr>
              <w:jc w:val="both"/>
            </w:pPr>
            <w:r>
              <w:rPr>
                <w:b/>
                <w:sz w:val="21"/>
              </w:rPr>
              <w:t>6.三维断层功能</w:t>
            </w:r>
          </w:p>
          <w:p>
            <w:pPr>
              <w:jc w:val="both"/>
            </w:pPr>
            <w:r>
              <w:rPr>
                <w:sz w:val="21"/>
              </w:rPr>
              <w:t>6.1.三维乳腺断层摄影时，具备15°和40°双角度模式。</w:t>
            </w:r>
            <w:r>
              <w:br/>
            </w:r>
            <w:r>
              <w:rPr>
                <w:sz w:val="21"/>
              </w:rPr>
              <w:t>球管可以在两种角度范围内进行旋转和曝光扫描。断层摄影时，</w:t>
            </w:r>
            <w:r>
              <w:br/>
            </w:r>
            <w:r>
              <w:rPr>
                <w:sz w:val="21"/>
              </w:rPr>
              <w:t>大角度模式时球管旋转≥±20°，断层采集曝光次数≥21 次，采集图像数≥21张；</w:t>
            </w:r>
            <w:r>
              <w:br/>
            </w:r>
            <w:r>
              <w:rPr>
                <w:sz w:val="21"/>
              </w:rPr>
              <w:t>小角度模式时球管旋转≤±7.5°，断层采集曝光次数≤15 次，采集图像数≤15张。</w:t>
            </w:r>
            <w:r>
              <w:br/>
            </w:r>
            <w:r>
              <w:rPr>
                <w:sz w:val="21"/>
              </w:rPr>
              <w:t>且具备自定义层厚度二维图像融合技术；或数字乳腺三维断层摄影功能：三维断层扫描角度范围≥50°，三维断层扫描时间≤10秒，断层采集曝光次数：25次，采图速度≥3幅/秒；</w:t>
            </w:r>
            <w:r>
              <w:br/>
            </w:r>
            <w:r>
              <w:rPr>
                <w:sz w:val="21"/>
              </w:rPr>
              <w:t>或具有双成像角度：≥±7.5°和≥±20°；</w:t>
            </w:r>
            <w:r>
              <w:br/>
            </w:r>
            <w:r>
              <w:rPr>
                <w:sz w:val="21"/>
              </w:rPr>
              <w:t>±7.5°角度更短扫描时间，更低辐射剂量，适用于乳腺疾病筛查，</w:t>
            </w:r>
            <w:r>
              <w:br/>
            </w:r>
            <w:r>
              <w:rPr>
                <w:sz w:val="21"/>
              </w:rPr>
              <w:t>±20°角度更高分辨率，更多细节显示，适用于门诊乳腺疾病精确检查，具有1mm/2mm/3mm层厚的TOMO图像输出设置。</w:t>
            </w:r>
          </w:p>
        </w:tc>
      </w:tr>
      <w:tr>
        <w:tc>
          <w:tcPr>
            <w:tcW w:type="dxa" w:w="2076"/>
          </w:tcPr>
          <w:p>
            <w:r>
              <w:rPr/>
              <w:t>★</w:t>
            </w:r>
          </w:p>
        </w:tc>
        <w:tc>
          <w:tcPr>
            <w:tcW w:type="dxa" w:w="415"/>
          </w:tcPr>
          <w:p>
            <w:r>
              <w:rPr/>
              <w:t>4</w:t>
            </w:r>
          </w:p>
        </w:tc>
        <w:tc>
          <w:tcPr>
            <w:tcW w:type="dxa" w:w="5814"/>
          </w:tcPr>
          <w:p>
            <w:r>
              <w:rPr>
                <w:sz w:val="21"/>
              </w:rPr>
              <w:t>6.2.高压发生器和球管、平板探测器集成在主机机架内为一体化设计。</w:t>
            </w:r>
          </w:p>
        </w:tc>
      </w:tr>
      <w:tr>
        <w:tc>
          <w:tcPr>
            <w:tcW w:type="dxa" w:w="2076"/>
          </w:tcPr>
          <w:p/>
        </w:tc>
        <w:tc>
          <w:tcPr>
            <w:tcW w:type="dxa" w:w="415"/>
          </w:tcPr>
          <w:p>
            <w:r>
              <w:rPr/>
              <w:t>5</w:t>
            </w:r>
          </w:p>
        </w:tc>
        <w:tc>
          <w:tcPr>
            <w:tcW w:type="dxa" w:w="5814"/>
          </w:tcPr>
          <w:p>
            <w:pPr>
              <w:jc w:val="both"/>
            </w:pPr>
            <w:r>
              <w:rPr>
                <w:b/>
                <w:sz w:val="21"/>
              </w:rPr>
              <w:t>7.</w:t>
            </w:r>
            <w:r>
              <w:rPr>
                <w:b/>
                <w:sz w:val="21"/>
              </w:rPr>
              <w:t>乳腺专用诊断工作站</w:t>
            </w:r>
          </w:p>
          <w:p>
            <w:pPr>
              <w:jc w:val="both"/>
            </w:pPr>
            <w:r>
              <w:rPr>
                <w:sz w:val="21"/>
              </w:rPr>
              <w:t>7.1.</w:t>
            </w:r>
            <w:r>
              <w:rPr>
                <w:sz w:val="21"/>
              </w:rPr>
              <w:t>内存</w:t>
            </w:r>
            <w:r>
              <w:rPr>
                <w:sz w:val="21"/>
              </w:rPr>
              <w:t>≥8GB</w:t>
            </w:r>
            <w:r>
              <w:rPr>
                <w:sz w:val="21"/>
              </w:rPr>
              <w:t>，硬盘</w:t>
            </w:r>
            <w:r>
              <w:rPr>
                <w:sz w:val="21"/>
              </w:rPr>
              <w:t>≥1T</w:t>
            </w:r>
            <w:r>
              <w:rPr>
                <w:sz w:val="21"/>
              </w:rPr>
              <w:t>；</w:t>
            </w:r>
          </w:p>
          <w:p>
            <w:pPr>
              <w:jc w:val="both"/>
            </w:pPr>
            <w:r>
              <w:rPr>
                <w:sz w:val="21"/>
              </w:rPr>
              <w:t>7.2.</w:t>
            </w:r>
            <w:r>
              <w:rPr>
                <w:sz w:val="21"/>
              </w:rPr>
              <w:t>医用报告显示器</w:t>
            </w:r>
            <w:r>
              <w:rPr>
                <w:sz w:val="21"/>
              </w:rPr>
              <w:t>1</w:t>
            </w:r>
            <w:r>
              <w:rPr>
                <w:sz w:val="21"/>
              </w:rPr>
              <w:t>台，尺寸</w:t>
            </w:r>
            <w:r>
              <w:rPr>
                <w:sz w:val="21"/>
              </w:rPr>
              <w:t>≥20</w:t>
            </w:r>
            <w:r>
              <w:rPr>
                <w:sz w:val="21"/>
              </w:rPr>
              <w:t>英寸，分辨率</w:t>
            </w:r>
            <w:r>
              <w:rPr>
                <w:sz w:val="21"/>
              </w:rPr>
              <w:t>≥1920×1080</w:t>
            </w:r>
            <w:r>
              <w:rPr>
                <w:sz w:val="21"/>
              </w:rPr>
              <w:t>；</w:t>
            </w:r>
          </w:p>
          <w:p>
            <w:pPr>
              <w:jc w:val="both"/>
            </w:pPr>
            <w:r>
              <w:rPr>
                <w:sz w:val="21"/>
              </w:rPr>
              <w:t>7.3.</w:t>
            </w:r>
            <w:r>
              <w:rPr>
                <w:sz w:val="21"/>
              </w:rPr>
              <w:t>诊断专用</w:t>
            </w:r>
            <w:r>
              <w:rPr>
                <w:sz w:val="21"/>
              </w:rPr>
              <w:t>5MP DICOM</w:t>
            </w:r>
            <w:r>
              <w:rPr>
                <w:sz w:val="21"/>
              </w:rPr>
              <w:t>灰阶显示器</w:t>
            </w:r>
            <w:r>
              <w:rPr>
                <w:sz w:val="21"/>
              </w:rPr>
              <w:t>2</w:t>
            </w:r>
            <w:r>
              <w:rPr>
                <w:sz w:val="21"/>
              </w:rPr>
              <w:t>台，分辨率</w:t>
            </w:r>
            <w:r>
              <w:rPr>
                <w:sz w:val="21"/>
              </w:rPr>
              <w:t>≥ 2560×2048</w:t>
            </w:r>
            <w:r>
              <w:rPr>
                <w:sz w:val="21"/>
              </w:rPr>
              <w:t>，尺寸</w:t>
            </w:r>
            <w:r>
              <w:rPr>
                <w:sz w:val="21"/>
              </w:rPr>
              <w:t>≥20</w:t>
            </w:r>
            <w:r>
              <w:rPr>
                <w:sz w:val="21"/>
              </w:rPr>
              <w:t>英寸，亮度</w:t>
            </w:r>
            <w:r>
              <w:rPr>
                <w:sz w:val="21"/>
              </w:rPr>
              <w:t>≥1000cd/m2</w:t>
            </w:r>
            <w:r>
              <w:rPr>
                <w:sz w:val="21"/>
              </w:rPr>
              <w:t>；</w:t>
            </w:r>
          </w:p>
          <w:p>
            <w:pPr>
              <w:jc w:val="both"/>
            </w:pPr>
            <w:r>
              <w:rPr>
                <w:sz w:val="21"/>
              </w:rPr>
              <w:t>7.4.</w:t>
            </w:r>
            <w:r>
              <w:rPr>
                <w:sz w:val="21"/>
              </w:rPr>
              <w:t>支持</w:t>
            </w:r>
            <w:r>
              <w:rPr>
                <w:sz w:val="21"/>
              </w:rPr>
              <w:t>DBT</w:t>
            </w:r>
            <w:r>
              <w:rPr>
                <w:sz w:val="21"/>
              </w:rPr>
              <w:t>图像阅片；</w:t>
            </w:r>
          </w:p>
          <w:p>
            <w:pPr>
              <w:jc w:val="both"/>
            </w:pPr>
            <w:r>
              <w:rPr>
                <w:sz w:val="21"/>
              </w:rPr>
              <w:t>7.5.</w:t>
            </w:r>
            <w:r>
              <w:rPr>
                <w:sz w:val="21"/>
              </w:rPr>
              <w:t>中文报告模块：用于中文报告的书写、保存和查找；丰富的乳腺诊断类模板，支持私有模板和公共模板管理；支持乳腺报告打印成</w:t>
            </w:r>
            <w:r>
              <w:rPr>
                <w:sz w:val="21"/>
              </w:rPr>
              <w:t>DICOM</w:t>
            </w:r>
            <w:r>
              <w:rPr>
                <w:sz w:val="21"/>
              </w:rPr>
              <w:t>图像并保存为单独的序列；报告格式设置工具，方便修改报告格式；</w:t>
            </w:r>
          </w:p>
          <w:p>
            <w:pPr>
              <w:jc w:val="both"/>
            </w:pPr>
            <w:r>
              <w:rPr>
                <w:sz w:val="21"/>
              </w:rPr>
              <w:t>7.6.</w:t>
            </w:r>
            <w:r>
              <w:rPr>
                <w:sz w:val="21"/>
              </w:rPr>
              <w:t>专业乳腺阅片模块：支持乳腺挂片协议。支持窗宽窗位调节、缩放、放大镜、漫游、翻转。支持多图像同步调节，支持多病人图像对比。</w:t>
            </w:r>
          </w:p>
          <w:p>
            <w:pPr>
              <w:jc w:val="both"/>
            </w:pPr>
            <w:r>
              <w:rPr>
                <w:b/>
                <w:sz w:val="21"/>
              </w:rPr>
              <w:t>8.</w:t>
            </w:r>
            <w:r>
              <w:rPr>
                <w:b/>
                <w:sz w:val="21"/>
              </w:rPr>
              <w:t>工作站（配套专用计算机）</w:t>
            </w:r>
          </w:p>
          <w:p>
            <w:pPr>
              <w:jc w:val="both"/>
            </w:pPr>
            <w:r>
              <w:rPr>
                <w:sz w:val="21"/>
              </w:rPr>
              <w:t>8.1.</w:t>
            </w:r>
            <w:r>
              <w:rPr>
                <w:sz w:val="21"/>
              </w:rPr>
              <w:t>配置：</w:t>
            </w:r>
            <w:r>
              <w:rPr>
                <w:sz w:val="21"/>
              </w:rPr>
              <w:t>12</w:t>
            </w:r>
            <w:r>
              <w:rPr>
                <w:sz w:val="21"/>
              </w:rPr>
              <w:t>代</w:t>
            </w:r>
            <w:r>
              <w:rPr>
                <w:sz w:val="21"/>
              </w:rPr>
              <w:t>i7CPU</w:t>
            </w:r>
            <w:r>
              <w:rPr>
                <w:sz w:val="21"/>
              </w:rPr>
              <w:t>，</w:t>
            </w:r>
            <w:r>
              <w:rPr>
                <w:sz w:val="21"/>
              </w:rPr>
              <w:t>32G DDR4</w:t>
            </w:r>
            <w:r>
              <w:rPr>
                <w:sz w:val="21"/>
              </w:rPr>
              <w:t>内存，</w:t>
            </w:r>
            <w:r>
              <w:rPr>
                <w:sz w:val="21"/>
              </w:rPr>
              <w:t>RTX3060</w:t>
            </w:r>
            <w:r>
              <w:rPr>
                <w:sz w:val="21"/>
              </w:rPr>
              <w:t>显卡，</w:t>
            </w:r>
            <w:r>
              <w:rPr>
                <w:sz w:val="21"/>
              </w:rPr>
              <w:t>m.2</w:t>
            </w:r>
            <w:r>
              <w:rPr>
                <w:sz w:val="21"/>
              </w:rPr>
              <w:t>接口，</w:t>
            </w:r>
            <w:r>
              <w:rPr>
                <w:sz w:val="21"/>
              </w:rPr>
              <w:t>512G</w:t>
            </w:r>
            <w:r>
              <w:rPr>
                <w:sz w:val="21"/>
              </w:rPr>
              <w:t>固态硬盘，普通硬盘</w:t>
            </w:r>
            <w:r>
              <w:rPr>
                <w:sz w:val="21"/>
              </w:rPr>
              <w:t>1TB</w:t>
            </w:r>
            <w:r>
              <w:rPr>
                <w:sz w:val="21"/>
              </w:rPr>
              <w:t>。</w:t>
            </w:r>
          </w:p>
          <w:p>
            <w:pPr>
              <w:jc w:val="both"/>
            </w:pPr>
            <w:r>
              <w:rPr>
                <w:b/>
                <w:sz w:val="21"/>
              </w:rPr>
              <w:t>9.</w:t>
            </w:r>
            <w:r>
              <w:rPr>
                <w:b/>
                <w:sz w:val="21"/>
              </w:rPr>
              <w:t>工作站（配套专用笔记本电脑）</w:t>
            </w:r>
          </w:p>
          <w:p>
            <w:pPr>
              <w:jc w:val="both"/>
            </w:pPr>
            <w:r>
              <w:rPr>
                <w:sz w:val="21"/>
              </w:rPr>
              <w:t>9.1.</w:t>
            </w:r>
            <w:r>
              <w:rPr>
                <w:sz w:val="21"/>
              </w:rPr>
              <w:t>配置：</w:t>
            </w:r>
            <w:r>
              <w:rPr>
                <w:sz w:val="21"/>
              </w:rPr>
              <w:t>i7-12700H</w:t>
            </w:r>
            <w:r>
              <w:rPr>
                <w:sz w:val="21"/>
              </w:rPr>
              <w:t>，</w:t>
            </w:r>
            <w:r>
              <w:rPr>
                <w:sz w:val="21"/>
              </w:rPr>
              <w:t>16G</w:t>
            </w:r>
            <w:r>
              <w:rPr>
                <w:sz w:val="21"/>
              </w:rPr>
              <w:t>内存，</w:t>
            </w:r>
            <w:r>
              <w:rPr>
                <w:sz w:val="21"/>
              </w:rPr>
              <w:t>512G</w:t>
            </w:r>
            <w:r>
              <w:rPr>
                <w:sz w:val="21"/>
              </w:rPr>
              <w:t>固态硬盘，</w:t>
            </w:r>
            <w:r>
              <w:rPr>
                <w:sz w:val="21"/>
              </w:rPr>
              <w:t>RTX3050</w:t>
            </w:r>
            <w:r>
              <w:rPr>
                <w:sz w:val="21"/>
              </w:rPr>
              <w:t>显卡。</w:t>
            </w:r>
          </w:p>
          <w:p>
            <w:pPr>
              <w:jc w:val="both"/>
            </w:pPr>
            <w:r>
              <w:rPr>
                <w:b/>
                <w:sz w:val="21"/>
              </w:rPr>
              <w:t>10.</w:t>
            </w:r>
            <w:r>
              <w:rPr>
                <w:b/>
                <w:sz w:val="21"/>
              </w:rPr>
              <w:t>配置清单</w:t>
            </w:r>
          </w:p>
          <w:tbl>
            <w:tblPr>
              <w:tblInd w:type="dxa" w:w="255"/>
              <w:tblBorders>
                <w:top w:val="none" w:color="000000" w:sz="4"/>
                <w:left w:val="none" w:color="000000" w:sz="4"/>
                <w:bottom w:val="none" w:color="000000" w:sz="4"/>
                <w:right w:val="none" w:color="000000" w:sz="4"/>
                <w:insideH w:val="none"/>
                <w:insideV w:val="none"/>
              </w:tblBorders>
            </w:tblPr>
            <w:tblGrid>
              <w:gridCol w:w="662"/>
              <w:gridCol w:w="3341"/>
              <w:gridCol w:w="722"/>
              <w:gridCol w:w="873"/>
            </w:tblGrid>
            <w:tr>
              <w:tc>
                <w:tcPr>
                  <w:tcW w:type="dxa" w:w="662"/>
                  <w:tcBorders>
                    <w:top w:val="single" w:color="000000" w:sz="4"/>
                    <w:left w:val="single" w:color="000000" w:sz="4"/>
                    <w:bottom w:val="single" w:color="000000" w:sz="4"/>
                    <w:right w:val="single" w:color="000000" w:sz="4"/>
                  </w:tcBorders>
                  <w:vAlign w:val="top"/>
                </w:tcPr>
                <w:p>
                  <w:pPr>
                    <w:jc w:val="both"/>
                  </w:pPr>
                  <w:r>
                    <w:rPr>
                      <w:color w:val="000000"/>
                      <w:sz w:val="21"/>
                    </w:rPr>
                    <w:t>序号</w:t>
                  </w:r>
                </w:p>
              </w:tc>
              <w:tc>
                <w:tcPr>
                  <w:tcW w:type="dxa" w:w="3341"/>
                  <w:tcBorders>
                    <w:top w:val="single" w:color="000000" w:sz="4"/>
                    <w:left w:val="none" w:color="000000" w:sz="4"/>
                    <w:bottom w:val="single" w:color="000000" w:sz="4"/>
                    <w:right w:val="single" w:color="000000" w:sz="4"/>
                  </w:tcBorders>
                  <w:vAlign w:val="top"/>
                </w:tcPr>
                <w:p>
                  <w:pPr>
                    <w:jc w:val="both"/>
                  </w:pPr>
                  <w:r>
                    <w:rPr>
                      <w:color w:val="000000"/>
                      <w:sz w:val="21"/>
                    </w:rPr>
                    <w:t>名称</w:t>
                  </w:r>
                </w:p>
              </w:tc>
              <w:tc>
                <w:tcPr>
                  <w:tcW w:type="dxa" w:w="722"/>
                  <w:tcBorders>
                    <w:top w:val="single" w:color="000000" w:sz="4"/>
                    <w:left w:val="none" w:color="000000" w:sz="4"/>
                    <w:bottom w:val="single" w:color="000000" w:sz="4"/>
                    <w:right w:val="single" w:color="000000" w:sz="4"/>
                  </w:tcBorders>
                  <w:vAlign w:val="top"/>
                </w:tcPr>
                <w:p>
                  <w:pPr>
                    <w:jc w:val="both"/>
                  </w:pPr>
                  <w:r>
                    <w:rPr>
                      <w:color w:val="000000"/>
                      <w:sz w:val="21"/>
                    </w:rPr>
                    <w:t>数量</w:t>
                  </w:r>
                </w:p>
              </w:tc>
              <w:tc>
                <w:tcPr>
                  <w:tcW w:type="dxa" w:w="873"/>
                  <w:tcBorders>
                    <w:top w:val="single" w:color="000000" w:sz="4"/>
                    <w:left w:val="none" w:color="000000" w:sz="4"/>
                    <w:bottom w:val="single" w:color="000000" w:sz="4"/>
                    <w:right w:val="single" w:color="000000" w:sz="4"/>
                  </w:tcBorders>
                  <w:vAlign w:val="top"/>
                </w:tcPr>
                <w:p>
                  <w:pPr>
                    <w:jc w:val="both"/>
                  </w:pPr>
                  <w:r>
                    <w:rPr>
                      <w:color w:val="000000"/>
                      <w:sz w:val="21"/>
                    </w:rPr>
                    <w:t>单位</w:t>
                  </w:r>
                </w:p>
              </w:tc>
            </w:tr>
            <w:tr>
              <w:tc>
                <w:tcPr>
                  <w:tcW w:type="dxa" w:w="662"/>
                  <w:tcBorders>
                    <w:top w:val="none" w:color="000000" w:sz="4"/>
                    <w:left w:val="single" w:color="000000" w:sz="4"/>
                    <w:bottom w:val="single" w:color="000000" w:sz="4"/>
                    <w:right w:val="single" w:color="000000" w:sz="4"/>
                  </w:tcBorders>
                  <w:vAlign w:val="top"/>
                </w:tcPr>
                <w:p>
                  <w:pPr>
                    <w:jc w:val="both"/>
                  </w:pPr>
                  <w:r>
                    <w:rPr>
                      <w:color w:val="000000"/>
                      <w:sz w:val="21"/>
                    </w:rPr>
                    <w:t>1</w:t>
                  </w:r>
                </w:p>
              </w:tc>
              <w:tc>
                <w:tcPr>
                  <w:tcW w:type="dxa" w:w="3341"/>
                  <w:tcBorders>
                    <w:top w:val="none" w:color="000000" w:sz="4"/>
                    <w:left w:val="none" w:color="000000" w:sz="4"/>
                    <w:bottom w:val="single" w:color="000000" w:sz="4"/>
                    <w:right w:val="single" w:color="000000" w:sz="4"/>
                  </w:tcBorders>
                  <w:vAlign w:val="top"/>
                </w:tcPr>
                <w:p>
                  <w:pPr>
                    <w:jc w:val="both"/>
                  </w:pPr>
                  <w:r>
                    <w:rPr>
                      <w:color w:val="000000"/>
                      <w:sz w:val="21"/>
                    </w:rPr>
                    <w:t>主机</w:t>
                  </w:r>
                </w:p>
              </w:tc>
              <w:tc>
                <w:tcPr>
                  <w:tcW w:type="dxa" w:w="722"/>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873"/>
                  <w:tcBorders>
                    <w:top w:val="none" w:color="000000" w:sz="4"/>
                    <w:left w:val="none" w:color="000000" w:sz="4"/>
                    <w:bottom w:val="single" w:color="000000" w:sz="4"/>
                    <w:right w:val="single" w:color="000000" w:sz="4"/>
                  </w:tcBorders>
                  <w:vAlign w:val="top"/>
                </w:tcPr>
                <w:p>
                  <w:pPr>
                    <w:jc w:val="both"/>
                  </w:pPr>
                  <w:r>
                    <w:rPr>
                      <w:color w:val="000000"/>
                      <w:sz w:val="21"/>
                    </w:rPr>
                    <w:t>套</w:t>
                  </w:r>
                </w:p>
              </w:tc>
            </w:tr>
            <w:tr>
              <w:tc>
                <w:tcPr>
                  <w:tcW w:type="dxa" w:w="662"/>
                  <w:tcBorders>
                    <w:top w:val="none" w:color="000000" w:sz="4"/>
                    <w:left w:val="single" w:color="000000" w:sz="4"/>
                    <w:bottom w:val="single" w:color="000000" w:sz="4"/>
                    <w:right w:val="single" w:color="000000" w:sz="4"/>
                  </w:tcBorders>
                  <w:vAlign w:val="top"/>
                </w:tcPr>
                <w:p>
                  <w:pPr>
                    <w:jc w:val="both"/>
                  </w:pPr>
                  <w:r>
                    <w:rPr>
                      <w:color w:val="000000"/>
                      <w:sz w:val="21"/>
                    </w:rPr>
                    <w:t>2</w:t>
                  </w:r>
                </w:p>
              </w:tc>
              <w:tc>
                <w:tcPr>
                  <w:tcW w:type="dxa" w:w="3341"/>
                  <w:tcBorders>
                    <w:top w:val="none" w:color="000000" w:sz="4"/>
                    <w:left w:val="none" w:color="000000" w:sz="4"/>
                    <w:bottom w:val="single" w:color="000000" w:sz="4"/>
                    <w:right w:val="single" w:color="000000" w:sz="4"/>
                  </w:tcBorders>
                  <w:vAlign w:val="top"/>
                </w:tcPr>
                <w:p>
                  <w:pPr>
                    <w:jc w:val="both"/>
                  </w:pPr>
                  <w:r>
                    <w:rPr>
                      <w:sz w:val="21"/>
                    </w:rPr>
                    <w:t>图像采集工作站</w:t>
                  </w:r>
                </w:p>
              </w:tc>
              <w:tc>
                <w:tcPr>
                  <w:tcW w:type="dxa" w:w="722"/>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873"/>
                  <w:tcBorders>
                    <w:top w:val="none" w:color="000000" w:sz="4"/>
                    <w:left w:val="none" w:color="000000" w:sz="4"/>
                    <w:bottom w:val="single" w:color="000000" w:sz="4"/>
                    <w:right w:val="single" w:color="000000" w:sz="4"/>
                  </w:tcBorders>
                  <w:vAlign w:val="top"/>
                </w:tcPr>
                <w:p>
                  <w:pPr>
                    <w:jc w:val="both"/>
                  </w:pPr>
                  <w:r>
                    <w:rPr>
                      <w:color w:val="000000"/>
                      <w:sz w:val="21"/>
                    </w:rPr>
                    <w:t>套</w:t>
                  </w:r>
                </w:p>
              </w:tc>
            </w:tr>
            <w:tr>
              <w:tc>
                <w:tcPr>
                  <w:tcW w:type="dxa" w:w="662"/>
                  <w:tcBorders>
                    <w:top w:val="none" w:color="000000" w:sz="4"/>
                    <w:left w:val="single" w:color="000000" w:sz="4"/>
                    <w:bottom w:val="single" w:color="000000" w:sz="4"/>
                    <w:right w:val="single" w:color="000000" w:sz="4"/>
                  </w:tcBorders>
                  <w:vAlign w:val="top"/>
                </w:tcPr>
                <w:p>
                  <w:pPr>
                    <w:jc w:val="both"/>
                  </w:pPr>
                  <w:r>
                    <w:rPr>
                      <w:color w:val="000000"/>
                      <w:sz w:val="21"/>
                    </w:rPr>
                    <w:t>3</w:t>
                  </w:r>
                </w:p>
              </w:tc>
              <w:tc>
                <w:tcPr>
                  <w:tcW w:type="dxa" w:w="3341"/>
                  <w:tcBorders>
                    <w:top w:val="none" w:color="000000" w:sz="4"/>
                    <w:left w:val="none" w:color="000000" w:sz="4"/>
                    <w:bottom w:val="single" w:color="000000" w:sz="4"/>
                    <w:right w:val="single" w:color="000000" w:sz="4"/>
                  </w:tcBorders>
                  <w:vAlign w:val="top"/>
                </w:tcPr>
                <w:p>
                  <w:pPr>
                    <w:jc w:val="both"/>
                  </w:pPr>
                  <w:r>
                    <w:rPr>
                      <w:sz w:val="21"/>
                    </w:rPr>
                    <w:t>乳腺专用诊断工作站</w:t>
                  </w:r>
                  <w:r>
                    <w:rPr>
                      <w:color w:val="000000"/>
                      <w:sz w:val="21"/>
                    </w:rPr>
                    <w:t>（含</w:t>
                  </w:r>
                  <w:r>
                    <w:rPr>
                      <w:sz w:val="21"/>
                    </w:rPr>
                    <w:t>配套专用</w:t>
                  </w:r>
                  <w:r>
                    <w:rPr>
                      <w:color w:val="000000"/>
                      <w:sz w:val="21"/>
                    </w:rPr>
                    <w:t>电脑主机、</w:t>
                  </w:r>
                  <w:r>
                    <w:rPr>
                      <w:sz w:val="21"/>
                    </w:rPr>
                    <w:t>医用报告显示器</w:t>
                  </w:r>
                  <w:r>
                    <w:rPr>
                      <w:color w:val="000000"/>
                      <w:sz w:val="21"/>
                    </w:rPr>
                    <w:t>、软件）</w:t>
                  </w:r>
                </w:p>
              </w:tc>
              <w:tc>
                <w:tcPr>
                  <w:tcW w:type="dxa" w:w="722"/>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873"/>
                  <w:tcBorders>
                    <w:top w:val="none" w:color="000000" w:sz="4"/>
                    <w:left w:val="none" w:color="000000" w:sz="4"/>
                    <w:bottom w:val="single" w:color="000000" w:sz="4"/>
                    <w:right w:val="single" w:color="000000" w:sz="4"/>
                  </w:tcBorders>
                  <w:vAlign w:val="top"/>
                </w:tcPr>
                <w:p>
                  <w:pPr>
                    <w:jc w:val="both"/>
                  </w:pPr>
                  <w:r>
                    <w:rPr>
                      <w:color w:val="000000"/>
                      <w:sz w:val="21"/>
                    </w:rPr>
                    <w:t>套</w:t>
                  </w:r>
                </w:p>
              </w:tc>
            </w:tr>
            <w:tr>
              <w:tc>
                <w:tcPr>
                  <w:tcW w:type="dxa" w:w="662"/>
                  <w:tcBorders>
                    <w:top w:val="none" w:color="000000" w:sz="4"/>
                    <w:left w:val="single" w:color="000000" w:sz="4"/>
                    <w:bottom w:val="single" w:color="000000" w:sz="4"/>
                    <w:right w:val="single" w:color="000000" w:sz="4"/>
                  </w:tcBorders>
                  <w:vAlign w:val="top"/>
                </w:tcPr>
                <w:p>
                  <w:pPr>
                    <w:jc w:val="both"/>
                  </w:pPr>
                  <w:r>
                    <w:rPr>
                      <w:color w:val="000000"/>
                      <w:sz w:val="21"/>
                    </w:rPr>
                    <w:t>4</w:t>
                  </w:r>
                </w:p>
              </w:tc>
              <w:tc>
                <w:tcPr>
                  <w:tcW w:type="dxa" w:w="3341"/>
                  <w:tcBorders>
                    <w:top w:val="none" w:color="000000" w:sz="4"/>
                    <w:left w:val="none" w:color="000000" w:sz="4"/>
                    <w:bottom w:val="single" w:color="000000" w:sz="4"/>
                    <w:right w:val="single" w:color="000000" w:sz="4"/>
                  </w:tcBorders>
                  <w:vAlign w:val="top"/>
                </w:tcPr>
                <w:p>
                  <w:pPr>
                    <w:jc w:val="both"/>
                  </w:pPr>
                  <w:r>
                    <w:rPr>
                      <w:sz w:val="21"/>
                    </w:rPr>
                    <w:t>诊断专用</w:t>
                  </w:r>
                  <w:r>
                    <w:rPr>
                      <w:sz w:val="21"/>
                    </w:rPr>
                    <w:t>5MP DICOM</w:t>
                  </w:r>
                  <w:r>
                    <w:rPr>
                      <w:sz w:val="21"/>
                    </w:rPr>
                    <w:t>灰阶显示器</w:t>
                  </w:r>
                </w:p>
              </w:tc>
              <w:tc>
                <w:tcPr>
                  <w:tcW w:type="dxa" w:w="722"/>
                  <w:tcBorders>
                    <w:top w:val="none" w:color="000000" w:sz="4"/>
                    <w:left w:val="none" w:color="000000" w:sz="4"/>
                    <w:bottom w:val="single" w:color="000000" w:sz="4"/>
                    <w:right w:val="single" w:color="000000" w:sz="4"/>
                  </w:tcBorders>
                  <w:vAlign w:val="top"/>
                </w:tcPr>
                <w:p>
                  <w:pPr>
                    <w:jc w:val="both"/>
                  </w:pPr>
                  <w:r>
                    <w:rPr>
                      <w:color w:val="000000"/>
                      <w:sz w:val="21"/>
                    </w:rPr>
                    <w:t>2</w:t>
                  </w:r>
                </w:p>
              </w:tc>
              <w:tc>
                <w:tcPr>
                  <w:tcW w:type="dxa" w:w="873"/>
                  <w:tcBorders>
                    <w:top w:val="none" w:color="000000" w:sz="4"/>
                    <w:left w:val="none" w:color="000000" w:sz="4"/>
                    <w:bottom w:val="single" w:color="000000" w:sz="4"/>
                    <w:right w:val="single" w:color="000000" w:sz="4"/>
                  </w:tcBorders>
                  <w:vAlign w:val="top"/>
                </w:tcPr>
                <w:p>
                  <w:pPr>
                    <w:jc w:val="both"/>
                  </w:pPr>
                  <w:r>
                    <w:rPr>
                      <w:color w:val="000000"/>
                      <w:sz w:val="21"/>
                    </w:rPr>
                    <w:t>台</w:t>
                  </w:r>
                </w:p>
              </w:tc>
            </w:tr>
            <w:tr>
              <w:tc>
                <w:tcPr>
                  <w:tcW w:type="dxa" w:w="662"/>
                  <w:tcBorders>
                    <w:top w:val="none" w:color="000000" w:sz="4"/>
                    <w:left w:val="single" w:color="000000" w:sz="4"/>
                    <w:bottom w:val="single" w:color="000000" w:sz="4"/>
                    <w:right w:val="single" w:color="000000" w:sz="4"/>
                  </w:tcBorders>
                  <w:vAlign w:val="top"/>
                </w:tcPr>
                <w:p>
                  <w:pPr>
                    <w:jc w:val="both"/>
                  </w:pPr>
                  <w:r>
                    <w:rPr>
                      <w:color w:val="000000"/>
                      <w:sz w:val="21"/>
                    </w:rPr>
                    <w:t>5</w:t>
                  </w:r>
                </w:p>
              </w:tc>
              <w:tc>
                <w:tcPr>
                  <w:tcW w:type="dxa" w:w="3341"/>
                  <w:tcBorders>
                    <w:top w:val="none" w:color="000000" w:sz="4"/>
                    <w:left w:val="none" w:color="000000" w:sz="4"/>
                    <w:bottom w:val="single" w:color="000000" w:sz="4"/>
                    <w:right w:val="single" w:color="000000" w:sz="4"/>
                  </w:tcBorders>
                  <w:vAlign w:val="top"/>
                </w:tcPr>
                <w:p>
                  <w:pPr>
                    <w:jc w:val="both"/>
                  </w:pPr>
                  <w:r>
                    <w:rPr>
                      <w:sz w:val="21"/>
                    </w:rPr>
                    <w:t>工作站（配套专用计算机）</w:t>
                  </w:r>
                  <w:r>
                    <w:rPr>
                      <w:color w:val="000000"/>
                      <w:sz w:val="21"/>
                    </w:rPr>
                    <w:t>（含</w:t>
                  </w:r>
                  <w:r>
                    <w:rPr>
                      <w:sz w:val="21"/>
                    </w:rPr>
                    <w:t>配套专用</w:t>
                  </w:r>
                  <w:r>
                    <w:rPr>
                      <w:color w:val="000000"/>
                      <w:sz w:val="21"/>
                    </w:rPr>
                    <w:t>电脑主机，</w:t>
                  </w:r>
                  <w:r>
                    <w:rPr>
                      <w:sz w:val="21"/>
                    </w:rPr>
                    <w:t>医用</w:t>
                  </w:r>
                  <w:r>
                    <w:rPr>
                      <w:color w:val="000000"/>
                      <w:sz w:val="21"/>
                    </w:rPr>
                    <w:t>显示器，软件）</w:t>
                  </w:r>
                </w:p>
              </w:tc>
              <w:tc>
                <w:tcPr>
                  <w:tcW w:type="dxa" w:w="722"/>
                  <w:tcBorders>
                    <w:top w:val="none" w:color="000000" w:sz="4"/>
                    <w:left w:val="none" w:color="000000" w:sz="4"/>
                    <w:bottom w:val="single" w:color="000000" w:sz="4"/>
                    <w:right w:val="single" w:color="000000" w:sz="4"/>
                  </w:tcBorders>
                  <w:vAlign w:val="top"/>
                </w:tcPr>
                <w:p>
                  <w:pPr>
                    <w:jc w:val="both"/>
                  </w:pPr>
                  <w:r>
                    <w:rPr>
                      <w:color w:val="000000"/>
                      <w:sz w:val="21"/>
                    </w:rPr>
                    <w:t>4</w:t>
                  </w:r>
                </w:p>
              </w:tc>
              <w:tc>
                <w:tcPr>
                  <w:tcW w:type="dxa" w:w="873"/>
                  <w:tcBorders>
                    <w:top w:val="none" w:color="000000" w:sz="4"/>
                    <w:left w:val="none" w:color="000000" w:sz="4"/>
                    <w:bottom w:val="single" w:color="000000" w:sz="4"/>
                    <w:right w:val="single" w:color="000000" w:sz="4"/>
                  </w:tcBorders>
                  <w:vAlign w:val="top"/>
                </w:tcPr>
                <w:p>
                  <w:pPr>
                    <w:jc w:val="both"/>
                  </w:pPr>
                  <w:r>
                    <w:rPr>
                      <w:color w:val="000000"/>
                      <w:sz w:val="21"/>
                    </w:rPr>
                    <w:t>套</w:t>
                  </w:r>
                </w:p>
              </w:tc>
            </w:tr>
            <w:tr>
              <w:tc>
                <w:tcPr>
                  <w:tcW w:type="dxa" w:w="662"/>
                  <w:tcBorders>
                    <w:top w:val="none" w:color="000000" w:sz="4"/>
                    <w:left w:val="single" w:color="000000" w:sz="4"/>
                    <w:bottom w:val="single" w:color="000000" w:sz="4"/>
                    <w:right w:val="single" w:color="000000" w:sz="4"/>
                  </w:tcBorders>
                  <w:vAlign w:val="top"/>
                </w:tcPr>
                <w:p>
                  <w:pPr>
                    <w:jc w:val="both"/>
                  </w:pPr>
                  <w:r>
                    <w:rPr>
                      <w:color w:val="000000"/>
                      <w:sz w:val="21"/>
                    </w:rPr>
                    <w:t>6</w:t>
                  </w:r>
                </w:p>
              </w:tc>
              <w:tc>
                <w:tcPr>
                  <w:tcW w:type="dxa" w:w="3341"/>
                  <w:tcBorders>
                    <w:top w:val="none" w:color="000000" w:sz="4"/>
                    <w:left w:val="none" w:color="000000" w:sz="4"/>
                    <w:bottom w:val="single" w:color="000000" w:sz="4"/>
                    <w:right w:val="single" w:color="000000" w:sz="4"/>
                  </w:tcBorders>
                  <w:vAlign w:val="top"/>
                </w:tcPr>
                <w:p>
                  <w:pPr>
                    <w:jc w:val="both"/>
                  </w:pPr>
                  <w:r>
                    <w:rPr>
                      <w:sz w:val="21"/>
                    </w:rPr>
                    <w:t>工作站（配套专用笔记本电脑）</w:t>
                  </w:r>
                </w:p>
              </w:tc>
              <w:tc>
                <w:tcPr>
                  <w:tcW w:type="dxa" w:w="722"/>
                  <w:tcBorders>
                    <w:top w:val="none" w:color="000000" w:sz="4"/>
                    <w:left w:val="none" w:color="000000" w:sz="4"/>
                    <w:bottom w:val="single" w:color="000000" w:sz="4"/>
                    <w:right w:val="single" w:color="000000" w:sz="4"/>
                  </w:tcBorders>
                  <w:vAlign w:val="top"/>
                </w:tcPr>
                <w:p>
                  <w:pPr>
                    <w:jc w:val="both"/>
                  </w:pPr>
                  <w:r>
                    <w:rPr>
                      <w:color w:val="000000"/>
                      <w:sz w:val="21"/>
                    </w:rPr>
                    <w:t>1</w:t>
                  </w:r>
                </w:p>
              </w:tc>
              <w:tc>
                <w:tcPr>
                  <w:tcW w:type="dxa" w:w="873"/>
                  <w:tcBorders>
                    <w:top w:val="none" w:color="000000" w:sz="4"/>
                    <w:left w:val="none" w:color="000000" w:sz="4"/>
                    <w:bottom w:val="single" w:color="000000" w:sz="4"/>
                    <w:right w:val="single" w:color="000000" w:sz="4"/>
                  </w:tcBorders>
                  <w:vAlign w:val="top"/>
                </w:tcPr>
                <w:p>
                  <w:pPr>
                    <w:jc w:val="both"/>
                  </w:pPr>
                  <w:r>
                    <w:rPr>
                      <w:color w:val="000000"/>
                      <w:sz w:val="21"/>
                    </w:rPr>
                    <w:t>台</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中山市港口医院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港口医院数字化钼靶乳腺机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采购包1（中山市港口医院数字化钼靶乳腺机采购项目）：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采购包1（中山市港口医院数字化钼靶乳腺机采购项目）：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采购包1（中山市港口医院数字化钼靶乳腺机采购项目）：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采购包1中山市港口医院数字化钼靶乳腺机采购项目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技术部分50.0分</w:t>
            </w:r>
          </w:p>
          <w:p>
            <w:r>
              <w:rPr/>
              <w:t>报价得分40.0分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 响应情况 (30.0分)</w:t>
            </w:r>
          </w:p>
        </w:tc>
        <w:tc>
          <w:tcPr>
            <w:tcW w:type="dxa" w:w="5076"/>
          </w:tcPr>
          <w:p>
            <w:pPr>
              <w:jc w:val="left"/>
            </w:pPr>
            <w:r>
              <w:rPr/>
              <w:t>考核投标人对招标文件第二章《采购需求》中附表一“具体技术(参数)要求”中所有条款的响应程度（每条条款最小一级序号均以一项计算）： 1.完全响应技术要求的得30分；每一个负偏离扣2分，本项30分，扣完为止。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(5.0分)</w:t>
            </w:r>
            <w:r>
              <w:rPr/>
              <w:t>，（等次分值选择：</w:t>
            </w:r>
            <w:r>
              <w:rPr/>
              <w:t>0.0;</w:t>
            </w:r>
            <w:r>
              <w:rPr/>
              <w:t>2.0;</w:t>
            </w:r>
            <w:r>
              <w:rPr/>
              <w:t>3.0;</w:t>
            </w:r>
            <w:r>
              <w:rPr/>
              <w:t>4.0;</w:t>
            </w:r>
            <w:r>
              <w:rPr/>
              <w:t>5.0;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1.安装、检测、验收、培训计划条理清晰，脉络分明，操作性强，人性化，能体现以人为本、服务至上的售后理念，得5分； 2.安装、检测、验收、培训计划条理较清晰，脉络较分明，操作性较强，能体现以人为本、服务至上的售后理念，得4分； 3.安装、检测、验收、培训计划条理一般，脉络一般，操作性一般，不能体现以人为本、服务至上的售后理念，得3分； 4.安装、检测、验收、培训计划条理模糊，脉络不分明，操作性差，不能体现以人为本、服务至上的售后理念，得2分； 5.未提供相关计划得0分。</w:t>
            </w:r>
          </w:p>
        </w:tc>
      </w:tr>
      <w:tr>
        <w:tc>
          <w:tcPr>
            <w:tcW w:type="dxa" w:w="922"/>
            <w:gridSpan w:val="2"/>
            <w:vMerge/>
          </w:tcPr>
          <w:p/>
        </w:tc>
        <w:tc>
          <w:tcPr>
            <w:tcW w:type="dxa" w:w="2307"/>
          </w:tcPr>
          <w:p>
            <w:pPr>
              <w:jc w:val="left"/>
            </w:pPr>
            <w:r>
              <w:rPr/>
              <w:t>产品的配置、选型及性能 (10.0分)</w:t>
            </w:r>
            <w:r>
              <w:rPr/>
              <w:t>，（等次分值选择：</w:t>
            </w:r>
            <w:r>
              <w:rPr/>
              <w:t>0.0;</w:t>
            </w:r>
            <w:r>
              <w:rPr/>
              <w:t>1.0;</w:t>
            </w:r>
            <w:r>
              <w:rPr/>
              <w:t>4.0;</w:t>
            </w:r>
            <w:r>
              <w:rPr/>
              <w:t>7.0;</w:t>
            </w:r>
            <w:r>
              <w:rPr/>
              <w:t>10.0;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1.所投产品的配置完全满足或优于招标文件要求，选型及性能非常好，完全能满足采购人需求，得10分； 2.所投产品的配置基本满足招标文件要求，选型及性能比较好，比较能满足采购人需求，得7分； 3.所投产品的配置勉强满足招标文件要求，选型及性能一般，勉强能满足采购人需求，得4分； 4.所投产品的配置不能满足招标文件要求，选型及性能不太好，不能满足采购人需求，得1分； 5.未提供得0分。</w:t>
            </w:r>
          </w:p>
        </w:tc>
      </w:tr>
      <w:tr>
        <w:tc>
          <w:tcPr>
            <w:tcW w:type="dxa" w:w="922"/>
            <w:gridSpan w:val="2"/>
            <w:vMerge/>
          </w:tcPr>
          <w:p/>
        </w:tc>
        <w:tc>
          <w:tcPr>
            <w:tcW w:type="dxa" w:w="2307"/>
          </w:tcPr>
          <w:p>
            <w:pPr>
              <w:jc w:val="left"/>
            </w:pPr>
            <w:r>
              <w:rPr/>
              <w:t>服务响应、售后及应急措施方案 (5.0分)</w:t>
            </w:r>
            <w:r>
              <w:rPr/>
              <w:t>，（等次分值选择：</w:t>
            </w:r>
            <w:r>
              <w:rPr/>
              <w:t>0.0;</w:t>
            </w:r>
            <w:r>
              <w:rPr/>
              <w:t>2.0;</w:t>
            </w:r>
            <w:r>
              <w:rPr/>
              <w:t>3.0;</w:t>
            </w:r>
            <w:r>
              <w:rPr/>
              <w:t>4.0;</w:t>
            </w:r>
            <w:r>
              <w:rPr/>
              <w:t>5.0;</w:t>
            </w:r>
            <w:r>
              <w:rPr/>
              <w:t>）</w:t>
            </w:r>
          </w:p>
        </w:tc>
        <w:tc>
          <w:tcPr>
            <w:tcW w:type="dxa" w:w="5076"/>
          </w:tcPr>
          <w:p>
            <w:pPr>
              <w:jc w:val="left"/>
            </w:pPr>
            <w:r>
              <w:rPr/>
              <w:t>评委对各投标人服务响应、售后及应急措施方案（含服务响应时间，保修、维护、服务、技术支持措施计划和承诺，应急方案等）进行评审。（招标文件要求：中标人承诺在接到采购人的故障通知后3小时内响应，24小时内到达现场，48小时内处理完毕。若在48小时内仍未能有效解决，中标人须免费提供同质量的货物予采购人临时使用）。 1.服务响应时间满足或优于招标文件要求；有详细具体可行的保修、维护、服务、技术支持措施计划和承诺，处理问题能力强，售后及保修期内的服务方案优；应急措施方案非常周全、详尽、可行，得5分； 2.服务响应时间满足招标文件要求；有比较详细具体可行的保修、维护、服务、技术支持措施计划和承诺，处理问题能力较强，售后及保修期内的服务方案较好；应急措施方案比较周全、详尽、可行，得4分； 3.服务响应时间满足招标文件要求；保修、维护、服务、技术支持措施计划和承诺可行性一般，售后及保修期内的服务方案一般；应急措施方案可行性一般，得3分； 4.服务响应时间未能满足招标文件要求；保修、维护、服务、技术支持措施计划和承诺不太可行，售后及保修期内的服务方案不够具体；应急措施方案不太可行，得2分； 5.未提供方案，得0分。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(6.0分)</w:t>
            </w:r>
          </w:p>
        </w:tc>
        <w:tc>
          <w:tcPr>
            <w:tcW w:type="dxa" w:w="5076"/>
          </w:tcPr>
          <w:p>
            <w:pPr>
              <w:jc w:val="left"/>
            </w:pPr>
            <w:r>
              <w:rPr/>
              <w:t>考核对采购需求中“主要商务要求”所有小点的响应程度。 完全响应要求的得 6 分；每负偏离一项扣1分，本项6分，扣完为止。</w:t>
            </w:r>
          </w:p>
        </w:tc>
      </w:tr>
      <w:tr>
        <w:tc>
          <w:tcPr>
            <w:tcW w:type="dxa" w:w="922"/>
            <w:gridSpan w:val="2"/>
            <w:vMerge/>
          </w:tcPr>
          <w:p/>
        </w:tc>
        <w:tc>
          <w:tcPr>
            <w:tcW w:type="dxa" w:w="2307"/>
          </w:tcPr>
          <w:p>
            <w:pPr>
              <w:jc w:val="left"/>
            </w:pPr>
            <w:r>
              <w:rPr/>
              <w:t>同类项目业绩 (4.0分)</w:t>
            </w:r>
          </w:p>
        </w:tc>
        <w:tc>
          <w:tcPr>
            <w:tcW w:type="dxa" w:w="5076"/>
          </w:tcPr>
          <w:p>
            <w:pPr>
              <w:jc w:val="left"/>
            </w:pPr>
            <w:r>
              <w:rPr/>
              <w:t>评标委员会应根据投标人提供的业绩情况进行评审： 2019年1月1日以来（以合同签订日期为准）投标人承接的同类项目业绩，每提供一个项目业绩得1分，最多得4分。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》里客户名称、项目名称及合同金额、签订合同时间为必填项；关键页内容必须清晰阐明项目名称、双方单位名称、合同签订日期、合同履行主要内容），未按要求提供的得0分。</w:t>
            </w:r>
          </w:p>
        </w:tc>
      </w:tr>
      <w:tr>
        <w:tc>
          <w:tcPr>
            <w:tcW w:type="dxa" w:w="922"/>
            <w:gridSpan w:val="2"/>
          </w:tcPr>
          <w:p>
            <w:pPr>
              <w:jc w:val="center"/>
            </w:pPr>
            <w:r>
              <w:rPr/>
              <w:t>投标报价</w:t>
            </w:r>
          </w:p>
        </w:tc>
        <w:tc>
          <w:tcPr>
            <w:tcW w:type="dxa" w:w="2307"/>
          </w:tcPr>
          <w:p>
            <w:pPr>
              <w:jc w:val="left"/>
            </w:pPr>
            <w:r>
              <w:rPr/>
              <w:t>投标报价得分 (40.0分)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rPr>
          <w:b/>
          <w:color w:val="222222"/>
          <w:sz w:val="24"/>
        </w:rPr>
        <w:t>（本合同范本仅供参考，中标人与采购人可根据双方的具体要求进行修订，双方所签订的合同不得对招标文件确定的事项和中标人投标文件作实质性修改。）</w:t>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r>
        <w:rPr>
          <w:sz w:val="27"/>
        </w:rPr>
        <w:t>1.        合同总额支付方式为一次性付款。</w:t>
      </w:r>
    </w:p>
    <w:p>
      <w:r>
        <w:rPr>
          <w:sz w:val="27"/>
        </w:rPr>
        <w:t>2.         甲方验收合格收到发票后 30 天内支付合同货款总额的100%。</w:t>
      </w: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3.</w:t>
      </w:r>
      <w:r>
        <w:rPr>
          <w:sz w:val="27"/>
        </w:rPr>
        <w:t>在接到甲方的故障通知后</w:t>
      </w:r>
      <w:r>
        <w:rPr>
          <w:sz w:val="27"/>
        </w:rPr>
        <w:t>3</w:t>
      </w:r>
      <w:r>
        <w:rPr>
          <w:sz w:val="27"/>
        </w:rPr>
        <w:t>小时内响应，乙方</w:t>
      </w:r>
      <w:r>
        <w:rPr>
          <w:sz w:val="27"/>
        </w:rPr>
        <w:t>24</w:t>
      </w:r>
      <w:r>
        <w:rPr>
          <w:sz w:val="27"/>
        </w:rPr>
        <w:t>小时内到达现场，</w:t>
      </w:r>
      <w:r>
        <w:rPr>
          <w:sz w:val="27"/>
        </w:rPr>
        <w:t>48</w:t>
      </w:r>
      <w:r>
        <w:rPr>
          <w:sz w:val="27"/>
        </w:rPr>
        <w:t>小时内处理完毕。若在</w:t>
      </w:r>
      <w:r>
        <w:rPr>
          <w:sz w:val="27"/>
        </w:rPr>
        <w:t>48</w:t>
      </w:r>
      <w:r>
        <w:rPr>
          <w:sz w:val="27"/>
        </w:rPr>
        <w:t>小时内仍未能有效解决，乙方须免费提供同质量的货物予甲方临时使用</w:t>
      </w:r>
      <w:r>
        <w:rPr>
          <w:sz w:val="27"/>
        </w:rPr>
        <w:t>。</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p>
    <w:p>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本合同正本</w:t>
      </w:r>
      <w:r>
        <w:rPr>
          <w:sz w:val="21"/>
          <w:u w:val="single"/>
        </w:rPr>
        <w:t xml:space="preserve">   </w:t>
      </w:r>
      <w:r>
        <w:rPr>
          <w:sz w:val="27"/>
        </w:rPr>
        <w:t>份，具有同等法律效力，甲方执</w:t>
      </w:r>
      <w:r>
        <w:rPr>
          <w:sz w:val="21"/>
          <w:u w:val="single"/>
        </w:rPr>
        <w:t xml:space="preserve">   </w:t>
      </w:r>
      <w:r>
        <w:rPr>
          <w:sz w:val="27"/>
        </w:rPr>
        <w:t xml:space="preserve"> </w:t>
      </w:r>
      <w:r>
        <w:rPr>
          <w:sz w:val="27"/>
        </w:rPr>
        <w:t>份、乙方执</w:t>
      </w:r>
      <w:r>
        <w:rPr>
          <w:sz w:val="21"/>
          <w:u w:val="single"/>
        </w:rPr>
        <w:t xml:space="preserve">   </w:t>
      </w:r>
      <w:r>
        <w:rPr>
          <w:sz w:val="27"/>
        </w:rPr>
        <w:t xml:space="preserve"> </w:t>
      </w:r>
      <w:r>
        <w:rPr>
          <w:sz w:val="27"/>
        </w:rPr>
        <w:t>份，招标代理机构壹</w:t>
      </w:r>
      <w:r>
        <w:rPr>
          <w:sz w:val="27"/>
        </w:rPr>
        <w:t>份。合同自签字之日起即时生效。</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442000108-2022-00395</w:t>
      </w:r>
    </w:p>
    <w:p>
      <w:pPr>
        <w:jc w:val="center"/>
      </w:pPr>
      <w:r>
        <w:rPr>
          <w:b/>
          <w:sz w:val="24"/>
        </w:rPr>
        <w:t>采购项目编号：</w:t>
      </w:r>
      <w:r>
        <w:rPr>
          <w:b/>
          <w:sz w:val="24"/>
        </w:rPr>
        <w:t>442000108-2022-00395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中山市港口医院数字化钼靶乳腺机采购项目</w:t>
      </w:r>
      <w:r>
        <w:rPr/>
        <w:t>项目的招标[采购项目编号为：</w:t>
      </w:r>
      <w:r>
        <w:rPr>
          <w:u w:val="single"/>
        </w:rPr>
        <w:t>442000108-2022-00395</w:t>
      </w:r>
      <w:r>
        <w:rPr/>
        <w:t>]，我方愿参与投标。</w:t>
      </w:r>
    </w:p>
    <w:p>
      <w:pPr>
        <w:ind w:firstLine="480"/>
      </w:pPr>
      <w:r>
        <w:rPr/>
        <w:t>我方确认收到贵方提供的</w:t>
      </w:r>
      <w:r>
        <w:rPr>
          <w:u w:val="single"/>
        </w:rPr>
        <w:t>中山市港口医院数字化钼靶乳腺机采购项目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中山市港口医院数字化钼靶乳腺机采购项目</w:t>
      </w:r>
      <w:r>
        <w:rPr/>
        <w:t>项目采购[采购项目编号为</w:t>
      </w:r>
      <w:r>
        <w:rPr/>
        <w:t>442000108-2022-00395</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中山市港口医院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中山市港口医院数字化钼靶乳腺机采购项目</w:t>
      </w:r>
      <w:r>
        <w:rPr/>
        <w:t>招标中获中标（采购项目编号：</w:t>
      </w:r>
      <w:r>
        <w:rPr/>
        <w:t>442000108-2022-00395</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中山市港口医院数字化钼靶乳腺机采购项目</w:t>
      </w:r>
      <w:r>
        <w:rPr/>
        <w:t>项目（采购项目编号：</w:t>
      </w:r>
      <w:r>
        <w:rPr/>
        <w:t>442000108-2022-00395</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