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442000-2022-05241</w:t>
      </w:r>
    </w:p>
    <w:p>
      <w:pPr>
        <w:jc w:val="center"/>
      </w:pPr>
      <w:r>
        <w:rPr>
          <w:b/>
          <w:sz w:val="24"/>
        </w:rPr>
        <w:t>采购项目编号：</w:t>
      </w:r>
      <w:r>
        <w:rPr>
          <w:b/>
          <w:sz w:val="24"/>
        </w:rPr>
        <w:t>442000-2022-05241</w:t>
      </w:r>
    </w:p>
    <w:p>
      <w:pPr>
        <w:jc w:val="center"/>
      </w:pPr>
      <w:r>
        <w:rPr>
          <w:b/>
          <w:sz w:val="24"/>
        </w:rPr>
        <w:t>项目名称：</w:t>
      </w:r>
      <w:r>
        <w:rPr>
          <w:b/>
          <w:sz w:val="24"/>
        </w:rPr>
        <w:t>中山市人民医院全碳纤维脊柱电动手术台采购项目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中山市人民医院全碳纤维脊柱电动手术台采购项目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中山市人民医院全碳纤维脊柱电动手术台采购项目</w:t>
      </w:r>
    </w:p>
    <w:p>
      <w:pPr>
        <w:ind w:firstLine="480"/>
      </w:pPr>
      <w:r>
        <w:rPr/>
        <w:t>采购计划编号：</w:t>
      </w:r>
      <w:r>
        <w:rPr/>
        <w:t>442000-2022-05241</w:t>
      </w:r>
    </w:p>
    <w:p>
      <w:pPr>
        <w:ind w:firstLine="480"/>
      </w:pPr>
      <w:r>
        <w:rPr/>
        <w:t>采购项目编号：</w:t>
      </w:r>
      <w:r>
        <w:rPr/>
        <w:t>442000-2022-05241</w:t>
      </w:r>
    </w:p>
    <w:p>
      <w:pPr>
        <w:ind w:firstLine="480"/>
      </w:pPr>
      <w:r>
        <w:rPr/>
        <w:t>采购方式：</w:t>
      </w:r>
      <w:r>
        <w:rPr/>
        <w:t>公开招标</w:t>
      </w:r>
    </w:p>
    <w:p>
      <w:pPr>
        <w:ind w:firstLine="480"/>
      </w:pPr>
      <w:r>
        <w:rPr/>
        <w:t>预算金额：</w:t>
      </w:r>
      <w:r>
        <w:rPr/>
        <w:t>2,995,000.00</w:t>
      </w:r>
      <w:r>
        <w:rPr/>
        <w:t>元</w:t>
      </w:r>
    </w:p>
    <w:p>
      <w:r>
        <w:rPr>
          <w:b/>
          <w:sz w:val="24"/>
        </w:rPr>
        <w:t>2.项目内容及需求情况（采购项目技术规格、参数及要求）</w:t>
      </w:r>
    </w:p>
    <w:p>
      <w:pPr>
        <w:ind w:firstLine="480"/>
      </w:pPr>
    </w:p>
    <w:p/>
    <w:p>
      <w:r>
        <w:rPr/>
        <w:t>采购包1(全碳纤维脊柱电动手术台):</w:t>
      </w:r>
    </w:p>
    <w:p>
      <w:r>
        <w:rPr/>
        <w:t>采购包预算金额：2,995,000.00元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手术器械</w:t>
            </w:r>
          </w:p>
        </w:tc>
        <w:tc>
          <w:tcPr>
            <w:tcW w:type="dxa" w:w="2136"/>
          </w:tcPr>
          <w:p>
            <w:r>
              <w:rPr/>
              <w:t>全碳纤维脊柱电动手术台</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合同履行期限：合同签订后15个工作日内交货。</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采购包1（全碳纤维脊柱电动手术台）：</w:t>
      </w:r>
      <w:r>
        <w:rPr/>
        <w:t>本项目不专门面向中小企业采购。</w:t>
      </w:r>
    </w:p>
    <w:p/>
    <w:p>
      <w:r>
        <w:rPr>
          <w:b/>
          <w:sz w:val="24"/>
        </w:rPr>
        <w:t>3.本项目特定的资格要求：</w:t>
      </w:r>
    </w:p>
    <w:p>
      <w:pPr>
        <w:ind w:firstLine="480"/>
      </w:pPr>
    </w:p>
    <w:p/>
    <w:p>
      <w:r>
        <w:rPr/>
        <w:t>采购包1（全碳纤维脊柱电动手术台）：</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广东省中山市孙文东路2号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1.</w:t>
      </w:r>
      <w:r>
        <w:rPr>
          <w:sz w:val="21"/>
        </w:rPr>
        <w:t>项目名称：中山市人民医院全碳纤维脊柱电动手术台采购项目</w:t>
      </w:r>
    </w:p>
    <w:p>
      <w:r>
        <w:rPr>
          <w:sz w:val="21"/>
        </w:rPr>
        <w:t>2.</w:t>
      </w:r>
      <w:r>
        <w:rPr>
          <w:sz w:val="21"/>
        </w:rPr>
        <w:t>采购计划编号：</w:t>
      </w:r>
      <w:r>
        <w:rPr>
          <w:sz w:val="21"/>
        </w:rPr>
        <w:t>442000-2022-05241</w:t>
      </w:r>
    </w:p>
    <w:p>
      <w:r>
        <w:rPr>
          <w:sz w:val="21"/>
        </w:rPr>
        <w:t>3.</w:t>
      </w:r>
      <w:r>
        <w:rPr>
          <w:sz w:val="21"/>
        </w:rPr>
        <w:t>采购项目编号：</w:t>
      </w:r>
      <w:r>
        <w:rPr>
          <w:sz w:val="21"/>
        </w:rPr>
        <w:t>442000-2022-05241</w:t>
      </w:r>
    </w:p>
    <w:p>
      <w:r>
        <w:rPr>
          <w:sz w:val="21"/>
        </w:rPr>
        <w:t>4.</w:t>
      </w:r>
      <w:r>
        <w:rPr>
          <w:sz w:val="21"/>
        </w:rPr>
        <w:t>采购方式： 公开招标</w:t>
      </w:r>
    </w:p>
    <w:p>
      <w:r>
        <w:rPr>
          <w:sz w:val="21"/>
        </w:rPr>
        <w:t>5.</w:t>
      </w:r>
      <w:r>
        <w:rPr>
          <w:sz w:val="21"/>
        </w:rPr>
        <w:t>预算金额：</w:t>
      </w:r>
      <w:r>
        <w:rPr>
          <w:sz w:val="21"/>
        </w:rPr>
        <w:t>2995000.00</w:t>
      </w:r>
      <w:r>
        <w:rPr>
          <w:sz w:val="21"/>
        </w:rPr>
        <w:t>元</w:t>
      </w:r>
    </w:p>
    <w:p>
      <w:r>
        <w:rPr>
          <w:sz w:val="21"/>
        </w:rPr>
        <w:t>6.</w:t>
      </w:r>
      <w:r>
        <w:rPr>
          <w:sz w:val="21"/>
        </w:rPr>
        <w:t>投标上限价：</w:t>
      </w:r>
      <w:r>
        <w:rPr>
          <w:sz w:val="21"/>
        </w:rPr>
        <w:t>2995000.00</w:t>
      </w:r>
      <w:r>
        <w:rPr>
          <w:sz w:val="21"/>
        </w:rPr>
        <w:t>元</w:t>
      </w:r>
    </w:p>
    <w:p>
      <w:r>
        <w:rPr>
          <w:sz w:val="21"/>
        </w:rPr>
        <w:t>7.</w:t>
      </w:r>
      <w:r>
        <w:rPr>
          <w:sz w:val="21"/>
        </w:rPr>
        <w:t>本项目不属于专门面向中小微企业项目。</w:t>
      </w:r>
    </w:p>
    <w:p>
      <w:r>
        <w:rPr>
          <w:sz w:val="21"/>
        </w:rPr>
        <w:t>8.</w:t>
      </w:r>
      <w:r>
        <w:rPr>
          <w:sz w:val="21"/>
        </w:rPr>
        <w:t>采购标的对应的中小企业划分标准所属行业为：工业</w:t>
      </w:r>
    </w:p>
    <w:p>
      <w:r>
        <w:rPr>
          <w:sz w:val="21"/>
        </w:rPr>
        <w:t>9.</w:t>
      </w:r>
      <w:r>
        <w:rPr>
          <w:sz w:val="21"/>
        </w:rPr>
        <w:t>本采购包不接受联合体投标。</w:t>
      </w:r>
    </w:p>
    <w:p>
      <w:r>
        <w:rPr>
          <w:sz w:val="21"/>
        </w:rPr>
        <w:t>10.</w:t>
      </w:r>
      <w:r>
        <w:rPr>
          <w:sz w:val="21"/>
        </w:rPr>
        <w:t>合同履行期限：合同签订后</w:t>
      </w:r>
      <w:r>
        <w:rPr>
          <w:sz w:val="21"/>
        </w:rPr>
        <w:t>15</w:t>
      </w:r>
      <w:r>
        <w:rPr>
          <w:sz w:val="21"/>
        </w:rPr>
        <w:t>个工作日内交货。</w:t>
      </w:r>
    </w:p>
    <w:p>
      <w:r>
        <w:rPr>
          <w:b/>
          <w:sz w:val="22"/>
        </w:rPr>
        <w:t>11.</w:t>
      </w:r>
      <w:r>
        <w:rPr>
          <w:b/>
          <w:sz w:val="22"/>
        </w:rPr>
        <w:t>招标文件中凡有</w:t>
      </w:r>
      <w:r>
        <w:rPr>
          <w:b/>
          <w:sz w:val="22"/>
        </w:rPr>
        <w:t>“★”</w:t>
      </w:r>
      <w:r>
        <w:rPr>
          <w:b/>
          <w:sz w:val="22"/>
        </w:rPr>
        <w:t>标识的内容条款为关键条款，投标供应商必须对此作出回答并完全满足这些要求不可以出现任何负偏离，对这些关键条款的任何负偏离将视为无效投标。</w:t>
      </w:r>
      <w:r>
        <w:br/>
      </w:r>
      <w:r>
        <w:rPr>
          <w:b/>
          <w:sz w:val="22"/>
        </w:rPr>
        <w:t>12.</w:t>
      </w:r>
      <w:r>
        <w:rPr>
          <w:b/>
          <w:sz w:val="22"/>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r>
        <w:br/>
      </w:r>
      <w:r>
        <w:rPr>
          <w:b/>
          <w:sz w:val="22"/>
        </w:rPr>
        <w:t>13.</w:t>
      </w:r>
      <w:r>
        <w:rPr>
          <w:b/>
          <w:sz w:val="22"/>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r>
        <w:br/>
      </w:r>
      <w:r>
        <w:rPr>
          <w:b/>
          <w:sz w:val="22"/>
        </w:rPr>
        <w:t>14.</w:t>
      </w:r>
      <w:r>
        <w:rPr>
          <w:b/>
          <w:sz w:val="22"/>
        </w:rPr>
        <w:t>根据财政部关于《政府采购进口产品管理办法》（财库〔</w:t>
      </w:r>
      <w:r>
        <w:rPr>
          <w:b/>
          <w:sz w:val="22"/>
        </w:rPr>
        <w:t>2007</w:t>
      </w:r>
      <w:r>
        <w:rPr>
          <w:b/>
          <w:sz w:val="22"/>
        </w:rPr>
        <w:t>〕</w:t>
      </w:r>
      <w:r>
        <w:rPr>
          <w:b/>
          <w:sz w:val="22"/>
        </w:rPr>
        <w:t>119</w:t>
      </w:r>
      <w:r>
        <w:rPr>
          <w:b/>
          <w:sz w:val="22"/>
        </w:rPr>
        <w:t>号）的规定，通过专家论证并经政府采购监管部门同意，本项目拟采购设备：全碳纤维脊柱电动手术台，可以采购本国产品或不属于国家法律法规政策明确规定限制的进口产品。（注：进口产品是指通过中国海关报关验放进入中国境内且产自关境外的产品，含已进入中国境内并在国内市场有销售的进口产品）。</w:t>
      </w:r>
    </w:p>
    <w:p/>
    <w:p>
      <w:pPr>
        <w:ind w:firstLine="480"/>
      </w:pPr>
    </w:p>
    <w:p/>
    <w:p>
      <w:r>
        <w:rPr/>
        <w:t>合同包1（全碳纤维脊柱电动手术台）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★合同签订后15个工作日内交货。</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1期：支付比例100%,★采购人验收合格收到发票后，30天内支付合同货款总额的100%。</w:t>
            </w:r>
          </w:p>
        </w:tc>
      </w:tr>
      <w:tr>
        <w:tc>
          <w:tcPr>
            <w:tcW w:type="dxa" w:w="4153"/>
          </w:tcPr>
          <w:p>
            <w:r>
              <w:rPr/>
              <w:t>验收要求</w:t>
            </w:r>
          </w:p>
        </w:tc>
        <w:tc>
          <w:tcPr>
            <w:tcW w:type="dxa" w:w="4153"/>
          </w:tcPr>
          <w:p/>
          <w:p/>
          <w:p/>
          <w:p>
            <w:r>
              <w:rPr/>
              <w:t>1期：★合同设备安装调试完成并移交所有资料文档后60 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用户口碑</w:t>
            </w:r>
          </w:p>
        </w:tc>
        <w:tc>
          <w:tcPr>
            <w:tcW w:type="dxa" w:w="2076"/>
          </w:tcPr>
          <w:p>
            <w:pPr>
              <w:jc w:val="left"/>
            </w:pPr>
            <w:r>
              <w:rPr/>
              <w:t>用户普及率高，投标人应在投标文件中提供全国用户与骨科智能机器人匹配用户清单；或承诺中标后签订合同时提供清单。（投标人须在投标文件中提供承诺函并加盖投标人公章。）</w:t>
            </w:r>
          </w:p>
        </w:tc>
      </w:tr>
      <w:tr>
        <w:tc>
          <w:tcPr>
            <w:tcW w:type="dxa" w:w="2076"/>
          </w:tcPr>
          <w:p>
            <w:pPr>
              <w:jc w:val="center"/>
            </w:pPr>
          </w:p>
        </w:tc>
        <w:tc>
          <w:tcPr>
            <w:tcW w:type="dxa" w:w="2076"/>
          </w:tcPr>
          <w:p>
            <w:pPr>
              <w:jc w:val="center"/>
            </w:pPr>
            <w:r>
              <w:rPr/>
              <w:t>2</w:t>
            </w:r>
          </w:p>
        </w:tc>
        <w:tc>
          <w:tcPr>
            <w:tcW w:type="dxa" w:w="2076"/>
          </w:tcPr>
          <w:p>
            <w:pPr>
              <w:jc w:val="left"/>
            </w:pPr>
            <w:r>
              <w:rPr/>
              <w:t>保修要求</w:t>
            </w:r>
          </w:p>
        </w:tc>
        <w:tc>
          <w:tcPr>
            <w:tcW w:type="dxa" w:w="2076"/>
          </w:tcPr>
          <w:p>
            <w:pPr>
              <w:jc w:val="left"/>
            </w:pPr>
            <w:r>
              <w:rPr/>
              <w:t>原厂保修3年，提供生产厂家盖章的保修承诺函；或承诺中标后签订合同时提供保修承诺函。（投标人须在投标文件中提供承诺函并加盖投标人公章。）</w:t>
            </w:r>
          </w:p>
        </w:tc>
      </w:tr>
      <w:tr>
        <w:tc>
          <w:tcPr>
            <w:tcW w:type="dxa" w:w="2076"/>
          </w:tcPr>
          <w:p>
            <w:pPr>
              <w:jc w:val="center"/>
            </w:pPr>
          </w:p>
        </w:tc>
        <w:tc>
          <w:tcPr>
            <w:tcW w:type="dxa" w:w="2076"/>
          </w:tcPr>
          <w:p>
            <w:pPr>
              <w:jc w:val="center"/>
            </w:pPr>
            <w:r>
              <w:rPr/>
              <w:t>3</w:t>
            </w:r>
          </w:p>
        </w:tc>
        <w:tc>
          <w:tcPr>
            <w:tcW w:type="dxa" w:w="2076"/>
          </w:tcPr>
          <w:p>
            <w:pPr>
              <w:jc w:val="left"/>
            </w:pPr>
            <w:r>
              <w:rPr/>
              <w:t>售后要求</w:t>
            </w:r>
          </w:p>
        </w:tc>
        <w:tc>
          <w:tcPr>
            <w:tcW w:type="dxa" w:w="2076"/>
          </w:tcPr>
          <w:p>
            <w:pPr>
              <w:jc w:val="left"/>
            </w:pPr>
            <w:r>
              <w:rPr/>
              <w:t>报修响应时间2小时，到场维修时间不超过24小时，保修期内，每年提供2次免费的设备维护和保养，终身免费维修，仅收取零配件更换费用。</w:t>
            </w:r>
          </w:p>
        </w:tc>
      </w:tr>
      <w:tr>
        <w:tc>
          <w:tcPr>
            <w:tcW w:type="dxa" w:w="2076"/>
          </w:tcPr>
          <w:p>
            <w:pPr>
              <w:jc w:val="center"/>
            </w:pPr>
          </w:p>
        </w:tc>
        <w:tc>
          <w:tcPr>
            <w:tcW w:type="dxa" w:w="2076"/>
          </w:tcPr>
          <w:p>
            <w:pPr>
              <w:jc w:val="center"/>
            </w:pPr>
            <w:r>
              <w:rPr/>
              <w:t>4</w:t>
            </w:r>
          </w:p>
        </w:tc>
        <w:tc>
          <w:tcPr>
            <w:tcW w:type="dxa" w:w="2076"/>
          </w:tcPr>
          <w:p>
            <w:pPr>
              <w:jc w:val="left"/>
            </w:pPr>
            <w:r>
              <w:rPr/>
              <w:t>到货期</w:t>
            </w:r>
          </w:p>
        </w:tc>
        <w:tc>
          <w:tcPr>
            <w:tcW w:type="dxa" w:w="2076"/>
          </w:tcPr>
          <w:p>
            <w:pPr>
              <w:jc w:val="left"/>
            </w:pPr>
            <w:r>
              <w:rPr/>
              <w:t>合同签订后15个工作日内。</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手术器械</w:t>
            </w:r>
          </w:p>
        </w:tc>
        <w:tc>
          <w:tcPr>
            <w:tcW w:type="dxa" w:w="831"/>
          </w:tcPr>
          <w:p>
            <w:pPr>
              <w:jc w:val="left"/>
            </w:pPr>
            <w:r>
              <w:rPr/>
              <w:t>全碳纤维脊柱电动手术台</w:t>
            </w:r>
          </w:p>
        </w:tc>
        <w:tc>
          <w:tcPr>
            <w:tcW w:type="dxa" w:w="831"/>
          </w:tcPr>
          <w:p>
            <w:pPr>
              <w:jc w:val="left"/>
            </w:pPr>
            <w:r>
              <w:rPr/>
              <w:t>套</w:t>
            </w:r>
          </w:p>
        </w:tc>
        <w:tc>
          <w:tcPr>
            <w:tcW w:type="dxa" w:w="831"/>
          </w:tcPr>
          <w:p>
            <w:pPr>
              <w:jc w:val="right"/>
            </w:pPr>
            <w:r>
              <w:rPr/>
              <w:t>1.00</w:t>
            </w:r>
          </w:p>
        </w:tc>
        <w:tc>
          <w:tcPr>
            <w:tcW w:type="dxa" w:w="831"/>
          </w:tcPr>
          <w:p>
            <w:pPr>
              <w:jc w:val="right"/>
            </w:pPr>
            <w:r>
              <w:rPr/>
              <w:t>2,995,000.00</w:t>
            </w:r>
          </w:p>
        </w:tc>
        <w:tc>
          <w:tcPr>
            <w:tcW w:type="dxa" w:w="831"/>
          </w:tcPr>
          <w:p>
            <w:pPr>
              <w:jc w:val="right"/>
            </w:pPr>
            <w:r>
              <w:rPr/>
              <w:t>2,995,000.00</w:t>
            </w:r>
          </w:p>
        </w:tc>
        <w:tc>
          <w:tcPr>
            <w:tcW w:type="dxa" w:w="831"/>
          </w:tcPr>
          <w:p>
            <w:r>
              <w:rPr/>
              <w:t>工业</w:t>
            </w:r>
          </w:p>
        </w:tc>
        <w:tc>
          <w:tcPr>
            <w:tcW w:type="dxa" w:w="831"/>
          </w:tcPr>
          <w:p>
            <w:r>
              <w:rPr/>
              <w:t>详见附表一</w:t>
            </w:r>
          </w:p>
        </w:tc>
      </w:tr>
    </w:tbl>
    <w:p/>
    <w:p>
      <w:r>
        <w:rPr>
          <w:b/>
        </w:rPr>
        <w:t>附表</w:t>
      </w:r>
      <w:r>
        <w:rPr>
          <w:b/>
        </w:rPr>
        <w:t>一</w:t>
      </w:r>
      <w:r>
        <w:rPr>
          <w:b/>
        </w:rPr>
        <w:t>：</w:t>
      </w:r>
      <w:r>
        <w:rPr>
          <w:b/>
        </w:rPr>
        <w:t>全碳纤维脊柱电动手术台</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一、设备基本功能参数：</w:t>
            </w:r>
          </w:p>
          <w:p>
            <w:pPr>
              <w:jc w:val="both"/>
            </w:pPr>
            <w:r>
              <w:rPr>
                <w:sz w:val="21"/>
              </w:rPr>
              <w:t>1.</w:t>
            </w:r>
            <w:r>
              <w:rPr>
                <w:sz w:val="21"/>
              </w:rPr>
              <w:t>主机结构：双主机中空设计，床面下方完全开放，术中影像设备操作完全无障碍进入；</w:t>
            </w:r>
            <w:r>
              <w:rPr>
                <w:b/>
                <w:sz w:val="21"/>
              </w:rPr>
              <w:t>该参数须提供技术参数响应证明函并加盖投标人或制造商公章。</w:t>
            </w:r>
          </w:p>
          <w:p>
            <w:pPr>
              <w:jc w:val="both"/>
            </w:pPr>
            <w:r>
              <w:rPr>
                <w:sz w:val="21"/>
              </w:rPr>
              <w:t>2.</w:t>
            </w:r>
            <w:r>
              <w:rPr>
                <w:sz w:val="21"/>
              </w:rPr>
              <w:t>驱动机制：全电动控制，不得是液压驱动或电动与液压联合驱动，防止设备使用后期的液压渗漏维护风险。</w:t>
            </w:r>
          </w:p>
          <w:p>
            <w:pPr>
              <w:jc w:val="both"/>
            </w:pPr>
            <w:r>
              <w:rPr>
                <w:sz w:val="21"/>
              </w:rPr>
              <w:t>3.</w:t>
            </w:r>
            <w:r>
              <w:rPr>
                <w:sz w:val="21"/>
              </w:rPr>
              <w:t>电机品牌：采用全球顶级电机品牌，使用寿命</w:t>
            </w:r>
            <w:r>
              <w:rPr>
                <w:sz w:val="21"/>
              </w:rPr>
              <w:t>20</w:t>
            </w:r>
            <w:r>
              <w:rPr>
                <w:sz w:val="21"/>
              </w:rPr>
              <w:t>年以上。</w:t>
            </w:r>
          </w:p>
          <w:p>
            <w:pPr>
              <w:jc w:val="both"/>
            </w:pPr>
            <w:r>
              <w:rPr>
                <w:sz w:val="21"/>
              </w:rPr>
              <w:t>4.</w:t>
            </w:r>
            <w:r>
              <w:rPr>
                <w:sz w:val="21"/>
              </w:rPr>
              <w:t>内置电池：具备内置机身储蓄电池，完全通过电池供电驱动设备，防止使用中意外停电造成设备故障，电池容量</w:t>
            </w:r>
            <w:r>
              <w:rPr>
                <w:sz w:val="21"/>
              </w:rPr>
              <w:t>24V/12AH</w:t>
            </w:r>
            <w:r>
              <w:rPr>
                <w:sz w:val="21"/>
              </w:rPr>
              <w:t>。</w:t>
            </w:r>
          </w:p>
          <w:p>
            <w:pPr>
              <w:jc w:val="both"/>
            </w:pPr>
            <w:r>
              <w:rPr>
                <w:sz w:val="21"/>
              </w:rPr>
              <w:t xml:space="preserve">5. </w:t>
            </w:r>
            <w:r>
              <w:rPr>
                <w:sz w:val="21"/>
              </w:rPr>
              <w:t>床面材质：完全由碳纤维复合材料制造，表面为虫纹耐磨的磨砂处理工艺，</w:t>
            </w:r>
            <w:r>
              <w:rPr>
                <w:sz w:val="21"/>
              </w:rPr>
              <w:t>100%</w:t>
            </w:r>
            <w:r>
              <w:rPr>
                <w:sz w:val="21"/>
              </w:rPr>
              <w:t>可透</w:t>
            </w:r>
            <w:r>
              <w:rPr>
                <w:sz w:val="21"/>
              </w:rPr>
              <w:t>X</w:t>
            </w:r>
            <w:r>
              <w:rPr>
                <w:sz w:val="21"/>
              </w:rPr>
              <w:t>光，经久耐磨不易起倒刺；</w:t>
            </w:r>
            <w:r>
              <w:rPr>
                <w:b/>
                <w:sz w:val="21"/>
              </w:rPr>
              <w:t>该参数须提供技术参数响应证明函并加盖制造商公章。</w:t>
            </w:r>
          </w:p>
          <w:p>
            <w:pPr>
              <w:jc w:val="both"/>
            </w:pPr>
            <w:r>
              <w:rPr>
                <w:sz w:val="21"/>
              </w:rPr>
              <w:t xml:space="preserve">6. </w:t>
            </w:r>
            <w:r>
              <w:rPr>
                <w:sz w:val="21"/>
              </w:rPr>
              <w:t>配件材质：完全由碳纤维复合材料和可透视材料制造，胸垫、支撑垫、腿板等均无金属螺钉、弹簧等结构，术中正侧位</w:t>
            </w:r>
            <w:r>
              <w:rPr>
                <w:sz w:val="21"/>
              </w:rPr>
              <w:t>X</w:t>
            </w:r>
            <w:r>
              <w:rPr>
                <w:sz w:val="21"/>
              </w:rPr>
              <w:t>光透视均无伪影，可以实现</w:t>
            </w:r>
            <w:r>
              <w:rPr>
                <w:sz w:val="21"/>
              </w:rPr>
              <w:t>O-Arm</w:t>
            </w:r>
            <w:r>
              <w:rPr>
                <w:sz w:val="21"/>
              </w:rPr>
              <w:t>、</w:t>
            </w:r>
            <w:r>
              <w:rPr>
                <w:sz w:val="21"/>
              </w:rPr>
              <w:t>3D-C</w:t>
            </w:r>
            <w:r>
              <w:rPr>
                <w:sz w:val="21"/>
              </w:rPr>
              <w:t>型臂环形扫描操作，</w:t>
            </w:r>
            <w:r>
              <w:rPr>
                <w:b/>
                <w:sz w:val="21"/>
              </w:rPr>
              <w:t>该参数须提供髋垫与手术台面连接部位的实拍图片，以验证投标产品对该参数的实质性响应，并承诺在合同签署前，接受采购方要求提供髋垫样品验证无金属构造，及承诺在货物交付验收时，如采购方发现投标产品髋垫、腿板有金属构造而未实际响应该参数情况下，接受采购方要求的退货及索赔；</w:t>
            </w:r>
            <w:r>
              <w:rPr>
                <w:b/>
                <w:sz w:val="21"/>
              </w:rPr>
              <w:t>该承诺须制造商与投标人共同出具参数实质响应的证明文件并加盖制造商与投标人公章。</w:t>
            </w:r>
          </w:p>
          <w:p>
            <w:pPr>
              <w:jc w:val="both"/>
            </w:pPr>
            <w:r>
              <w:rPr>
                <w:sz w:val="21"/>
              </w:rPr>
              <w:t>7.</w:t>
            </w:r>
            <w:r>
              <w:rPr>
                <w:sz w:val="21"/>
              </w:rPr>
              <w:t>床面长度：≥</w:t>
            </w:r>
            <w:r>
              <w:rPr>
                <w:sz w:val="21"/>
              </w:rPr>
              <w:t>2130mm</w:t>
            </w:r>
            <w:r>
              <w:rPr>
                <w:sz w:val="21"/>
              </w:rPr>
              <w:t>。</w:t>
            </w:r>
          </w:p>
          <w:p>
            <w:pPr>
              <w:jc w:val="both"/>
            </w:pPr>
            <w:r>
              <w:rPr>
                <w:sz w:val="21"/>
              </w:rPr>
              <w:t>8.</w:t>
            </w:r>
            <w:r>
              <w:rPr>
                <w:sz w:val="21"/>
              </w:rPr>
              <w:t>床面宽度（脊柱床面）：≤</w:t>
            </w:r>
            <w:r>
              <w:rPr>
                <w:sz w:val="21"/>
              </w:rPr>
              <w:t>430mm</w:t>
            </w:r>
            <w:r>
              <w:rPr>
                <w:sz w:val="21"/>
              </w:rPr>
              <w:t>。</w:t>
            </w:r>
          </w:p>
          <w:p>
            <w:pPr>
              <w:jc w:val="both"/>
            </w:pPr>
            <w:r>
              <w:rPr>
                <w:sz w:val="21"/>
              </w:rPr>
              <w:t xml:space="preserve">9. </w:t>
            </w:r>
            <w:r>
              <w:rPr>
                <w:sz w:val="21"/>
              </w:rPr>
              <w:t>纵向倾斜（头倾</w:t>
            </w:r>
            <w:r>
              <w:rPr>
                <w:sz w:val="21"/>
              </w:rPr>
              <w:t>/</w:t>
            </w:r>
            <w:r>
              <w:rPr>
                <w:sz w:val="21"/>
              </w:rPr>
              <w:t>脚倾）：≥</w:t>
            </w:r>
            <w:r>
              <w:rPr>
                <w:sz w:val="21"/>
              </w:rPr>
              <w:t>10</w:t>
            </w:r>
            <w:r>
              <w:rPr>
                <w:sz w:val="21"/>
              </w:rPr>
              <w:t>°。</w:t>
            </w:r>
          </w:p>
          <w:p>
            <w:pPr>
              <w:jc w:val="both"/>
            </w:pPr>
            <w:r>
              <w:rPr>
                <w:sz w:val="21"/>
              </w:rPr>
              <w:t xml:space="preserve">10. </w:t>
            </w:r>
            <w:r>
              <w:rPr>
                <w:sz w:val="21"/>
              </w:rPr>
              <w:t>横向倾斜（左倾</w:t>
            </w:r>
            <w:r>
              <w:rPr>
                <w:sz w:val="21"/>
              </w:rPr>
              <w:t>/</w:t>
            </w:r>
            <w:r>
              <w:rPr>
                <w:sz w:val="21"/>
              </w:rPr>
              <w:t>右倾）：≥</w:t>
            </w:r>
            <w:r>
              <w:rPr>
                <w:sz w:val="21"/>
              </w:rPr>
              <w:t>25</w:t>
            </w:r>
            <w:r>
              <w:rPr>
                <w:sz w:val="21"/>
              </w:rPr>
              <w:t>°。</w:t>
            </w:r>
          </w:p>
          <w:p>
            <w:pPr>
              <w:jc w:val="both"/>
            </w:pPr>
            <w:r>
              <w:rPr>
                <w:sz w:val="21"/>
              </w:rPr>
              <w:t xml:space="preserve">11. </w:t>
            </w:r>
            <w:r>
              <w:rPr>
                <w:sz w:val="21"/>
              </w:rPr>
              <w:t>床面高度（电动可调）：</w:t>
            </w:r>
            <w:r>
              <w:rPr>
                <w:sz w:val="21"/>
              </w:rPr>
              <w:t>640mm</w:t>
            </w:r>
            <w:r>
              <w:rPr>
                <w:sz w:val="21"/>
              </w:rPr>
              <w:t>—</w:t>
            </w:r>
            <w:r>
              <w:rPr>
                <w:sz w:val="21"/>
              </w:rPr>
              <w:t>1210mm</w:t>
            </w:r>
            <w:r>
              <w:rPr>
                <w:sz w:val="21"/>
              </w:rPr>
              <w:t>。</w:t>
            </w:r>
          </w:p>
          <w:p>
            <w:pPr>
              <w:jc w:val="both"/>
            </w:pPr>
            <w:r>
              <w:rPr>
                <w:sz w:val="21"/>
              </w:rPr>
              <w:t xml:space="preserve">12. </w:t>
            </w:r>
            <w:r>
              <w:rPr>
                <w:sz w:val="21"/>
              </w:rPr>
              <w:t>台面旋转：</w:t>
            </w:r>
            <w:r>
              <w:rPr>
                <w:sz w:val="21"/>
              </w:rPr>
              <w:t>360</w:t>
            </w:r>
            <w:r>
              <w:rPr>
                <w:sz w:val="21"/>
              </w:rPr>
              <w:t>°。</w:t>
            </w:r>
          </w:p>
          <w:p>
            <w:pPr>
              <w:jc w:val="both"/>
            </w:pPr>
            <w:r>
              <w:rPr>
                <w:b/>
                <w:sz w:val="21"/>
              </w:rPr>
              <w:t>二、脊柱临床应用参数：</w:t>
            </w:r>
          </w:p>
          <w:p>
            <w:pPr>
              <w:jc w:val="both"/>
            </w:pPr>
            <w:r>
              <w:rPr>
                <w:sz w:val="21"/>
              </w:rPr>
              <w:t>1.</w:t>
            </w:r>
            <w:r>
              <w:rPr>
                <w:sz w:val="21"/>
              </w:rPr>
              <w:t>满足骨科脊柱影像手术的颈椎手术、胸腰段手术和腰椎手术不同体位固定方式要求。</w:t>
            </w:r>
          </w:p>
          <w:p>
            <w:pPr>
              <w:jc w:val="both"/>
            </w:pPr>
            <w:r>
              <w:rPr>
                <w:sz w:val="21"/>
              </w:rPr>
              <w:t>2.</w:t>
            </w:r>
            <w:r>
              <w:rPr>
                <w:sz w:val="21"/>
              </w:rPr>
              <w:t>满足骨科脊柱影像后路手术时，保持患者腹部悬空的腹部减压体位固定要求。</w:t>
            </w:r>
          </w:p>
          <w:p>
            <w:pPr>
              <w:jc w:val="both"/>
            </w:pPr>
            <w:r>
              <w:rPr>
                <w:sz w:val="21"/>
              </w:rPr>
              <w:t>3.</w:t>
            </w:r>
            <w:r>
              <w:rPr>
                <w:sz w:val="21"/>
              </w:rPr>
              <w:t>满足脊柱影像胸椎手术、腰椎手术的屈髋屈膝</w:t>
            </w:r>
            <w:r>
              <w:rPr>
                <w:sz w:val="21"/>
              </w:rPr>
              <w:t>90</w:t>
            </w:r>
            <w:r>
              <w:rPr>
                <w:sz w:val="21"/>
              </w:rPr>
              <w:t>度跪卧式体位固定要求。</w:t>
            </w:r>
          </w:p>
          <w:p>
            <w:pPr>
              <w:jc w:val="both"/>
            </w:pPr>
            <w:r>
              <w:rPr>
                <w:sz w:val="21"/>
              </w:rPr>
              <w:t>4.</w:t>
            </w:r>
            <w:r>
              <w:rPr>
                <w:sz w:val="21"/>
              </w:rPr>
              <w:t>满足颈椎后路手术的术中牵引操作要求：通过第三方头架对头颅进行多方向固定后，联合颈椎系统的精密机械轴承控制与专用牵引通道，利用砝码或沙袋实现颈椎各个角度固定后的无阻尼的恒定力水平牵引，该参数须提供设备操作图示证明，并接受设备实际交付时临床验证不满足该参数，承诺接受设备到货后客户无责退货；</w:t>
            </w:r>
            <w:r>
              <w:rPr>
                <w:b/>
                <w:sz w:val="21"/>
              </w:rPr>
              <w:t>该承诺须制造商与投标人共同出具参数实质响应的证明文件并加盖制造商与投标人公章。</w:t>
            </w:r>
          </w:p>
          <w:p>
            <w:pPr>
              <w:jc w:val="both"/>
            </w:pPr>
            <w:r>
              <w:rPr>
                <w:sz w:val="21"/>
              </w:rPr>
              <w:t>5.</w:t>
            </w:r>
            <w:r>
              <w:rPr>
                <w:sz w:val="21"/>
              </w:rPr>
              <w:t>具备碳纤维仰卧位床面功能，可通过不更换翻身台面方式，在脊柱台面快速实现俯卧位和仰卧位手术患者的床面转换，以便实现开放性创伤、关节置换手术、影像介入手术、常规普外科手术操作要求；</w:t>
            </w:r>
            <w:r>
              <w:rPr>
                <w:b/>
                <w:sz w:val="21"/>
              </w:rPr>
              <w:t>该参数须提供技术参数响应证明函并加盖制造商公章。</w:t>
            </w:r>
          </w:p>
          <w:p>
            <w:pPr>
              <w:jc w:val="both"/>
            </w:pPr>
            <w:r>
              <w:rPr>
                <w:sz w:val="21"/>
              </w:rPr>
              <w:t>6.</w:t>
            </w:r>
            <w:r>
              <w:rPr>
                <w:sz w:val="21"/>
              </w:rPr>
              <w:t>具备颈椎前路手术的术中牵引功能：可通过牵引功能套件并与第三方头架对头颅的固定后，与精密机械轴承的联合控制，实现无阻尼的安全牵引模式；</w:t>
            </w:r>
            <w:r>
              <w:rPr>
                <w:b/>
                <w:sz w:val="21"/>
              </w:rPr>
              <w:t>该参数须提供技术参数响应证明函并加盖制造商公章。</w:t>
            </w:r>
          </w:p>
          <w:p>
            <w:pPr>
              <w:jc w:val="both"/>
            </w:pPr>
            <w:r>
              <w:rPr>
                <w:sz w:val="21"/>
              </w:rPr>
              <w:t>7.具备胸腰椎手术的术中椎间隙可调功能：可通过碳纤维双支撑板设计，能使病人腹部保持悬空，减轻脊柱俯卧位手术体位的腹主动脉受压，减少术中出血，定位器支撑间隙可根据病人体型进行术前适应性调整，满足不同体型患者手术应用；定位器弓可通过多功能手柄进行术中的屈曲角度调整，方便术中脊柱胸腰椎减压和术业完全暴露操作；</w:t>
            </w:r>
            <w:r>
              <w:rPr>
                <w:b/>
                <w:sz w:val="21"/>
              </w:rPr>
              <w:t>该参数须提供技术参数响应证明函并加盖制造商公章。</w:t>
            </w:r>
          </w:p>
          <w:p>
            <w:pPr>
              <w:jc w:val="both"/>
            </w:pPr>
            <w:r>
              <w:rPr>
                <w:sz w:val="21"/>
              </w:rPr>
              <w:t xml:space="preserve">8. </w:t>
            </w:r>
            <w:r>
              <w:rPr>
                <w:sz w:val="21"/>
              </w:rPr>
              <w:t>具备三种头部固定的可选择方式以应对各种不同脊柱手术的头部固定要求，</w:t>
            </w:r>
            <w:r>
              <w:rPr>
                <w:b/>
                <w:sz w:val="21"/>
              </w:rPr>
              <w:t>该参数须提供技术参数响应证明函并加盖制造商公章：</w:t>
            </w:r>
          </w:p>
          <w:p>
            <w:pPr>
              <w:ind w:firstLine="420"/>
              <w:jc w:val="both"/>
            </w:pPr>
            <w:r>
              <w:rPr>
                <w:sz w:val="21"/>
              </w:rPr>
              <w:t>8.1.</w:t>
            </w:r>
            <w:r>
              <w:rPr>
                <w:sz w:val="21"/>
              </w:rPr>
              <w:t>通过预留接口连接第三方马蹄形头托架实现头部固定；</w:t>
            </w:r>
          </w:p>
          <w:p>
            <w:pPr>
              <w:ind w:firstLine="420"/>
              <w:jc w:val="both"/>
            </w:pPr>
            <w:r>
              <w:rPr>
                <w:sz w:val="21"/>
              </w:rPr>
              <w:t>8.2.</w:t>
            </w:r>
            <w:r>
              <w:rPr>
                <w:sz w:val="21"/>
              </w:rPr>
              <w:t>通过可透视面板与手术室现有各种规格的面托支撑实现头部固定；</w:t>
            </w:r>
          </w:p>
          <w:p>
            <w:pPr>
              <w:ind w:firstLine="420"/>
              <w:jc w:val="both"/>
            </w:pPr>
            <w:r>
              <w:rPr>
                <w:sz w:val="21"/>
              </w:rPr>
              <w:t>8.3.</w:t>
            </w:r>
            <w:r>
              <w:rPr>
                <w:sz w:val="21"/>
              </w:rPr>
              <w:t>通过高级可视头部固定功能模块实现头部固定及麻醉状态观测。</w:t>
            </w:r>
          </w:p>
          <w:p>
            <w:pPr>
              <w:jc w:val="both"/>
            </w:pPr>
            <w:r>
              <w:rPr>
                <w:b/>
                <w:sz w:val="21"/>
              </w:rPr>
              <w:t>三、其他临床拓展参数：</w:t>
            </w:r>
          </w:p>
          <w:p>
            <w:pPr>
              <w:jc w:val="both"/>
            </w:pPr>
            <w:r>
              <w:rPr>
                <w:sz w:val="21"/>
              </w:rPr>
              <w:t>1.</w:t>
            </w:r>
            <w:r>
              <w:rPr>
                <w:sz w:val="21"/>
              </w:rPr>
              <w:t>具备骨科机器人引导下的骨盆创伤重建手术功能接口，可通过选配骨盆远程牵引控制功能模块，采用同心圆远程机械控制牵引模式，以便实现机器人引导下复杂的骨盆创伤手术精准前牵引操作要求，</w:t>
            </w:r>
            <w:r>
              <w:rPr>
                <w:b/>
                <w:sz w:val="21"/>
              </w:rPr>
              <w:t>该参数须提供设备印刷彩页图示证明及技术参数响应证明函并加盖制造商公章。</w:t>
            </w:r>
          </w:p>
          <w:p>
            <w:pPr>
              <w:jc w:val="both"/>
            </w:pPr>
            <w:r>
              <w:rPr>
                <w:sz w:val="21"/>
              </w:rPr>
              <w:t>2.</w:t>
            </w:r>
            <w:r>
              <w:rPr>
                <w:sz w:val="21"/>
              </w:rPr>
              <w:t>具备碳纤维下肢创伤牵引复位手术的牵引功能接口，可通过选配创伤牵引床面套件可实现下肢创伤手术的闭合性牵引复位手术（譬如股骨髓内钉、胫骨髓内钉等）操作要求，</w:t>
            </w:r>
            <w:r>
              <w:rPr>
                <w:b/>
                <w:sz w:val="21"/>
              </w:rPr>
              <w:t>该参数须提供设备印刷彩页图示证明及技术参数响应证明函并加盖制造商公章。</w:t>
            </w:r>
          </w:p>
          <w:p>
            <w:pPr>
              <w:jc w:val="both"/>
            </w:pPr>
            <w:r>
              <w:rPr>
                <w:sz w:val="21"/>
              </w:rPr>
              <w:t xml:space="preserve">3. </w:t>
            </w:r>
            <w:r>
              <w:rPr>
                <w:sz w:val="21"/>
              </w:rPr>
              <w:t>具备脊柱侧卧位旋转台面功能接口，可通过选配</w:t>
            </w:r>
            <w:r>
              <w:rPr>
                <w:sz w:val="21"/>
              </w:rPr>
              <w:t>24cm</w:t>
            </w:r>
            <w:r>
              <w:rPr>
                <w:sz w:val="21"/>
              </w:rPr>
              <w:t>侧路旋转手术台面与手术台的旋转，快速、安全实现脊柱全角度倾斜手术操作要求；</w:t>
            </w:r>
            <w:r>
              <w:rPr>
                <w:b/>
                <w:sz w:val="21"/>
              </w:rPr>
              <w:t>该参数须提供技术参数响应证明函并加盖制造商公章。</w:t>
            </w:r>
          </w:p>
          <w:p>
            <w:pPr>
              <w:jc w:val="both"/>
            </w:pPr>
            <w:r>
              <w:rPr>
                <w:sz w:val="21"/>
              </w:rPr>
              <w:t>4.</w:t>
            </w:r>
            <w:r>
              <w:rPr>
                <w:sz w:val="21"/>
              </w:rPr>
              <w:t>具备温感减压的患者皮肤接触护理功能，可通过选择脊柱减压功能模块，降低长时间俯卧位患者的手术压疮发生几率。</w:t>
            </w:r>
          </w:p>
          <w:tbl>
            <w:tblPr>
              <w:tblInd w:type="dxa" w:w="105"/>
              <w:tblBorders>
                <w:top w:val="none" w:color="000000" w:sz="4"/>
                <w:left w:val="none" w:color="000000" w:sz="4"/>
                <w:bottom w:val="none" w:color="000000" w:sz="4"/>
                <w:right w:val="none" w:color="000000" w:sz="4"/>
                <w:insideH w:val="none"/>
                <w:insideV w:val="none"/>
              </w:tblBorders>
            </w:tblPr>
            <w:tblGrid>
              <w:gridCol w:w="486"/>
              <w:gridCol w:w="5112"/>
            </w:tblGrid>
            <w:tr>
              <w:tc>
                <w:tcPr>
                  <w:tcW w:type="dxa" w:w="5598"/>
                  <w:gridSpan w:val="2"/>
                  <w:tcBorders>
                    <w:top w:val="single" w:color="000000" w:sz="4"/>
                    <w:left w:val="single" w:color="000000" w:sz="4"/>
                    <w:bottom w:val="single" w:color="000000" w:sz="4"/>
                    <w:right w:val="single" w:color="000000" w:sz="4"/>
                  </w:tcBorders>
                  <w:vAlign w:val="top"/>
                </w:tcPr>
                <w:p>
                  <w:pPr>
                    <w:jc w:val="center"/>
                  </w:pPr>
                  <w:r>
                    <w:rPr>
                      <w:b/>
                      <w:sz w:val="28"/>
                    </w:rPr>
                    <w:t>全碳纤维脊柱电动手术台</w:t>
                  </w:r>
                  <w:r>
                    <w:rPr>
                      <w:b/>
                      <w:sz w:val="28"/>
                    </w:rPr>
                    <w:t>配置清单</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112"/>
                  <w:tcBorders>
                    <w:top w:val="single" w:color="000000" w:sz="4"/>
                    <w:left w:val="single" w:color="000000" w:sz="4"/>
                    <w:bottom w:val="single" w:color="000000" w:sz="4"/>
                    <w:right w:val="single" w:color="000000" w:sz="4"/>
                  </w:tcBorders>
                  <w:vAlign w:val="top"/>
                </w:tcPr>
                <w:p>
                  <w:pPr>
                    <w:jc w:val="left"/>
                  </w:pPr>
                  <w:r>
                    <w:rPr>
                      <w:sz w:val="21"/>
                    </w:rPr>
                    <w:t>骨科影像双基座电动手术台</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112"/>
                  <w:tcBorders>
                    <w:top w:val="none" w:color="000000" w:sz="4"/>
                    <w:left w:val="single" w:color="000000" w:sz="4"/>
                    <w:bottom w:val="single" w:color="000000" w:sz="4"/>
                    <w:right w:val="single" w:color="000000" w:sz="4"/>
                  </w:tcBorders>
                  <w:vAlign w:val="top"/>
                </w:tcPr>
                <w:p>
                  <w:pPr>
                    <w:jc w:val="left"/>
                  </w:pPr>
                  <w:r>
                    <w:rPr>
                      <w:sz w:val="21"/>
                    </w:rPr>
                    <w:t>脊柱手术定位系统</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112"/>
                  <w:tcBorders>
                    <w:top w:val="none" w:color="000000" w:sz="4"/>
                    <w:left w:val="single" w:color="000000" w:sz="4"/>
                    <w:bottom w:val="single" w:color="000000" w:sz="4"/>
                    <w:right w:val="single" w:color="000000" w:sz="4"/>
                  </w:tcBorders>
                  <w:vAlign w:val="top"/>
                </w:tcPr>
                <w:p>
                  <w:pPr>
                    <w:jc w:val="left"/>
                  </w:pPr>
                  <w:r>
                    <w:rPr>
                      <w:sz w:val="21"/>
                    </w:rPr>
                    <w:t>脊柱后路温感减压支撑模块</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112"/>
                  <w:tcBorders>
                    <w:top w:val="none" w:color="000000" w:sz="4"/>
                    <w:left w:val="single" w:color="000000" w:sz="4"/>
                    <w:bottom w:val="single" w:color="000000" w:sz="4"/>
                    <w:right w:val="single" w:color="000000" w:sz="4"/>
                  </w:tcBorders>
                  <w:vAlign w:val="top"/>
                </w:tcPr>
                <w:p>
                  <w:pPr>
                    <w:jc w:val="left"/>
                  </w:pPr>
                  <w:r>
                    <w:rPr>
                      <w:sz w:val="21"/>
                    </w:rPr>
                    <w:t>高级可视头部固定系统</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112"/>
                  <w:tcBorders>
                    <w:top w:val="none" w:color="000000" w:sz="4"/>
                    <w:left w:val="single" w:color="000000" w:sz="4"/>
                    <w:bottom w:val="single" w:color="000000" w:sz="4"/>
                    <w:right w:val="single" w:color="000000" w:sz="4"/>
                  </w:tcBorders>
                  <w:vAlign w:val="top"/>
                </w:tcPr>
                <w:p>
                  <w:pPr>
                    <w:jc w:val="left"/>
                  </w:pPr>
                  <w:r>
                    <w:rPr>
                      <w:sz w:val="21"/>
                    </w:rPr>
                    <w:t>颈椎术中精准牵引功能系统</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112"/>
                  <w:tcBorders>
                    <w:top w:val="none" w:color="000000" w:sz="4"/>
                    <w:left w:val="single" w:color="000000" w:sz="4"/>
                    <w:bottom w:val="single" w:color="000000" w:sz="4"/>
                    <w:right w:val="single" w:color="000000" w:sz="4"/>
                  </w:tcBorders>
                  <w:vAlign w:val="top"/>
                </w:tcPr>
                <w:p>
                  <w:pPr>
                    <w:jc w:val="left"/>
                  </w:pPr>
                  <w:r>
                    <w:rPr>
                      <w:sz w:val="21"/>
                    </w:rPr>
                    <w:t>马蹄形凝胶手术头托架模块</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112"/>
                  <w:tcBorders>
                    <w:top w:val="none" w:color="000000" w:sz="4"/>
                    <w:left w:val="single" w:color="000000" w:sz="4"/>
                    <w:bottom w:val="single" w:color="000000" w:sz="4"/>
                    <w:right w:val="single" w:color="000000" w:sz="4"/>
                  </w:tcBorders>
                  <w:vAlign w:val="top"/>
                </w:tcPr>
                <w:p>
                  <w:pPr>
                    <w:jc w:val="left"/>
                  </w:pPr>
                  <w:r>
                    <w:rPr>
                      <w:sz w:val="21"/>
                    </w:rPr>
                    <w:t>碳纤维腰椎手术体位架模块</w:t>
                  </w:r>
                </w:p>
              </w:tc>
            </w:tr>
            <w:tr>
              <w:tc>
                <w:tcPr>
                  <w:tcW w:type="dxa" w:w="48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112"/>
                  <w:tcBorders>
                    <w:top w:val="none" w:color="000000" w:sz="4"/>
                    <w:left w:val="single" w:color="000000" w:sz="4"/>
                    <w:bottom w:val="single" w:color="000000" w:sz="4"/>
                    <w:right w:val="single" w:color="000000" w:sz="4"/>
                  </w:tcBorders>
                  <w:vAlign w:val="top"/>
                </w:tcPr>
                <w:p>
                  <w:pPr>
                    <w:jc w:val="left"/>
                  </w:pPr>
                  <w:r>
                    <w:rPr>
                      <w:sz w:val="21"/>
                    </w:rPr>
                    <w:t>骨科仰卧位碳纤维手术床面</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 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 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采购包1(全碳纤维脊柱电动手术台)：综合评分法,是指投标文件满足招标文件全部实质性要求，且按照评审因素的量化指标评审得分最高的投标人为中标候选人的评标方法。（最低报价不是中标的唯一依据。）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采购包1（全碳纤维脊柱电动手术台）：</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采购包1（全碳纤维脊柱电动手术台）：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采购包1（全碳纤维脊柱电动手术台）：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采购包1全碳纤维脊柱电动手术台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技术部分58.0分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(20.0分)</w:t>
            </w:r>
          </w:p>
        </w:tc>
        <w:tc>
          <w:tcPr>
            <w:tcW w:type="dxa" w:w="5076"/>
          </w:tcPr>
          <w:p>
            <w:pPr>
              <w:jc w:val="left"/>
            </w:pPr>
            <w:r>
              <w:rPr/>
              <w:t>考核投标人对招标文件第二章《采购需求》中的附表一“具体技术（参数）要求”中所有条款的响应程度（每条条款最小一级序号均以一项计算）： 完全响应技术要求的得20分；每一个负偏离扣2分，本项共20分， 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评委对各投标人提供的安装、检测、验收计划进行评审 。 1、安装、检测、验收计划条理清晰，脉络分明，操作性强，人性化，能体现以人为本、服务至上的售后理念，得15 分； 2、安装、检测、验收计划条理较清晰，脉络较分明，操作性较强，能体现以人为本、服务至上的售后理念，得11分； 3、安装、检测、验收计划条理模糊，脉络较分明，操作性一般，不能体现以人为本、 服务至上的售后理念，得7分； 4、安装、检测、验收计划条理模糊 ，脉络不分明，操作性差，不能体现以人为本、服务至上的售后理念，得 3分； 5、未提供相应计划的不得分。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5、未提供的不得分。</w:t>
            </w:r>
          </w:p>
        </w:tc>
      </w:tr>
      <w:tr>
        <w:tc>
          <w:tcPr>
            <w:tcW w:type="dxa" w:w="922"/>
            <w:gridSpan w:val="2"/>
            <w:vMerge/>
          </w:tcPr>
          <w:p/>
        </w:tc>
        <w:tc>
          <w:tcPr>
            <w:tcW w:type="dxa" w:w="2307"/>
          </w:tcPr>
          <w:p>
            <w:pPr>
              <w:jc w:val="left"/>
            </w:pPr>
            <w:r>
              <w:rPr/>
              <w:t>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评委对各投标人售后及应急措施方案（含保修、维护、服务、技术支持措施计划和承诺，及应急方案等）进行评审。 1、有详细具体可行的保修、维护、服务、技术支持措施计划和承诺，处理问题能力强，售后及保修期内的服务方案优；应急措施方案非常周全、详尽、可行，得 15分； 2、有比较详细具体可行的保修、维护、服务、技术支持措施计划和承诺，售后及保修期内的服务方案较好；应急措施方案比较周全、详尽、可行，得 11分；   3、保修、维护、服务、技术支持措施计划和承诺可行性一般，售后及保修期内的服务方案一般；应急措施方案可行性一般，得 7分；  4、保修、维护、服务、技术支持措施计划和承诺不太可行，售后及保修期内的服务方案不够具体；应急措施方案不太可行，得3分。  5、未提供方案的不得分。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考核对采购需求中“主要商务要求”中所有小点的响应程度。 完全响应要求的得5 分； 每负偏离一项扣1分，本项5分，扣完为止。</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（以合同签订日期为准）投标人承接的同类项目业绩，每提供一个项目业绩得1分，最多得3分。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 ②环境管理体系认证证书（1分） ③职业健康安全管理体系证书（1分） 注：投标人或所投设备生产厂家具备以上证书，每提供一个证书得1分，满分3分。 提供有效期内的证书复印件并加盖投标人的公章，不按要求提供不得分。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t xml:space="preserve"> </w:t>
      </w:r>
    </w:p>
    <w:p>
      <w:pPr>
        <w:jc w:val="center"/>
      </w:pPr>
      <w:r>
        <w:rPr>
          <w:color w:val="000000"/>
          <w:sz w:val="16"/>
        </w:rPr>
        <w:t>(</w:t>
      </w:r>
      <w:r>
        <w:rPr>
          <w:color w:val="000000"/>
          <w:sz w:val="16"/>
        </w:rPr>
        <w:t>本合同范本仅供参考，中标人与采购人可根据双方的具体要求进行修订，双方所签订的合同不得对招标文件确定的事项和中标人投标文件</w:t>
      </w:r>
      <w:r>
        <w:rPr>
          <w:color w:val="000000"/>
          <w:sz w:val="16"/>
        </w:rPr>
        <w:t>作实质性修改。）</w:t>
      </w:r>
    </w:p>
    <w:p>
      <w:pPr>
        <w:jc w:val="center"/>
      </w:pP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left"/>
      </w:pPr>
      <w:r>
        <w:rPr>
          <w:b/>
          <w:sz w:val="28"/>
        </w:rPr>
        <w:t>合同编号：</w:t>
      </w:r>
      <w:r>
        <w:rPr>
          <w:b/>
          <w:sz w:val="21"/>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ind w:firstLine="1687"/>
        <w:jc w:val="left"/>
      </w:pPr>
      <w:r>
        <w:rPr>
          <w:b/>
          <w:sz w:val="24"/>
        </w:rPr>
        <w:t xml:space="preserve">       项目名称：</w:t>
      </w:r>
      <w:r>
        <w:rPr>
          <w:b/>
          <w:sz w:val="21"/>
          <w:u w:val="single"/>
        </w:rPr>
        <w:t xml:space="preserve">                            </w:t>
      </w:r>
    </w:p>
    <w:p>
      <w:pPr>
        <w:ind w:firstLine="1687"/>
        <w:jc w:val="left"/>
      </w:pPr>
      <w:r>
        <w:rPr>
          <w:b/>
          <w:sz w:val="24"/>
        </w:rPr>
        <w:t xml:space="preserve">       甲       方：</w:t>
      </w:r>
      <w:r>
        <w:rPr>
          <w:b/>
          <w:sz w:val="21"/>
          <w:u w:val="single"/>
        </w:rPr>
        <w:t xml:space="preserve">                            </w:t>
      </w:r>
    </w:p>
    <w:p>
      <w:pPr>
        <w:ind w:firstLine="1687"/>
        <w:jc w:val="left"/>
      </w:pPr>
      <w:r>
        <w:rPr>
          <w:b/>
          <w:sz w:val="24"/>
        </w:rPr>
        <w:t xml:space="preserve">       乙       方：</w:t>
      </w:r>
      <w:r>
        <w:rPr>
          <w:b/>
          <w:sz w:val="21"/>
          <w:u w:val="single"/>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sz w:val="21"/>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801"/>
        <w:gridCol w:w="863"/>
        <w:gridCol w:w="863"/>
        <w:gridCol w:w="1248"/>
        <w:gridCol w:w="1248"/>
        <w:gridCol w:w="909"/>
      </w:tblGrid>
      <w:tr>
        <w:tc>
          <w:tcPr>
            <w:tcW w:type="dxa" w:w="1187"/>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87"/>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801"/>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63"/>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63"/>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248"/>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248"/>
            <w:tcBorders>
              <w:top w:val="single" w:color="000000" w:sz="4"/>
              <w:left w:val="none" w:color="000000" w:sz="4"/>
              <w:bottom w:val="single" w:color="000000" w:sz="4"/>
              <w:right w:val="single" w:color="000000" w:sz="4"/>
            </w:tcBorders>
            <w:vAlign w:val="top"/>
          </w:tcPr>
          <w:p>
            <w:pPr>
              <w:jc w:val="both"/>
            </w:pPr>
            <w:r>
              <w:rPr>
                <w:sz w:val="21"/>
              </w:rPr>
              <w:t>总价（元）</w:t>
            </w:r>
          </w:p>
        </w:tc>
        <w:tc>
          <w:tcPr>
            <w:tcW w:type="dxa" w:w="909"/>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187"/>
            <w:tcBorders>
              <w:top w:val="none" w:color="000000" w:sz="4"/>
              <w:left w:val="single" w:color="000000" w:sz="4"/>
              <w:bottom w:val="single" w:color="000000" w:sz="4"/>
              <w:right w:val="single" w:color="000000" w:sz="4"/>
            </w:tcBorders>
            <w:vAlign w:val="top"/>
          </w:tcPr>
          <w:p>
            <w:pPr>
              <w:jc w:val="both"/>
            </w:pPr>
          </w:p>
        </w:tc>
        <w:tc>
          <w:tcPr>
            <w:tcW w:type="dxa" w:w="1187"/>
            <w:tcBorders>
              <w:top w:val="none" w:color="000000" w:sz="4"/>
              <w:left w:val="none" w:color="000000" w:sz="4"/>
              <w:bottom w:val="single" w:color="000000" w:sz="4"/>
              <w:right w:val="single" w:color="000000" w:sz="4"/>
            </w:tcBorders>
            <w:vAlign w:val="top"/>
          </w:tcPr>
          <w:p>
            <w:pPr>
              <w:ind w:firstLine="200"/>
              <w:jc w:val="both"/>
            </w:pPr>
          </w:p>
        </w:tc>
        <w:tc>
          <w:tcPr>
            <w:tcW w:type="dxa" w:w="801"/>
            <w:tcBorders>
              <w:top w:val="none" w:color="000000" w:sz="4"/>
              <w:left w:val="none" w:color="000000" w:sz="4"/>
              <w:bottom w:val="single" w:color="000000" w:sz="4"/>
              <w:right w:val="single" w:color="000000" w:sz="4"/>
            </w:tcBorders>
            <w:vAlign w:val="top"/>
          </w:tcPr>
          <w:p>
            <w:pPr>
              <w:ind w:firstLine="200"/>
              <w:jc w:val="both"/>
            </w:pPr>
          </w:p>
        </w:tc>
        <w:tc>
          <w:tcPr>
            <w:tcW w:type="dxa" w:w="863"/>
            <w:tcBorders>
              <w:top w:val="none" w:color="000000" w:sz="4"/>
              <w:left w:val="none" w:color="000000" w:sz="4"/>
              <w:bottom w:val="single" w:color="000000" w:sz="4"/>
              <w:right w:val="single" w:color="000000" w:sz="4"/>
            </w:tcBorders>
            <w:vAlign w:val="top"/>
          </w:tcPr>
          <w:p>
            <w:pPr>
              <w:ind w:firstLine="200"/>
              <w:jc w:val="both"/>
            </w:pPr>
          </w:p>
        </w:tc>
        <w:tc>
          <w:tcPr>
            <w:tcW w:type="dxa" w:w="863"/>
            <w:tcBorders>
              <w:top w:val="none" w:color="000000" w:sz="4"/>
              <w:left w:val="none" w:color="000000" w:sz="4"/>
              <w:bottom w:val="single" w:color="000000" w:sz="4"/>
              <w:right w:val="single" w:color="000000" w:sz="4"/>
            </w:tcBorders>
            <w:vAlign w:val="top"/>
          </w:tcPr>
          <w:p>
            <w:pPr>
              <w:ind w:firstLine="200"/>
              <w:jc w:val="both"/>
            </w:pPr>
          </w:p>
        </w:tc>
        <w:tc>
          <w:tcPr>
            <w:tcW w:type="dxa" w:w="1248"/>
            <w:tcBorders>
              <w:top w:val="none" w:color="000000" w:sz="4"/>
              <w:left w:val="none" w:color="000000" w:sz="4"/>
              <w:bottom w:val="single" w:color="000000" w:sz="4"/>
              <w:right w:val="single" w:color="000000" w:sz="4"/>
            </w:tcBorders>
            <w:vAlign w:val="top"/>
          </w:tcPr>
          <w:p>
            <w:pPr>
              <w:ind w:firstLine="200"/>
              <w:jc w:val="both"/>
            </w:pPr>
          </w:p>
        </w:tc>
        <w:tc>
          <w:tcPr>
            <w:tcW w:type="dxa" w:w="1248"/>
            <w:tcBorders>
              <w:top w:val="none" w:color="000000" w:sz="4"/>
              <w:left w:val="none" w:color="000000" w:sz="4"/>
              <w:bottom w:val="single" w:color="000000" w:sz="4"/>
              <w:right w:val="single" w:color="000000" w:sz="4"/>
            </w:tcBorders>
            <w:vAlign w:val="top"/>
          </w:tcPr>
          <w:p>
            <w:pPr>
              <w:ind w:firstLine="200"/>
              <w:jc w:val="both"/>
            </w:pPr>
          </w:p>
        </w:tc>
        <w:tc>
          <w:tcPr>
            <w:tcW w:type="dxa" w:w="909"/>
            <w:tcBorders>
              <w:top w:val="none" w:color="000000" w:sz="4"/>
              <w:left w:val="none" w:color="000000" w:sz="4"/>
              <w:bottom w:val="single" w:color="000000" w:sz="4"/>
              <w:right w:val="single" w:color="000000" w:sz="4"/>
            </w:tcBorders>
            <w:vAlign w:val="top"/>
          </w:tcPr>
          <w:p>
            <w:pPr>
              <w:ind w:firstLine="200"/>
              <w:jc w:val="both"/>
            </w:pPr>
          </w:p>
        </w:tc>
      </w:tr>
      <w:tr>
        <w:tc>
          <w:tcPr>
            <w:tcW w:type="dxa" w:w="1187"/>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7119"/>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第二条合同总额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w:t>
      </w:r>
      <w:r>
        <w:rPr>
          <w:b/>
          <w:sz w:val="24"/>
        </w:rPr>
        <w:t>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4"/>
        </w:rPr>
        <w:t>）</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4"/>
        </w:rPr>
        <w:t>）</w:t>
      </w:r>
      <w:r>
        <w:rPr>
          <w:sz w:val="21"/>
        </w:rPr>
        <w:t xml:space="preserve"> </w:t>
      </w:r>
      <w:r>
        <w:rPr>
          <w:sz w:val="24"/>
        </w:rPr>
        <w:t>乙方交货地点：甲方指定地点。</w:t>
      </w:r>
    </w:p>
    <w:p>
      <w:pPr>
        <w:ind w:firstLine="480"/>
        <w:jc w:val="both"/>
      </w:pPr>
      <w:r>
        <w:rPr>
          <w:sz w:val="24"/>
        </w:rPr>
        <w:t>3.</w:t>
      </w:r>
      <w:r>
        <w:rPr>
          <w:sz w:val="24"/>
        </w:rPr>
        <w:t>合同设备的安装调试</w:t>
      </w:r>
    </w:p>
    <w:p>
      <w:pPr>
        <w:ind w:firstLine="480"/>
        <w:jc w:val="both"/>
      </w:pPr>
      <w:r>
        <w:rPr>
          <w:sz w:val="24"/>
        </w:rPr>
        <w:t>（</w:t>
      </w:r>
      <w:r>
        <w:rPr>
          <w:sz w:val="24"/>
        </w:rPr>
        <w:t>1</w:t>
      </w:r>
      <w:r>
        <w:rPr>
          <w:sz w:val="24"/>
        </w:rPr>
        <w:t>）</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4"/>
        </w:rPr>
        <w:t>）</w:t>
      </w:r>
      <w:r>
        <w:rPr>
          <w:sz w:val="21"/>
        </w:rPr>
        <w:t xml:space="preserve"> </w:t>
      </w:r>
      <w:r>
        <w:rPr>
          <w:sz w:val="24"/>
        </w:rPr>
        <w:t>乙方安装时须对各安装场地内的其它设备、设施有良好保护措施。</w:t>
      </w:r>
    </w:p>
    <w:p>
      <w:pPr>
        <w:ind w:firstLine="480"/>
        <w:jc w:val="both"/>
      </w:pPr>
      <w:r>
        <w:rPr>
          <w:sz w:val="24"/>
        </w:rPr>
        <w:t>4.</w:t>
      </w:r>
      <w:r>
        <w:rPr>
          <w:sz w:val="24"/>
        </w:rPr>
        <w:t>设备的验收</w:t>
      </w:r>
    </w:p>
    <w:p>
      <w:pPr>
        <w:ind w:firstLine="480"/>
        <w:jc w:val="both"/>
      </w:pPr>
      <w:r>
        <w:rPr>
          <w:sz w:val="24"/>
        </w:rPr>
        <w:t>（</w:t>
      </w:r>
      <w:r>
        <w:rPr>
          <w:sz w:val="24"/>
        </w:rPr>
        <w:t>1</w:t>
      </w:r>
      <w:r>
        <w:rPr>
          <w:sz w:val="24"/>
        </w:rPr>
        <w:t>）合同设备安装调试完成并移交所有资料文档后，经临床科室试用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4"/>
        </w:rPr>
        <w:t>）</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w:t>
      </w:r>
      <w:r>
        <w:rPr>
          <w:sz w:val="24"/>
        </w:rPr>
        <w:t>）国内产品或合资厂的产品必须具备出厂合格证。</w:t>
      </w:r>
    </w:p>
    <w:p>
      <w:pPr>
        <w:ind w:firstLine="480"/>
        <w:jc w:val="both"/>
      </w:pPr>
      <w:r>
        <w:rPr>
          <w:sz w:val="24"/>
        </w:rPr>
        <w:t>（</w:t>
      </w:r>
      <w:r>
        <w:rPr>
          <w:sz w:val="24"/>
        </w:rPr>
        <w:t>5</w:t>
      </w:r>
      <w:r>
        <w:rPr>
          <w:sz w:val="24"/>
        </w:rPr>
        <w:t>）进口产品必须具备省级（或相当于省级）商检部门的检验证明，及正常报关证明。</w:t>
      </w:r>
    </w:p>
    <w:p>
      <w:pPr>
        <w:ind w:firstLine="480"/>
        <w:jc w:val="both"/>
      </w:pP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第六条质量保证及售后服务</w:t>
      </w:r>
    </w:p>
    <w:p>
      <w:pPr>
        <w:ind w:firstLine="480"/>
        <w:jc w:val="both"/>
      </w:pPr>
      <w:r>
        <w:rPr>
          <w:sz w:val="24"/>
        </w:rPr>
        <w:t>1.</w:t>
      </w:r>
      <w:r>
        <w:rPr>
          <w:sz w:val="24"/>
        </w:rPr>
        <w:t>乙方保证合同设备是全新、未曾使用过的，其质量、规格及技术特征符合合同附件的要求。</w:t>
      </w:r>
    </w:p>
    <w:p>
      <w:pPr>
        <w:ind w:firstLine="480"/>
        <w:jc w:val="both"/>
      </w:pPr>
      <w:r>
        <w:rPr>
          <w:sz w:val="24"/>
        </w:rPr>
        <w:t>2.</w:t>
      </w:r>
      <w:r>
        <w:rPr>
          <w:sz w:val="24"/>
        </w:rPr>
        <w:t>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w:t>
      </w:r>
      <w:r>
        <w:rPr>
          <w:sz w:val="24"/>
        </w:rPr>
        <w:t>货物交付使用后以书面形式承诺维修服务，实行终身维护：</w:t>
      </w:r>
    </w:p>
    <w:p>
      <w:pPr>
        <w:ind w:firstLine="480"/>
        <w:jc w:val="both"/>
      </w:pPr>
      <w:r>
        <w:rPr>
          <w:sz w:val="24"/>
        </w:rPr>
        <w:t>4.</w:t>
      </w:r>
      <w:r>
        <w:rPr>
          <w:sz w:val="24"/>
        </w:rPr>
        <w:t>所有保修服务方式均为乙方上门保修，即由乙方派员到甲方设备使用现场维修，由此产生的一切费用均由乙方承担。</w:t>
      </w:r>
    </w:p>
    <w:p>
      <w:pPr>
        <w:ind w:firstLine="480"/>
        <w:jc w:val="both"/>
      </w:pPr>
      <w:r>
        <w:rPr>
          <w:sz w:val="24"/>
        </w:rPr>
        <w:t>5.</w:t>
      </w:r>
      <w:r>
        <w:rPr>
          <w:sz w:val="24"/>
        </w:rPr>
        <w:t>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w:t>
      </w:r>
      <w:r>
        <w:rPr>
          <w:sz w:val="24"/>
        </w:rPr>
        <w:t>保修期内厂家每年免费回访设备至少</w:t>
      </w:r>
      <w:r>
        <w:rPr>
          <w:sz w:val="21"/>
          <w:u w:val="single"/>
        </w:rPr>
        <w:t xml:space="preserve">    </w:t>
      </w:r>
      <w:r>
        <w:rPr>
          <w:sz w:val="24"/>
        </w:rPr>
        <w:t>次。</w:t>
      </w:r>
    </w:p>
    <w:p>
      <w:pPr>
        <w:ind w:firstLine="480"/>
        <w:jc w:val="both"/>
      </w:pPr>
      <w:r>
        <w:rPr>
          <w:sz w:val="24"/>
        </w:rPr>
        <w:t>8.</w:t>
      </w:r>
      <w:r>
        <w:rPr>
          <w:sz w:val="24"/>
        </w:rPr>
        <w:t>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第七条付款方式及履约保证金</w:t>
      </w:r>
    </w:p>
    <w:p>
      <w:pPr>
        <w:ind w:firstLine="480"/>
        <w:jc w:val="left"/>
      </w:pPr>
      <w:r>
        <w:rPr>
          <w:sz w:val="24"/>
        </w:rPr>
        <w:t>1.</w:t>
      </w:r>
      <w:r>
        <w:rPr>
          <w:sz w:val="24"/>
        </w:rPr>
        <w:t>合同总额支付方式为一次性付款。</w:t>
      </w:r>
    </w:p>
    <w:p>
      <w:pPr>
        <w:ind w:firstLine="480"/>
        <w:jc w:val="left"/>
      </w:pPr>
      <w:r>
        <w:rPr>
          <w:sz w:val="24"/>
        </w:rPr>
        <w:t>2.</w:t>
      </w:r>
      <w:r>
        <w:rPr>
          <w:sz w:val="24"/>
        </w:rPr>
        <w:t>合同签订后</w:t>
      </w:r>
      <w:r>
        <w:rPr>
          <w:sz w:val="21"/>
          <w:u w:val="single"/>
        </w:rPr>
        <w:t xml:space="preserve">    </w:t>
      </w:r>
      <w:r>
        <w:rPr>
          <w:sz w:val="24"/>
        </w:rPr>
        <w:t>日内，乙方向甲方交付合同总额的</w:t>
      </w:r>
      <w:r>
        <w:rPr>
          <w:sz w:val="21"/>
          <w:u w:val="single"/>
        </w:rPr>
        <w:t xml:space="preserve">  </w:t>
      </w:r>
      <w:r>
        <w:rPr>
          <w:sz w:val="24"/>
        </w:rPr>
        <w:t>%</w:t>
      </w:r>
      <w:r>
        <w:rPr>
          <w:sz w:val="24"/>
        </w:rPr>
        <w:t>（即￥</w:t>
      </w:r>
      <w:r>
        <w:rPr>
          <w:sz w:val="21"/>
          <w:u w:val="single"/>
        </w:rPr>
        <w:t xml:space="preserve">     </w:t>
      </w:r>
      <w:r>
        <w:rPr>
          <w:sz w:val="24"/>
        </w:rPr>
        <w:t>）作为履约保证金或提交银行保函。合同质保期满，经甲方考核合格后，履约保证金不计利息一次性返还。若乙方未按时交付履约保证金或提交银行保函，即视为乙方违约，甲方有权终止合同。</w:t>
      </w:r>
    </w:p>
    <w:p>
      <w:pPr>
        <w:ind w:firstLine="480"/>
        <w:jc w:val="left"/>
      </w:pPr>
      <w:r>
        <w:rPr>
          <w:sz w:val="21"/>
        </w:rPr>
        <w:t xml:space="preserve">    </w:t>
      </w:r>
      <w:r>
        <w:rPr>
          <w:sz w:val="24"/>
        </w:rPr>
        <w:t>3.</w:t>
      </w:r>
      <w:r>
        <w:rPr>
          <w:sz w:val="24"/>
        </w:rPr>
        <w:t>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w:t>
      </w:r>
      <w:r>
        <w:rPr>
          <w:sz w:val="24"/>
        </w:rPr>
        <w:t>的合同费用，即￥</w:t>
      </w:r>
      <w:r>
        <w:rPr>
          <w:sz w:val="21"/>
          <w:u w:val="single"/>
        </w:rPr>
        <w:t xml:space="preserve">      </w:t>
      </w:r>
      <w:r>
        <w:rPr>
          <w:sz w:val="24"/>
        </w:rPr>
        <w:t>。</w:t>
      </w:r>
    </w:p>
    <w:p>
      <w:pPr>
        <w:ind w:firstLine="480"/>
        <w:jc w:val="left"/>
      </w:pPr>
      <w:r>
        <w:rPr>
          <w:sz w:val="21"/>
        </w:rPr>
        <w:t xml:space="preserve">    </w:t>
      </w:r>
      <w:r>
        <w:rPr>
          <w:sz w:val="24"/>
        </w:rPr>
        <w:t>4.</w:t>
      </w:r>
      <w:r>
        <w:rPr>
          <w:sz w:val="24"/>
        </w:rPr>
        <w:t>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银行账户：</w:t>
      </w:r>
      <w:r>
        <w:rPr>
          <w:sz w:val="21"/>
          <w:u w:val="single"/>
        </w:rPr>
        <w:t xml:space="preserve">             </w:t>
      </w:r>
    </w:p>
    <w:p>
      <w:pPr>
        <w:ind w:firstLine="480"/>
        <w:jc w:val="left"/>
      </w:pPr>
      <w:r>
        <w:rPr>
          <w:sz w:val="24"/>
        </w:rPr>
        <w:t>开户银行：</w:t>
      </w:r>
      <w:r>
        <w:rPr>
          <w:sz w:val="21"/>
        </w:rPr>
        <w:t xml:space="preserve">            </w:t>
      </w:r>
    </w:p>
    <w:p>
      <w:pPr>
        <w:jc w:val="left"/>
      </w:pPr>
      <w:r>
        <w:rPr>
          <w:sz w:val="21"/>
        </w:rPr>
        <w:t xml:space="preserve"> </w:t>
      </w:r>
    </w:p>
    <w:p>
      <w:pPr>
        <w:jc w:val="both"/>
      </w:pPr>
      <w:r>
        <w:rPr>
          <w:b/>
          <w:sz w:val="24"/>
        </w:rPr>
        <w:t>第八条技术服务</w:t>
      </w:r>
    </w:p>
    <w:p>
      <w:pPr>
        <w:ind w:firstLine="480"/>
        <w:jc w:val="both"/>
      </w:pPr>
      <w:r>
        <w:rPr>
          <w:sz w:val="24"/>
        </w:rPr>
        <w:t>1</w:t>
      </w:r>
      <w:r>
        <w:rPr>
          <w:sz w:val="24"/>
        </w:rPr>
        <w:t>乙方应派员到甲方指定地点配合工作。</w:t>
      </w:r>
    </w:p>
    <w:p>
      <w:pPr>
        <w:ind w:firstLine="480"/>
        <w:jc w:val="both"/>
      </w:pPr>
      <w:r>
        <w:rPr>
          <w:sz w:val="24"/>
        </w:rPr>
        <w:t>2</w:t>
      </w:r>
      <w:r>
        <w:rPr>
          <w:sz w:val="24"/>
        </w:rPr>
        <w:t>乙方按甲方提供的合同执行进度计划，再配合甲方及有关单位，以此做好合同执行进度上的配合工作。</w:t>
      </w:r>
    </w:p>
    <w:p>
      <w:pPr>
        <w:jc w:val="both"/>
      </w:pPr>
    </w:p>
    <w:p>
      <w:pPr>
        <w:jc w:val="both"/>
      </w:pPr>
      <w:r>
        <w:rPr>
          <w:b/>
          <w:sz w:val="24"/>
        </w:rPr>
        <w:t>第九条不可抗力</w:t>
      </w:r>
    </w:p>
    <w:p>
      <w:pPr>
        <w:ind w:firstLine="480"/>
        <w:jc w:val="both"/>
      </w:pPr>
      <w:r>
        <w:rPr>
          <w:sz w:val="24"/>
        </w:rPr>
        <w:t>1.</w:t>
      </w:r>
      <w:r>
        <w:rPr>
          <w:sz w:val="24"/>
        </w:rPr>
        <w:t>不可抗力指战争、严重火灾、洪水、台风、地震等或其它双方认定的不可抗力事件。</w:t>
      </w:r>
    </w:p>
    <w:p>
      <w:pPr>
        <w:ind w:firstLine="480"/>
        <w:jc w:val="both"/>
      </w:pP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第十条索赔</w:t>
      </w:r>
    </w:p>
    <w:p>
      <w:pPr>
        <w:ind w:firstLine="436"/>
        <w:jc w:val="both"/>
      </w:pPr>
      <w:r>
        <w:rPr>
          <w:sz w:val="24"/>
        </w:rPr>
        <w:t>1.</w:t>
      </w:r>
      <w:r>
        <w:rPr>
          <w:sz w:val="24"/>
        </w:rPr>
        <w:t>如有异议，甲方有权根据有关政府部门的检验结果向乙方提出索赔。</w:t>
      </w:r>
    </w:p>
    <w:p>
      <w:pPr>
        <w:ind w:firstLine="436"/>
        <w:jc w:val="both"/>
      </w:pPr>
      <w:r>
        <w:rPr>
          <w:sz w:val="24"/>
        </w:rPr>
        <w:t>2.</w:t>
      </w:r>
      <w:r>
        <w:rPr>
          <w:sz w:val="24"/>
        </w:rPr>
        <w:t>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第十一条违约与处罚</w:t>
      </w:r>
    </w:p>
    <w:p>
      <w:pPr>
        <w:ind w:firstLine="436"/>
        <w:jc w:val="both"/>
      </w:pPr>
      <w:r>
        <w:rPr>
          <w:sz w:val="24"/>
        </w:rPr>
        <w:t>1.</w:t>
      </w:r>
      <w:r>
        <w:rPr>
          <w:sz w:val="24"/>
        </w:rPr>
        <w:t>甲方应依合同规定时间内，向乙方支付货款，每拖延一天乙方可向甲方加收合同总额的</w:t>
      </w:r>
      <w:r>
        <w:rPr>
          <w:sz w:val="21"/>
          <w:u w:val="single"/>
        </w:rPr>
        <w:t xml:space="preserve">    </w:t>
      </w:r>
      <w:r>
        <w:rPr>
          <w:sz w:val="24"/>
        </w:rPr>
        <w:t>‰</w:t>
      </w:r>
      <w:r>
        <w:rPr>
          <w:sz w:val="24"/>
        </w:rPr>
        <w:t>的违约金。</w:t>
      </w:r>
    </w:p>
    <w:p>
      <w:pPr>
        <w:ind w:firstLine="436"/>
        <w:jc w:val="both"/>
      </w:pPr>
      <w:r>
        <w:rPr>
          <w:sz w:val="24"/>
        </w:rPr>
        <w:t>2.</w:t>
      </w:r>
      <w:r>
        <w:rPr>
          <w:sz w:val="24"/>
        </w:rPr>
        <w:t>乙方未能按时交货，每拖延一天，须向甲方支付合同总额的</w:t>
      </w:r>
      <w:r>
        <w:rPr>
          <w:sz w:val="21"/>
          <w:u w:val="single"/>
        </w:rPr>
        <w:t xml:space="preserve">    </w:t>
      </w:r>
      <w:r>
        <w:rPr>
          <w:sz w:val="24"/>
        </w:rPr>
        <w:t>‰</w:t>
      </w:r>
      <w:r>
        <w:rPr>
          <w:sz w:val="24"/>
        </w:rPr>
        <w:t>的违约金。</w:t>
      </w:r>
    </w:p>
    <w:p>
      <w:pPr>
        <w:ind w:firstLine="436"/>
        <w:jc w:val="both"/>
      </w:pPr>
      <w:r>
        <w:rPr>
          <w:sz w:val="24"/>
        </w:rPr>
        <w:t>3.</w:t>
      </w:r>
      <w:r>
        <w:rPr>
          <w:sz w:val="24"/>
        </w:rPr>
        <w:t>乙方交付的货物不符合合同规定的，甲方有权拒收，乙方向甲方支付合同总额的</w:t>
      </w:r>
      <w:r>
        <w:rPr>
          <w:sz w:val="24"/>
        </w:rPr>
        <w:t>10</w:t>
      </w:r>
      <w:r>
        <w:rPr>
          <w:sz w:val="24"/>
        </w:rPr>
        <w:t>％的违约金。</w:t>
      </w:r>
    </w:p>
    <w:p>
      <w:pPr>
        <w:ind w:firstLine="436"/>
        <w:jc w:val="both"/>
      </w:pPr>
      <w:r>
        <w:rPr>
          <w:sz w:val="24"/>
        </w:rPr>
        <w:t>4.</w:t>
      </w:r>
      <w:r>
        <w:rPr>
          <w:sz w:val="24"/>
        </w:rPr>
        <w:t>甲方无正当理由拒收货物的，甲方向乙方支付合同总额的</w:t>
      </w:r>
      <w:r>
        <w:rPr>
          <w:sz w:val="24"/>
        </w:rPr>
        <w:t>10</w:t>
      </w:r>
      <w:r>
        <w:rPr>
          <w:sz w:val="24"/>
        </w:rPr>
        <w:t>％的违约金。</w:t>
      </w:r>
    </w:p>
    <w:p>
      <w:pPr>
        <w:ind w:firstLine="436"/>
        <w:jc w:val="both"/>
      </w:pPr>
      <w:r>
        <w:rPr>
          <w:sz w:val="24"/>
        </w:rPr>
        <w:t>5.</w:t>
      </w:r>
      <w:r>
        <w:rPr>
          <w:sz w:val="21"/>
        </w:rPr>
        <w:t xml:space="preserve"> </w:t>
      </w:r>
      <w:r>
        <w:rPr>
          <w:sz w:val="24"/>
        </w:rPr>
        <w:t>乙方未能交付货物，则向甲方支付合同总额的</w:t>
      </w:r>
      <w:r>
        <w:rPr>
          <w:sz w:val="24"/>
        </w:rPr>
        <w:t>10</w:t>
      </w:r>
      <w:r>
        <w:rPr>
          <w:sz w:val="24"/>
        </w:rPr>
        <w:t>％的违约金。</w:t>
      </w:r>
    </w:p>
    <w:p>
      <w:pPr>
        <w:jc w:val="both"/>
      </w:pPr>
    </w:p>
    <w:p>
      <w:pPr>
        <w:jc w:val="both"/>
      </w:pPr>
      <w:r>
        <w:rPr>
          <w:b/>
          <w:sz w:val="24"/>
        </w:rPr>
        <w:t>第十二条</w:t>
      </w:r>
      <w:r>
        <w:rPr>
          <w:b/>
          <w:sz w:val="24"/>
        </w:rPr>
        <w:t>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第十四条其它</w:t>
      </w:r>
    </w:p>
    <w:p>
      <w:pPr>
        <w:ind w:firstLine="436"/>
        <w:jc w:val="both"/>
      </w:pPr>
      <w:r>
        <w:rPr>
          <w:sz w:val="24"/>
        </w:rPr>
        <w:t>1.</w:t>
      </w:r>
      <w:r>
        <w:rPr>
          <w:sz w:val="24"/>
        </w:rPr>
        <w:t>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w:t>
      </w:r>
      <w:r>
        <w:rPr>
          <w:sz w:val="24"/>
        </w:rPr>
        <w:t>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200"/>
              <w:jc w:val="both"/>
            </w:pP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442000-2022-05241</w:t>
      </w:r>
    </w:p>
    <w:p>
      <w:pPr>
        <w:jc w:val="center"/>
      </w:pPr>
      <w:r>
        <w:rPr>
          <w:b/>
          <w:sz w:val="24"/>
        </w:rPr>
        <w:t>采购项目编号：</w:t>
      </w:r>
      <w:r>
        <w:rPr>
          <w:b/>
          <w:sz w:val="24"/>
        </w:rPr>
        <w:t>442000-2022-05241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中山市人民医院全碳纤维脊柱电动手术台采购项目</w:t>
      </w:r>
      <w:r>
        <w:rPr/>
        <w:t>项目的招标[采购项目编号为：</w:t>
      </w:r>
      <w:r>
        <w:rPr>
          <w:u w:val="single"/>
        </w:rPr>
        <w:t>442000-2022-05241</w:t>
      </w:r>
      <w:r>
        <w:rPr/>
        <w:t>]，我方愿参与投标。</w:t>
      </w:r>
    </w:p>
    <w:p>
      <w:pPr>
        <w:ind w:firstLine="480"/>
      </w:pPr>
      <w:r>
        <w:rPr/>
        <w:t>我方确认收到贵方提供的</w:t>
      </w:r>
      <w:r>
        <w:rPr>
          <w:u w:val="single"/>
        </w:rPr>
        <w:t>中山市人民医院全碳纤维脊柱电动手术台采购项目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中山市人民医院全碳纤维脊柱电动手术台采购项目</w:t>
      </w:r>
      <w:r>
        <w:rPr/>
        <w:t>项目采购[采购项目编号为</w:t>
      </w:r>
      <w:r>
        <w:rPr/>
        <w:t>442000-2022-05241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中山市人民医院全碳纤维脊柱电动手术台采购项目</w:t>
      </w:r>
      <w:r>
        <w:rPr/>
        <w:t>招标中获中标（采购项目编号：</w:t>
      </w:r>
      <w:r>
        <w:rPr/>
        <w:t>442000-2022-05241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中山市人民医院全碳纤维脊柱电动手术台采购项目</w:t>
      </w:r>
      <w:r>
        <w:rPr/>
        <w:t>项目（采购项目编号：</w:t>
      </w:r>
      <w:r>
        <w:rPr/>
        <w:t>442000-2022-05241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