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442000-2022-05326</w:t>
      </w:r>
    </w:p>
    <w:p>
      <w:pPr>
        <w:jc w:val="center"/>
      </w:pPr>
      <w:r>
        <w:rPr>
          <w:b/>
          <w:sz w:val="24"/>
        </w:rPr>
        <w:t>采购项目编号：</w:t>
      </w:r>
      <w:r>
        <w:rPr>
          <w:b/>
          <w:sz w:val="24"/>
        </w:rPr>
        <w:t>442000-2022-05326</w:t>
      </w:r>
    </w:p>
    <w:p>
      <w:pPr>
        <w:jc w:val="center"/>
      </w:pPr>
      <w:r>
        <w:rPr>
          <w:b/>
          <w:sz w:val="24"/>
        </w:rPr>
        <w:t>项目名称：</w:t>
      </w:r>
      <w:r>
        <w:rPr>
          <w:b/>
          <w:sz w:val="24"/>
        </w:rPr>
        <w:t>中山市博爱医院网络安全等级保护整改项目</w:t>
      </w:r>
    </w:p>
    <w:p>
      <w:pPr>
        <w:jc w:val="center"/>
      </w:pPr>
      <w:r>
        <w:rPr>
          <w:b/>
          <w:sz w:val="24"/>
        </w:rPr>
        <w:t>采购人：</w:t>
      </w:r>
      <w:r>
        <w:rPr>
          <w:b/>
          <w:sz w:val="24"/>
        </w:rPr>
        <w:t>中山市博爱医院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中山市博爱医院</w:t>
      </w:r>
      <w:r>
        <w:rPr/>
        <w:t>的委托，采用</w:t>
      </w:r>
      <w:r>
        <w:rPr/>
        <w:t>公开招标</w:t>
      </w:r>
      <w:r>
        <w:rPr/>
        <w:t>方式组织采购</w:t>
      </w:r>
      <w:r>
        <w:rPr/>
        <w:t>中山市博爱医院网络安全等级保护整改项目</w:t>
      </w:r>
      <w:r>
        <w:rPr/>
        <w:t>。欢迎符合资格条件的国内供应商参加投标。</w:t>
      </w:r>
    </w:p>
    <w:p>
      <w:r>
        <w:rPr>
          <w:b/>
          <w:sz w:val="28"/>
        </w:rPr>
        <w:t>一.项目概述</w:t>
      </w:r>
    </w:p>
    <w:p>
      <w:r>
        <w:rPr>
          <w:b/>
          <w:sz w:val="24"/>
        </w:rPr>
        <w:t>1.名称与编号</w:t>
      </w:r>
    </w:p>
    <w:p>
      <w:pPr>
        <w:ind w:firstLine="480"/>
      </w:pPr>
      <w:r>
        <w:rPr/>
        <w:t>项目名称：</w:t>
      </w:r>
      <w:r>
        <w:rPr/>
        <w:t>中山市博爱医院网络安全等级保护整改项目</w:t>
      </w:r>
    </w:p>
    <w:p>
      <w:pPr>
        <w:ind w:firstLine="480"/>
      </w:pPr>
      <w:r>
        <w:rPr/>
        <w:t>采购计划编号：</w:t>
      </w:r>
      <w:r>
        <w:rPr/>
        <w:t>442000-2022-05326</w:t>
      </w:r>
    </w:p>
    <w:p>
      <w:pPr>
        <w:ind w:firstLine="480"/>
      </w:pPr>
      <w:r>
        <w:rPr/>
        <w:t>采购项目编号：</w:t>
      </w:r>
      <w:r>
        <w:rPr/>
        <w:t>442000-2022-05326</w:t>
      </w:r>
    </w:p>
    <w:p>
      <w:pPr>
        <w:ind w:firstLine="480"/>
      </w:pPr>
      <w:r>
        <w:rPr/>
        <w:t>采购方式：</w:t>
      </w:r>
      <w:r>
        <w:rPr/>
        <w:t>公开招标</w:t>
      </w:r>
    </w:p>
    <w:p>
      <w:pPr>
        <w:ind w:firstLine="480"/>
      </w:pPr>
      <w:r>
        <w:rPr/>
        <w:t>预算金额：</w:t>
      </w:r>
      <w:r>
        <w:rPr/>
        <w:t>1,800,000.00</w:t>
      </w:r>
      <w:r>
        <w:rPr/>
        <w:t>元</w:t>
      </w:r>
    </w:p>
    <w:p>
      <w:r>
        <w:rPr>
          <w:b/>
          <w:sz w:val="24"/>
        </w:rPr>
        <w:t>2.项目内容及需求情况（采购项目技术规格、参数及要求）</w:t>
      </w:r>
    </w:p>
    <w:p>
      <w:pPr>
        <w:ind w:firstLine="480"/>
      </w:pPr>
    </w:p>
    <w:p/>
    <w:p>
      <w:r>
        <w:rPr/>
        <w:t>采购包1(中山市博爱医院网络安全等级保护整改项目):</w:t>
      </w:r>
    </w:p>
    <w:p>
      <w:r>
        <w:rPr/>
        <w:t>采购包预算金额：1,800,000.00元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其他货物</w:t>
            </w:r>
          </w:p>
        </w:tc>
        <w:tc>
          <w:tcPr>
            <w:tcW w:type="dxa" w:w="2136"/>
          </w:tcPr>
          <w:p>
            <w:r>
              <w:rPr/>
              <w:t>中山市博爱医院网络安全等级保护整改项目</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合同履行期限：合同签订后45个日历天内完成所有采购货物的供货、安装、调试和验收，并交付给采购人正常使用。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采购包1（中山市博爱医院网络安全等级保护整改项目）：</w:t>
      </w:r>
      <w:r>
        <w:rPr/>
        <w:t>本项目不专门面向中小企业采购。</w:t>
      </w:r>
    </w:p>
    <w:p/>
    <w:p>
      <w:r>
        <w:rPr>
          <w:b/>
          <w:sz w:val="24"/>
        </w:rPr>
        <w:t>3.本项目特定的资格要求：</w:t>
      </w:r>
    </w:p>
    <w:p>
      <w:pPr>
        <w:ind w:firstLine="480"/>
      </w:pPr>
    </w:p>
    <w:p/>
    <w:p>
      <w:r>
        <w:rPr/>
        <w:t>采购包1（中山市博爱医院网络安全等级保护整改项目）：</w:t>
      </w:r>
    </w:p>
    <w:p/>
    <w:p>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中山市博爱医院</w:t>
      </w:r>
    </w:p>
    <w:p>
      <w:pPr>
        <w:ind w:firstLine="480"/>
      </w:pPr>
      <w:r>
        <w:rPr/>
        <w:t>地址：</w:t>
      </w:r>
      <w:r>
        <w:rPr/>
        <w:t>广东省中山市东区城桂路6号</w:t>
      </w:r>
    </w:p>
    <w:p>
      <w:pPr>
        <w:ind w:firstLine="480"/>
      </w:pPr>
      <w:r>
        <w:rPr/>
        <w:t>联系方式：</w:t>
      </w:r>
      <w:r>
        <w:rPr/>
        <w:t>0760-88776203</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both"/>
      </w:pPr>
      <w:r>
        <w:rPr>
          <w:color w:val="000000"/>
          <w:sz w:val="21"/>
        </w:rPr>
        <w:t>1.</w:t>
      </w:r>
      <w:r>
        <w:rPr>
          <w:color w:val="000000"/>
          <w:sz w:val="21"/>
        </w:rPr>
        <w:t>名称与编号</w:t>
      </w:r>
    </w:p>
    <w:p>
      <w:pPr>
        <w:ind w:firstLine="420"/>
        <w:jc w:val="both"/>
      </w:pPr>
      <w:r>
        <w:rPr>
          <w:color w:val="000000"/>
          <w:sz w:val="21"/>
        </w:rPr>
        <w:t xml:space="preserve"> </w:t>
      </w:r>
      <w:r>
        <w:rPr>
          <w:color w:val="000000"/>
          <w:sz w:val="21"/>
        </w:rPr>
        <w:t>项目名称：</w:t>
      </w:r>
      <w:r>
        <w:rPr>
          <w:color w:val="000000"/>
          <w:sz w:val="21"/>
        </w:rPr>
        <w:t>中山市博爱医院网络安全等级保护整改项目</w:t>
      </w:r>
    </w:p>
    <w:p>
      <w:pPr>
        <w:ind w:firstLine="420"/>
        <w:jc w:val="both"/>
      </w:pPr>
      <w:r>
        <w:rPr>
          <w:color w:val="000000"/>
          <w:sz w:val="21"/>
        </w:rPr>
        <w:t xml:space="preserve"> </w:t>
      </w:r>
      <w:r>
        <w:rPr>
          <w:color w:val="000000"/>
          <w:sz w:val="21"/>
        </w:rPr>
        <w:t>采购计划编号：442000-2022-05326</w:t>
      </w:r>
    </w:p>
    <w:p>
      <w:pPr>
        <w:ind w:firstLine="420"/>
        <w:jc w:val="both"/>
      </w:pPr>
      <w:r>
        <w:rPr>
          <w:color w:val="000000"/>
          <w:sz w:val="21"/>
        </w:rPr>
        <w:t xml:space="preserve"> </w:t>
      </w:r>
      <w:r>
        <w:rPr>
          <w:color w:val="000000"/>
          <w:sz w:val="21"/>
        </w:rPr>
        <w:t>采购项目编号：442000-2022-05326</w:t>
      </w:r>
    </w:p>
    <w:p>
      <w:pPr>
        <w:ind w:firstLine="420"/>
        <w:jc w:val="both"/>
      </w:pPr>
      <w:r>
        <w:rPr>
          <w:color w:val="000000"/>
          <w:sz w:val="21"/>
        </w:rPr>
        <w:t xml:space="preserve"> </w:t>
      </w:r>
      <w:r>
        <w:rPr>
          <w:color w:val="000000"/>
          <w:sz w:val="21"/>
        </w:rPr>
        <w:t>采购方式：公开招标</w:t>
      </w:r>
    </w:p>
    <w:p>
      <w:pPr>
        <w:ind w:firstLine="420"/>
        <w:jc w:val="both"/>
      </w:pPr>
      <w:r>
        <w:rPr>
          <w:color w:val="000000"/>
          <w:sz w:val="21"/>
        </w:rPr>
        <w:t xml:space="preserve"> </w:t>
      </w:r>
      <w:r>
        <w:rPr>
          <w:color w:val="000000"/>
          <w:sz w:val="21"/>
        </w:rPr>
        <w:t>预算金额：</w:t>
      </w:r>
      <w:r>
        <w:rPr>
          <w:color w:val="000000"/>
          <w:sz w:val="21"/>
        </w:rPr>
        <w:t>18</w:t>
      </w:r>
      <w:r>
        <w:rPr>
          <w:color w:val="000000"/>
          <w:sz w:val="21"/>
        </w:rPr>
        <w:t>00000.00</w:t>
      </w:r>
    </w:p>
    <w:p>
      <w:pPr>
        <w:ind w:firstLine="420"/>
        <w:jc w:val="both"/>
      </w:pPr>
      <w:r>
        <w:rPr>
          <w:color w:val="000000"/>
          <w:sz w:val="21"/>
        </w:rPr>
        <w:t>2.</w:t>
      </w:r>
      <w:r>
        <w:rPr>
          <w:color w:val="000000"/>
          <w:sz w:val="21"/>
        </w:rPr>
        <w:t>合同履行期限：</w:t>
      </w:r>
      <w:r>
        <w:rPr>
          <w:color w:val="000000"/>
          <w:sz w:val="21"/>
        </w:rPr>
        <w:t>合同签订后</w:t>
      </w:r>
      <w:r>
        <w:rPr>
          <w:color w:val="000000"/>
          <w:sz w:val="21"/>
        </w:rPr>
        <w:t>45</w:t>
      </w:r>
      <w:r>
        <w:rPr>
          <w:color w:val="000000"/>
          <w:sz w:val="21"/>
        </w:rPr>
        <w:t>个日历天内完成所有采购货物的供货、安装、调试和验收，并交付给采购人正常使用。</w:t>
      </w:r>
    </w:p>
    <w:p>
      <w:pPr>
        <w:ind w:firstLine="420"/>
        <w:jc w:val="both"/>
      </w:pPr>
      <w:r>
        <w:rPr>
          <w:color w:val="000000"/>
          <w:sz w:val="21"/>
        </w:rPr>
        <w:t>3.</w:t>
      </w:r>
      <w:r>
        <w:rPr>
          <w:color w:val="000000"/>
          <w:sz w:val="21"/>
        </w:rPr>
        <w:t>投标报价应包括标的设备（原装、全新合格的设备）、相关附件、配套设施、税费、运费、保险费、仓储费、安装调试、培训、质保等的全部费用，投标报价以人民币为货币单位，单价、小计和总价应清楚表达。</w:t>
      </w:r>
    </w:p>
    <w:p>
      <w:pPr>
        <w:ind w:firstLine="420"/>
        <w:jc w:val="both"/>
      </w:pPr>
      <w:r>
        <w:rPr>
          <w:color w:val="000000"/>
          <w:sz w:val="21"/>
        </w:rPr>
        <w:t>4.</w:t>
      </w:r>
      <w:r>
        <w:rPr>
          <w:color w:val="000000"/>
          <w:sz w:val="21"/>
        </w:rPr>
        <w:t>中标人不得以任何方式转包本项目。</w:t>
      </w:r>
    </w:p>
    <w:p>
      <w:pPr>
        <w:ind w:firstLine="420"/>
        <w:jc w:val="both"/>
      </w:pPr>
      <w:r>
        <w:rPr>
          <w:color w:val="000000"/>
          <w:sz w:val="21"/>
        </w:rPr>
        <w:t>5</w:t>
      </w:r>
      <w:r>
        <w:rPr>
          <w:color w:val="000000"/>
          <w:sz w:val="21"/>
        </w:rPr>
        <w:t>.</w:t>
      </w:r>
      <w:r>
        <w:rPr>
          <w:color w:val="000000"/>
          <w:sz w:val="21"/>
        </w:rPr>
        <w:t>本采购包不接受联合体投标。</w:t>
      </w:r>
    </w:p>
    <w:p>
      <w:pPr>
        <w:ind w:firstLine="420"/>
        <w:jc w:val="both"/>
      </w:pPr>
      <w:r>
        <w:rPr>
          <w:color w:val="000000"/>
          <w:sz w:val="21"/>
        </w:rPr>
        <w:t>6</w:t>
      </w:r>
      <w:r>
        <w:rPr>
          <w:color w:val="000000"/>
          <w:sz w:val="21"/>
        </w:rPr>
        <w:t>.</w:t>
      </w:r>
      <w:r>
        <w:rPr>
          <w:color w:val="000000"/>
          <w:sz w:val="21"/>
        </w:rPr>
        <w:t>采购标的对应的中小企业划分标准所属行业：</w:t>
      </w:r>
      <w:r>
        <w:rPr>
          <w:sz w:val="21"/>
        </w:rPr>
        <w:t>软件和信息技术服务业</w:t>
      </w:r>
      <w:r>
        <w:rPr>
          <w:color w:val="000000"/>
          <w:sz w:val="21"/>
        </w:rPr>
        <w:t>。</w:t>
      </w:r>
    </w:p>
    <w:p>
      <w:pPr>
        <w:ind w:firstLine="420"/>
        <w:jc w:val="both"/>
      </w:pPr>
      <w:r>
        <w:rPr>
          <w:color w:val="000000"/>
          <w:sz w:val="21"/>
        </w:rPr>
        <w:t>7</w:t>
      </w:r>
      <w:r>
        <w:rPr>
          <w:color w:val="000000"/>
          <w:sz w:val="21"/>
        </w:rPr>
        <w:t>.</w:t>
      </w:r>
      <w:r>
        <w:rPr>
          <w:color w:val="000000"/>
          <w:sz w:val="21"/>
        </w:rPr>
        <w:t>招标文件中凡有</w:t>
      </w:r>
      <w:r>
        <w:rPr>
          <w:color w:val="000000"/>
          <w:sz w:val="21"/>
        </w:rPr>
        <w:t>“★”</w:t>
      </w:r>
      <w:r>
        <w:rPr>
          <w:color w:val="000000"/>
          <w:sz w:val="21"/>
        </w:rPr>
        <w:t>标识的内容条款为关键条款，投标供应商必须对此作出回答并完全满足这些要求不可以出现任何负偏离，对这些关键条款的任何负偏离将视为无效投标。加注</w:t>
      </w:r>
      <w:r>
        <w:rPr>
          <w:color w:val="000000"/>
          <w:sz w:val="21"/>
        </w:rPr>
        <w:t>“▲”</w:t>
      </w:r>
      <w:r>
        <w:rPr>
          <w:color w:val="000000"/>
          <w:sz w:val="21"/>
        </w:rPr>
        <w:t>的内容为重点评标项目，投标人必须对该标识项目按照要求进行真实应答描述。</w:t>
      </w:r>
    </w:p>
    <w:p>
      <w:pPr>
        <w:ind w:firstLine="420"/>
        <w:jc w:val="both"/>
      </w:pPr>
      <w:r>
        <w:rPr>
          <w:color w:val="000000"/>
          <w:sz w:val="21"/>
        </w:rPr>
        <w:t>8</w:t>
      </w:r>
      <w:r>
        <w:rPr>
          <w:color w:val="000000"/>
          <w:sz w:val="21"/>
        </w:rPr>
        <w:t>.</w:t>
      </w:r>
      <w:r>
        <w:rPr>
          <w:color w:val="000000"/>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ind w:firstLine="420"/>
        <w:jc w:val="both"/>
      </w:pPr>
      <w:r>
        <w:rPr>
          <w:color w:val="000000"/>
          <w:sz w:val="21"/>
        </w:rPr>
        <w:t>9.</w:t>
      </w:r>
      <w:r>
        <w:rPr>
          <w:color w:val="000000"/>
          <w:sz w:val="21"/>
        </w:rPr>
        <w:t>本项目所建议的设备的性能应达到或超过技术要求中所列技术指标。投标人应注意该技术要求中的值仅列出了最低限度。投标人在响应建议中必须列出具体数值。如果投标人只注明“符合”或“满足”，评标委员会将有权视其为“不符合”。从而可能导致严重影响评标结果。</w:t>
      </w:r>
    </w:p>
    <w:p>
      <w:pPr>
        <w:ind w:firstLine="420"/>
        <w:jc w:val="both"/>
      </w:pPr>
      <w:r>
        <w:rPr>
          <w:color w:val="000000"/>
          <w:sz w:val="21"/>
        </w:rPr>
        <w:t>10</w:t>
      </w:r>
      <w:r>
        <w:rPr>
          <w:color w:val="000000"/>
          <w:sz w:val="21"/>
        </w:rPr>
        <w:t>.</w:t>
      </w:r>
      <w:r>
        <w:rPr>
          <w:color w:val="000000"/>
          <w:sz w:val="21"/>
        </w:rPr>
        <w:t>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ind w:firstLine="420"/>
        <w:jc w:val="both"/>
      </w:pPr>
      <w:r>
        <w:rPr>
          <w:sz w:val="21"/>
        </w:rPr>
        <w:t>11.</w:t>
      </w:r>
      <w:r>
        <w:rPr>
          <w:sz w:val="21"/>
        </w:rPr>
        <w:t>关于同品牌产品参加同一合同项（或同一包组）投标</w:t>
      </w:r>
    </w:p>
    <w:p>
      <w:pPr>
        <w:ind w:firstLine="630"/>
        <w:jc w:val="both"/>
      </w:pPr>
      <w:r>
        <w:rPr>
          <w:sz w:val="21"/>
        </w:rPr>
        <w:t>11.1</w:t>
      </w:r>
      <w:r>
        <w:rPr>
          <w:sz w:val="21"/>
        </w:rPr>
        <w:t>提供相同品牌产品且通过资格审查、符合性审查的不同投标人参加同一合同项下投标的，按一家投标人计算，评审后得分最高的同品牌投标人获得中标人推荐资格。综合得分相同的，按下列顺序比较确定一个投标人获得中标人推荐资格，其他同品牌投标人不作为中标候选人。（</w:t>
      </w:r>
      <w:r>
        <w:rPr>
          <w:sz w:val="21"/>
        </w:rPr>
        <w:t>1</w:t>
      </w:r>
      <w:r>
        <w:rPr>
          <w:sz w:val="21"/>
        </w:rPr>
        <w:t>）投标报价（由低到高）；（</w:t>
      </w:r>
      <w:r>
        <w:rPr>
          <w:sz w:val="21"/>
        </w:rPr>
        <w:t>2</w:t>
      </w:r>
      <w:r>
        <w:rPr>
          <w:sz w:val="21"/>
        </w:rPr>
        <w:t>）技术部分得分（由高到低）。综合得分相同、投标报价和技术评分均相同的，名次由评标委员会抽签确定。法律法规有明确规定的，以法律法规规定为准。</w:t>
      </w:r>
    </w:p>
    <w:p>
      <w:pPr>
        <w:ind w:firstLine="630"/>
        <w:jc w:val="both"/>
      </w:pPr>
      <w:r>
        <w:rPr>
          <w:sz w:val="21"/>
        </w:rPr>
        <w:t>11.2</w:t>
      </w:r>
      <w:r>
        <w:rPr>
          <w:sz w:val="21"/>
        </w:rPr>
        <w:t>相同品牌的定义：多家供应商提供的核心产品的品牌均为相同的品牌。</w:t>
      </w:r>
    </w:p>
    <w:p>
      <w:pPr>
        <w:ind w:firstLine="630"/>
        <w:jc w:val="both"/>
      </w:pPr>
    </w:p>
    <w:p>
      <w:pPr>
        <w:ind w:firstLine="630"/>
        <w:jc w:val="both"/>
      </w:pPr>
    </w:p>
    <w:p>
      <w:pPr>
        <w:ind w:firstLine="630"/>
        <w:jc w:val="both"/>
      </w:pPr>
    </w:p>
    <w:p>
      <w:pPr>
        <w:jc w:val="left"/>
      </w:pPr>
      <w:r>
        <w:rPr>
          <w:b/>
          <w:sz w:val="24"/>
        </w:rPr>
        <w:t>二、建设背景</w:t>
      </w:r>
      <w:r>
        <w:rPr>
          <w:b/>
          <w:sz w:val="24"/>
        </w:rPr>
        <w:t>：</w:t>
      </w:r>
    </w:p>
    <w:p>
      <w:pPr>
        <w:ind w:firstLine="482"/>
      </w:pPr>
      <w:r>
        <w:rPr>
          <w:b/>
          <w:sz w:val="21"/>
        </w:rPr>
        <w:t>1.现状</w:t>
      </w:r>
    </w:p>
    <w:p>
      <w:pPr>
        <w:ind w:firstLine="420"/>
        <w:jc w:val="both"/>
      </w:pPr>
      <w:r>
        <w:rPr>
          <w:sz w:val="21"/>
        </w:rPr>
        <w:t>1.1现有防火墙硬件互联网单机设备部署，而互联网出口防火墙是医院的核心出口，若出现设备宕机医院互联网区则无法实现业务的持续性，缺乏可靠性、稳定性，同时无法满足医院互联网的等级保护安全要求；</w:t>
      </w:r>
    </w:p>
    <w:p>
      <w:pPr>
        <w:ind w:firstLine="420"/>
        <w:jc w:val="both"/>
      </w:pPr>
      <w:r>
        <w:rPr>
          <w:sz w:val="21"/>
        </w:rPr>
        <w:t>1.2现有上网行为管理设备由于性能不足，部分功能无法开启，出现安全事件时无法有效进行溯源；</w:t>
      </w:r>
    </w:p>
    <w:p>
      <w:pPr>
        <w:ind w:firstLine="420"/>
        <w:jc w:val="both"/>
      </w:pPr>
      <w:r>
        <w:rPr>
          <w:sz w:val="21"/>
        </w:rPr>
        <w:t>1.3现有服务器防火墙硬件由于医院核心业务系统不断增加，以及后续3-5年服务器区业务系统不断增加完善，硬件吞吐性能预计将有显著增长，按目前性能将出现瓶颈，且病毒特征库非实时更新，无法满足医院服务器区的等级保护安全要求；</w:t>
      </w:r>
    </w:p>
    <w:p>
      <w:pPr>
        <w:ind w:firstLine="420"/>
        <w:jc w:val="both"/>
      </w:pPr>
      <w:r>
        <w:rPr>
          <w:sz w:val="21"/>
        </w:rPr>
        <w:t>1.4专网安全建设层面，不具备边界隔离的相关设备；</w:t>
      </w:r>
    </w:p>
    <w:p>
      <w:pPr>
        <w:ind w:firstLine="420"/>
        <w:jc w:val="both"/>
      </w:pPr>
      <w:r>
        <w:rPr>
          <w:sz w:val="21"/>
        </w:rPr>
        <w:t>1.5运维管理区建设方面，缺乏相应的设备，无法对网络攻击日志进行记录；缺乏对运维人员接入内网行为做有效的管理，无法满足等级保护建设要求；</w:t>
      </w:r>
    </w:p>
    <w:p>
      <w:pPr>
        <w:ind w:firstLine="420"/>
        <w:jc w:val="both"/>
      </w:pPr>
      <w:r>
        <w:rPr>
          <w:sz w:val="21"/>
        </w:rPr>
        <w:t>1.6安全监测与预警层面，网络中主要依靠传统VLan隔离或者简单安全设备防护。而对网络中目前频发的高级威胁或者新型威胁无法有效预警和防控，需加强安全监测与预警内容。</w:t>
      </w:r>
    </w:p>
    <w:p>
      <w:pPr>
        <w:ind w:firstLine="482"/>
      </w:pPr>
      <w:r>
        <w:rPr>
          <w:b/>
          <w:sz w:val="21"/>
        </w:rPr>
        <w:t>2.需求</w:t>
      </w:r>
    </w:p>
    <w:p>
      <w:pPr>
        <w:ind w:firstLine="482"/>
      </w:pPr>
      <w:r>
        <w:rPr>
          <w:b/>
          <w:color w:val="000000"/>
          <w:sz w:val="21"/>
        </w:rPr>
        <w:t>2.1 互联网出口防火墙</w:t>
      </w:r>
    </w:p>
    <w:p>
      <w:pPr>
        <w:ind w:firstLine="420"/>
        <w:jc w:val="both"/>
      </w:pPr>
      <w:r>
        <w:rPr>
          <w:sz w:val="21"/>
        </w:rPr>
        <w:t>2.1.1根据《信息安全技术网络安全等级保护基本要求》（GB/T 22239-2019）的有关规定，自查现有的网络安全设备，分析现有安全防护设备的可靠性、连续性，对不满足业务需要或者功能方面存在缺陷的设备进行整改；</w:t>
      </w:r>
    </w:p>
    <w:p>
      <w:pPr>
        <w:ind w:firstLine="420"/>
        <w:jc w:val="both"/>
      </w:pPr>
      <w:r>
        <w:rPr>
          <w:sz w:val="21"/>
        </w:rPr>
        <w:t>2.1.2防火墙双机部署，出现宕机时能够及时切换确保医院互联网的可靠性、连续性；</w:t>
      </w:r>
    </w:p>
    <w:p>
      <w:pPr>
        <w:ind w:firstLine="420"/>
        <w:jc w:val="both"/>
      </w:pPr>
      <w:r>
        <w:rPr>
          <w:sz w:val="21"/>
        </w:rPr>
        <w:t>2.1.3防火墙与态势感知平台进行联动，检测威胁情报时实现端点联动及时封堵威胁事件。</w:t>
      </w:r>
    </w:p>
    <w:p>
      <w:pPr>
        <w:ind w:firstLine="420"/>
        <w:jc w:val="both"/>
      </w:pPr>
      <w:r>
        <w:rPr>
          <w:b/>
          <w:color w:val="000000"/>
          <w:sz w:val="21"/>
        </w:rPr>
        <w:t>2.2 数据中心防火墙</w:t>
      </w:r>
    </w:p>
    <w:p>
      <w:pPr>
        <w:ind w:firstLine="420"/>
        <w:jc w:val="both"/>
      </w:pPr>
      <w:r>
        <w:rPr>
          <w:sz w:val="21"/>
        </w:rPr>
        <w:t>2.2.1安全的防护相对会滞后于威胁的发生，特别类似于0day威胁。而防火墙，需要不断的完善自己的防护能力，针对已知威胁具备及时防护能力；</w:t>
      </w:r>
    </w:p>
    <w:p>
      <w:pPr>
        <w:ind w:firstLine="420"/>
        <w:jc w:val="both"/>
      </w:pPr>
      <w:r>
        <w:rPr>
          <w:sz w:val="21"/>
        </w:rPr>
        <w:t>2.2.2满足等级保护2.0关于核心业务访问安全防护的要求，符合零信任的网络安全发展趋势；</w:t>
      </w:r>
    </w:p>
    <w:p>
      <w:pPr>
        <w:ind w:firstLine="420"/>
        <w:jc w:val="both"/>
      </w:pPr>
      <w:r>
        <w:rPr>
          <w:sz w:val="21"/>
        </w:rPr>
        <w:t>2.2.3服务器防火墙与态势感知平台进行联动，建设安全风险管理能力，持续组织已知内网风险，加固内网安全，快速响应安全事件；</w:t>
      </w:r>
    </w:p>
    <w:p>
      <w:pPr>
        <w:ind w:firstLine="420"/>
        <w:jc w:val="both"/>
      </w:pPr>
      <w:r>
        <w:rPr>
          <w:sz w:val="21"/>
        </w:rPr>
        <w:t>2.2.4服务器防火墙双机部署，重点对数据中心做相关防护，保障服务器业务的稳定性、安全性、可靠性。</w:t>
      </w:r>
    </w:p>
    <w:p>
      <w:pPr>
        <w:ind w:firstLine="420"/>
        <w:jc w:val="both"/>
      </w:pPr>
      <w:r>
        <w:rPr>
          <w:b/>
          <w:color w:val="000000"/>
          <w:sz w:val="21"/>
        </w:rPr>
        <w:t>2.3 外联区边界防火墙</w:t>
      </w:r>
    </w:p>
    <w:p>
      <w:pPr>
        <w:ind w:firstLine="420"/>
        <w:jc w:val="left"/>
      </w:pPr>
      <w:r>
        <w:rPr>
          <w:color w:val="000000"/>
          <w:sz w:val="21"/>
        </w:rPr>
        <w:t>对所有通过外联边界防火墙的流量进行检测，抵御黑客攻击、</w:t>
      </w:r>
      <w:r>
        <w:rPr>
          <w:color w:val="000000"/>
          <w:sz w:val="21"/>
        </w:rPr>
        <w:t>SQL</w:t>
      </w:r>
      <w:r>
        <w:rPr>
          <w:color w:val="000000"/>
          <w:sz w:val="21"/>
        </w:rPr>
        <w:t>注入、</w:t>
      </w:r>
      <w:r>
        <w:rPr>
          <w:color w:val="000000"/>
          <w:sz w:val="21"/>
        </w:rPr>
        <w:t>XSS</w:t>
      </w:r>
      <w:r>
        <w:rPr>
          <w:color w:val="000000"/>
          <w:sz w:val="21"/>
        </w:rPr>
        <w:t>、网页篡改等攻击威胁。开启防病毒策略，对流量进行防病毒过滤清洗。</w:t>
      </w:r>
    </w:p>
    <w:p>
      <w:pPr>
        <w:ind w:firstLine="420"/>
        <w:jc w:val="left"/>
      </w:pPr>
      <w:r>
        <w:rPr>
          <w:b/>
          <w:color w:val="000000"/>
          <w:sz w:val="21"/>
        </w:rPr>
        <w:t>2.4 上网行为管理</w:t>
      </w:r>
    </w:p>
    <w:p>
      <w:pPr>
        <w:ind w:firstLine="420"/>
        <w:jc w:val="both"/>
      </w:pPr>
      <w:r>
        <w:rPr>
          <w:sz w:val="21"/>
        </w:rPr>
        <w:t>2.4.1基于等级保护2.0通过对用户上网行为的全面记录审计，完全满足法律法规的审计要求，在发生网络违法事件时可以通过审计日志追查相关责任人，从而满足医院等级保护2.0要求；</w:t>
      </w:r>
    </w:p>
    <w:p>
      <w:pPr>
        <w:ind w:firstLine="420"/>
        <w:jc w:val="both"/>
      </w:pPr>
      <w:r>
        <w:rPr>
          <w:sz w:val="21"/>
        </w:rPr>
        <w:t>2.4.2从海量的上网日志当中挖掘有价值的内容，基于上网行为管理日志中心平台，所有的日志分析应用以APP的形式发布到应用商店中，以“事件”为视角，展开分析。从而满足等级保护2.0安全区域边界、安全计算环境、安全管理中心要求。</w:t>
      </w:r>
    </w:p>
    <w:p>
      <w:pPr>
        <w:ind w:firstLine="420"/>
        <w:jc w:val="both"/>
      </w:pPr>
      <w:r>
        <w:rPr>
          <w:b/>
          <w:color w:val="000000"/>
          <w:sz w:val="21"/>
        </w:rPr>
        <w:t>2.5 网闸</w:t>
      </w:r>
    </w:p>
    <w:p>
      <w:pPr>
        <w:ind w:firstLine="360"/>
      </w:pPr>
      <w:r>
        <w:rPr>
          <w:sz w:val="21"/>
        </w:rPr>
        <w:t>2.5.1要求采用“2+1”的系统架构，由内、外网主机单元与数据交换单元（隔离交换单元） 三部分组成，基于多核多线程专用安全操作系统；</w:t>
      </w:r>
    </w:p>
    <w:p>
      <w:pPr>
        <w:ind w:firstLine="360"/>
      </w:pPr>
      <w:r>
        <w:rPr>
          <w:sz w:val="21"/>
        </w:rPr>
        <w:t>2.5.2要求采用类似船闸摆渡的工作原理在内、外主机之间摆渡应用数据，安全隔离网络的同时做实时的数据交换；</w:t>
      </w:r>
    </w:p>
    <w:p>
      <w:pPr>
        <w:ind w:firstLine="360"/>
      </w:pPr>
      <w:r>
        <w:rPr>
          <w:sz w:val="21"/>
        </w:rPr>
        <w:t>2.5.3满足在物理层面上实现与其它数据网及外部公共信息网的安全隔离，满足对进出网络的数据流实现基于应用协议和应用内容的访问控制，满足等级保护2.0关于核心业务访问安全防护的要求。</w:t>
      </w:r>
    </w:p>
    <w:p>
      <w:pPr>
        <w:ind w:firstLine="360"/>
      </w:pPr>
      <w:r>
        <w:rPr>
          <w:b/>
          <w:color w:val="000000"/>
          <w:sz w:val="21"/>
        </w:rPr>
        <w:t>2.6 云统一安全平台</w:t>
      </w:r>
    </w:p>
    <w:p>
      <w:pPr>
        <w:ind w:firstLine="420"/>
        <w:jc w:val="left"/>
      </w:pPr>
      <w:r>
        <w:rPr>
          <w:sz w:val="21"/>
        </w:rPr>
        <w:t>2.6.1平台能够提供虚拟数据库审计、虚拟运维安全管理、虚拟日志审计、虚拟云镜脆弱性扫描等独立的安全软件，还能够集成第三方生态产品以扩充平台安全能力；</w:t>
      </w:r>
    </w:p>
    <w:p>
      <w:pPr>
        <w:ind w:firstLine="420"/>
        <w:jc w:val="left"/>
      </w:pPr>
      <w:r>
        <w:rPr>
          <w:sz w:val="21"/>
        </w:rPr>
        <w:t>2.6.2只需在核心交换机上以物理旁路、逻辑串联的方式将业务流牵引到云统一安全平台，即可完成安全防护。同时满足等级保护2.0关于核心业务访问安全防护的要求。</w:t>
      </w:r>
    </w:p>
    <w:p>
      <w:pPr>
        <w:ind w:firstLine="420"/>
        <w:jc w:val="left"/>
      </w:pPr>
      <w:r>
        <w:rPr>
          <w:b/>
          <w:color w:val="000000"/>
          <w:sz w:val="21"/>
        </w:rPr>
        <w:t>2.7 潜伏威胁探针系统</w:t>
      </w:r>
    </w:p>
    <w:p>
      <w:pPr>
        <w:ind w:firstLine="420"/>
        <w:jc w:val="left"/>
      </w:pPr>
      <w:r>
        <w:rPr>
          <w:sz w:val="21"/>
        </w:rPr>
        <w:t>负责对网络流量进行采集和分析，将分析后的数据上传给安全感知系统。</w:t>
      </w:r>
    </w:p>
    <w:p>
      <w:pPr>
        <w:ind w:firstLine="420"/>
        <w:jc w:val="left"/>
      </w:pPr>
      <w:r>
        <w:rPr>
          <w:b/>
          <w:color w:val="000000"/>
          <w:sz w:val="21"/>
        </w:rPr>
        <w:t>2.8 安全感知管理平台</w:t>
      </w:r>
    </w:p>
    <w:p>
      <w:pPr>
        <w:ind w:firstLine="420"/>
        <w:jc w:val="left"/>
      </w:pPr>
      <w:r>
        <w:rPr>
          <w:sz w:val="21"/>
        </w:rPr>
        <w:t>构建可感知、易运营、联动闭环的安全态势感知平台，同时满足</w:t>
      </w:r>
      <w:r>
        <w:rPr>
          <w:sz w:val="21"/>
        </w:rPr>
        <w:t>等级保护</w:t>
      </w:r>
      <w:r>
        <w:rPr>
          <w:sz w:val="21"/>
        </w:rPr>
        <w:t>2.0中安全管理中心的能力要求。</w:t>
      </w:r>
    </w:p>
    <w:p>
      <w:pPr>
        <w:ind w:firstLine="420"/>
        <w:jc w:val="left"/>
      </w:pPr>
      <w:r>
        <w:rPr>
          <w:b/>
          <w:color w:val="000000"/>
          <w:sz w:val="21"/>
        </w:rPr>
        <w:t>2.9 零信任综合网关</w:t>
      </w:r>
    </w:p>
    <w:p>
      <w:pPr>
        <w:ind w:firstLine="420"/>
        <w:jc w:val="left"/>
      </w:pPr>
      <w:r>
        <w:rPr>
          <w:sz w:val="21"/>
        </w:rPr>
        <w:t>提供业务隐身、动态自适应认证、终端动态环境检测、全周期业务准入、动态访问控制、多源信任评估等功能，满足移动化和云化趋势下多场景的业务应用安全访问需求，同时满足</w:t>
      </w:r>
      <w:r>
        <w:rPr>
          <w:sz w:val="21"/>
        </w:rPr>
        <w:t>等级保护</w:t>
      </w:r>
      <w:r>
        <w:rPr>
          <w:sz w:val="21"/>
        </w:rPr>
        <w:t>2.0</w:t>
      </w:r>
      <w:r>
        <w:rPr>
          <w:sz w:val="21"/>
        </w:rPr>
        <w:t>关于核心业务访问安全防护的要求。</w:t>
      </w:r>
    </w:p>
    <w:p>
      <w:pPr>
        <w:ind w:firstLine="420"/>
        <w:jc w:val="left"/>
      </w:pPr>
      <w:r>
        <w:rPr>
          <w:b/>
          <w:color w:val="000000"/>
          <w:sz w:val="21"/>
        </w:rPr>
        <w:t>2.10 网络安全服务</w:t>
      </w:r>
    </w:p>
    <w:p>
      <w:pPr>
        <w:ind w:firstLine="420"/>
        <w:jc w:val="left"/>
      </w:pPr>
      <w:r>
        <w:rPr>
          <w:sz w:val="21"/>
        </w:rPr>
        <w:t>提供基于资产、脆弱性、威胁、事件等角度的网络安全服务，持续监控网络安全问题，快速检测处置威胁事件。</w:t>
      </w:r>
    </w:p>
    <w:p>
      <w:pPr>
        <w:jc w:val="left"/>
      </w:pPr>
      <w:r>
        <w:rPr>
          <w:b/>
          <w:sz w:val="24"/>
        </w:rPr>
        <w:t>三、项目建设内容</w:t>
      </w:r>
      <w:r>
        <w:rPr>
          <w:b/>
          <w:sz w:val="24"/>
        </w:rPr>
        <w:t>：</w:t>
      </w:r>
    </w:p>
    <w:p>
      <w:pPr>
        <w:ind w:firstLine="482"/>
      </w:pPr>
      <w:r>
        <w:rPr>
          <w:b/>
          <w:sz w:val="21"/>
        </w:rPr>
        <w:t>1.项目总预算金额</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2988"/>
        <w:gridCol w:w="5302"/>
      </w:tblGrid>
      <w:tr>
        <w:tc>
          <w:tcPr>
            <w:tcW w:type="dxa" w:w="2988"/>
            <w:tcBorders>
              <w:top w:val="single" w:color="000000" w:sz="4"/>
              <w:left w:val="single" w:color="000000" w:sz="4"/>
              <w:bottom w:val="single" w:color="000000" w:sz="4"/>
              <w:right w:val="single" w:color="000000" w:sz="4"/>
            </w:tcBorders>
            <w:vAlign w:val="top"/>
          </w:tcPr>
          <w:p>
            <w:pPr>
              <w:jc w:val="center"/>
            </w:pPr>
            <w:r>
              <w:rPr>
                <w:b/>
                <w:sz w:val="21"/>
              </w:rPr>
              <w:t>预算金额</w:t>
            </w:r>
          </w:p>
        </w:tc>
        <w:tc>
          <w:tcPr>
            <w:tcW w:type="dxa" w:w="5302"/>
            <w:tcBorders>
              <w:top w:val="single" w:color="000000" w:sz="4"/>
              <w:left w:val="none" w:color="000000" w:sz="4"/>
              <w:bottom w:val="single" w:color="000000" w:sz="4"/>
              <w:right w:val="single" w:color="000000" w:sz="4"/>
            </w:tcBorders>
            <w:vAlign w:val="top"/>
          </w:tcPr>
          <w:p>
            <w:pPr>
              <w:ind w:firstLine="420"/>
              <w:jc w:val="center"/>
            </w:pPr>
            <w:r>
              <w:rPr>
                <w:sz w:val="21"/>
              </w:rPr>
              <w:t>¥</w:t>
            </w:r>
            <w:r>
              <w:rPr>
                <w:sz w:val="21"/>
              </w:rPr>
              <w:t>1800000</w:t>
            </w:r>
            <w:r>
              <w:rPr>
                <w:sz w:val="21"/>
              </w:rPr>
              <w:t>元（大写：壹佰捌拾万元整）</w:t>
            </w:r>
          </w:p>
        </w:tc>
      </w:tr>
      <w:tr>
        <w:tc>
          <w:tcPr>
            <w:tcW w:type="dxa" w:w="2988"/>
            <w:tcBorders>
              <w:top w:val="none" w:color="000000" w:sz="4"/>
              <w:left w:val="single" w:color="000000" w:sz="4"/>
              <w:bottom w:val="single" w:color="000000" w:sz="4"/>
              <w:right w:val="single" w:color="000000" w:sz="4"/>
            </w:tcBorders>
            <w:vAlign w:val="top"/>
          </w:tcPr>
          <w:p>
            <w:pPr>
              <w:jc w:val="center"/>
            </w:pPr>
            <w:r>
              <w:rPr>
                <w:b/>
                <w:sz w:val="21"/>
              </w:rPr>
              <w:t>产品质保和服务期</w:t>
            </w:r>
          </w:p>
        </w:tc>
        <w:tc>
          <w:tcPr>
            <w:tcW w:type="dxa" w:w="5302"/>
            <w:tcBorders>
              <w:top w:val="none" w:color="000000" w:sz="4"/>
              <w:left w:val="none" w:color="000000" w:sz="4"/>
              <w:bottom w:val="single" w:color="000000" w:sz="4"/>
              <w:right w:val="single" w:color="000000" w:sz="4"/>
            </w:tcBorders>
            <w:vAlign w:val="top"/>
          </w:tcPr>
          <w:p>
            <w:pPr>
              <w:ind w:firstLine="420"/>
              <w:jc w:val="center"/>
            </w:pPr>
            <w:r>
              <w:rPr>
                <w:sz w:val="21"/>
              </w:rPr>
              <w:t>设备维保</w:t>
            </w:r>
            <w:r>
              <w:rPr>
                <w:sz w:val="21"/>
              </w:rPr>
              <w:t>3年，售后服务3年。</w:t>
            </w:r>
          </w:p>
        </w:tc>
      </w:tr>
    </w:tbl>
    <w:p>
      <w:pPr>
        <w:ind w:firstLine="482"/>
      </w:pPr>
    </w:p>
    <w:p/>
    <w:p>
      <w:r>
        <w:rPr/>
        <w:t xml:space="preserve">      </w:t>
      </w:r>
      <w:r>
        <w:rPr>
          <w:b/>
        </w:rPr>
        <w:t>2.需求清单</w:t>
      </w:r>
    </w:p>
    <w:p/>
    <w:tbl>
      <w:tblPr>
        <w:tblW w:w="0" w:type="auto"/>
        <w:tblBorders>
          <w:top w:val="none" w:color="000000" w:sz="4"/>
          <w:left w:val="none" w:color="000000" w:sz="4"/>
          <w:bottom w:val="none" w:color="000000" w:sz="4"/>
          <w:right w:val="none" w:color="000000" w:sz="4"/>
          <w:insideH w:val="none"/>
          <w:insideV w:val="none"/>
        </w:tblBorders>
      </w:tblPr>
      <w:tblGrid>
        <w:gridCol w:w="1581"/>
        <w:gridCol w:w="3850"/>
        <w:gridCol w:w="981"/>
        <w:gridCol w:w="1186"/>
      </w:tblGrid>
      <w:tr>
        <w:tc>
          <w:tcPr>
            <w:tcW w:type="dxa" w:w="1581"/>
            <w:tcBorders>
              <w:top w:val="single" w:color="000000" w:sz="4"/>
              <w:left w:val="single" w:color="000000" w:sz="4"/>
              <w:bottom w:val="single" w:color="000000" w:sz="4"/>
              <w:right w:val="single" w:color="000000" w:sz="4"/>
            </w:tcBorders>
            <w:shd w:fill="FFFFFF"/>
            <w:vAlign w:val="top"/>
          </w:tcPr>
          <w:p>
            <w:pPr>
              <w:jc w:val="center"/>
            </w:pPr>
            <w:r>
              <w:rPr>
                <w:sz w:val="21"/>
              </w:rPr>
              <w:t>产品项目</w:t>
            </w:r>
          </w:p>
        </w:tc>
        <w:tc>
          <w:tcPr>
            <w:tcW w:type="dxa" w:w="3850"/>
            <w:tcBorders>
              <w:top w:val="single" w:color="000000" w:sz="4"/>
              <w:left w:val="single" w:color="000000" w:sz="4"/>
              <w:bottom w:val="single" w:color="000000" w:sz="4"/>
              <w:right w:val="single" w:color="000000" w:sz="4"/>
            </w:tcBorders>
            <w:shd w:fill="FFFFFF"/>
            <w:vAlign w:val="top"/>
          </w:tcPr>
          <w:p>
            <w:pPr>
              <w:ind w:firstLine="420"/>
              <w:jc w:val="center"/>
            </w:pPr>
            <w:r>
              <w:rPr>
                <w:sz w:val="21"/>
              </w:rPr>
              <w:t>描</w:t>
            </w:r>
            <w:r>
              <w:rPr>
                <w:sz w:val="21"/>
              </w:rPr>
              <w:t>述</w:t>
            </w:r>
          </w:p>
        </w:tc>
        <w:tc>
          <w:tcPr>
            <w:tcW w:type="dxa" w:w="981"/>
            <w:tcBorders>
              <w:top w:val="single" w:color="000000" w:sz="4"/>
              <w:left w:val="single" w:color="000000" w:sz="4"/>
              <w:bottom w:val="single" w:color="000000" w:sz="4"/>
              <w:right w:val="single" w:color="000000" w:sz="4"/>
            </w:tcBorders>
            <w:shd w:fill="FFFFFF"/>
            <w:vAlign w:val="top"/>
          </w:tcPr>
          <w:p>
            <w:pPr>
              <w:jc w:val="center"/>
            </w:pPr>
            <w:r>
              <w:rPr>
                <w:sz w:val="21"/>
              </w:rPr>
              <w:t>单位</w:t>
            </w:r>
          </w:p>
        </w:tc>
        <w:tc>
          <w:tcPr>
            <w:tcW w:type="dxa" w:w="1186"/>
            <w:tcBorders>
              <w:top w:val="single" w:color="000000" w:sz="4"/>
              <w:left w:val="single" w:color="000000" w:sz="4"/>
              <w:bottom w:val="single" w:color="000000" w:sz="4"/>
              <w:right w:val="single" w:color="000000" w:sz="4"/>
            </w:tcBorders>
            <w:shd w:fill="FFFFFF"/>
            <w:vAlign w:val="top"/>
          </w:tcPr>
          <w:p>
            <w:pPr>
              <w:jc w:val="center"/>
            </w:pPr>
            <w:r>
              <w:rPr>
                <w:sz w:val="21"/>
              </w:rPr>
              <w:t>数量</w:t>
            </w:r>
          </w:p>
        </w:tc>
      </w:tr>
      <w:tr>
        <w:tc>
          <w:tcPr>
            <w:tcW w:type="dxa" w:w="7598"/>
            <w:gridSpan w:val="4"/>
            <w:tcBorders>
              <w:top w:val="none" w:color="000000" w:sz="4"/>
              <w:left w:val="single" w:color="000000" w:sz="4"/>
              <w:bottom w:val="single" w:color="000000" w:sz="4"/>
              <w:right w:val="single" w:color="000000" w:sz="4"/>
            </w:tcBorders>
            <w:shd w:fill="FFFFFF"/>
            <w:vAlign w:val="top"/>
          </w:tcPr>
          <w:p>
            <w:pPr>
              <w:ind w:firstLine="420"/>
              <w:jc w:val="both"/>
            </w:pPr>
            <w:r>
              <w:rPr>
                <w:sz w:val="21"/>
              </w:rPr>
              <w:t>一、外联区边界防火墙</w:t>
            </w:r>
          </w:p>
        </w:tc>
      </w:tr>
      <w:tr>
        <w:tc>
          <w:tcPr>
            <w:tcW w:type="dxa" w:w="1581"/>
            <w:tcBorders>
              <w:top w:val="none" w:color="000000" w:sz="4"/>
              <w:left w:val="single" w:color="000000" w:sz="4"/>
              <w:bottom w:val="single" w:color="000000" w:sz="4"/>
              <w:right w:val="single" w:color="000000" w:sz="4"/>
            </w:tcBorders>
            <w:vAlign w:val="top"/>
          </w:tcPr>
          <w:p>
            <w:pPr>
              <w:jc w:val="center"/>
            </w:pPr>
            <w:r>
              <w:rPr>
                <w:sz w:val="21"/>
              </w:rPr>
              <w:t>防火墙</w:t>
            </w:r>
          </w:p>
        </w:tc>
        <w:tc>
          <w:tcPr>
            <w:tcW w:type="dxa" w:w="3850"/>
            <w:tcBorders>
              <w:top w:val="single" w:color="000000" w:sz="4"/>
              <w:left w:val="single" w:color="000000" w:sz="4"/>
              <w:bottom w:val="single" w:color="000000" w:sz="4"/>
              <w:right w:val="single" w:color="000000" w:sz="4"/>
            </w:tcBorders>
            <w:vAlign w:val="top"/>
          </w:tcPr>
          <w:p>
            <w:pPr>
              <w:jc w:val="both"/>
            </w:pPr>
            <w:r>
              <w:rPr>
                <w:sz w:val="21"/>
              </w:rPr>
              <w:t>详见外联区边界防火墙</w:t>
            </w:r>
            <w:r>
              <w:rPr>
                <w:sz w:val="21"/>
              </w:rPr>
              <w:t>技术</w:t>
            </w:r>
            <w:r>
              <w:rPr>
                <w:sz w:val="21"/>
              </w:rPr>
              <w:t>(</w:t>
            </w:r>
            <w:r>
              <w:rPr>
                <w:sz w:val="21"/>
              </w:rPr>
              <w:t>参数</w:t>
            </w:r>
            <w:r>
              <w:rPr>
                <w:sz w:val="21"/>
              </w:rPr>
              <w:t>)</w:t>
            </w:r>
            <w:r>
              <w:rPr>
                <w:sz w:val="21"/>
              </w:rPr>
              <w:t>要求</w:t>
            </w:r>
          </w:p>
        </w:tc>
        <w:tc>
          <w:tcPr>
            <w:tcW w:type="dxa" w:w="981"/>
            <w:tcBorders>
              <w:top w:val="single" w:color="000000" w:sz="4"/>
              <w:left w:val="single" w:color="000000" w:sz="4"/>
              <w:bottom w:val="single" w:color="000000" w:sz="4"/>
              <w:right w:val="single" w:color="000000" w:sz="4"/>
            </w:tcBorders>
            <w:vAlign w:val="top"/>
          </w:tcPr>
          <w:p>
            <w:pPr>
              <w:ind w:firstLine="210"/>
              <w:jc w:val="both"/>
            </w:pPr>
            <w:r>
              <w:rPr>
                <w:sz w:val="21"/>
              </w:rPr>
              <w:t>台</w:t>
            </w:r>
          </w:p>
        </w:tc>
        <w:tc>
          <w:tcPr>
            <w:tcW w:type="dxa" w:w="1186"/>
            <w:tcBorders>
              <w:top w:val="single" w:color="000000" w:sz="4"/>
              <w:left w:val="single" w:color="000000" w:sz="4"/>
              <w:bottom w:val="single" w:color="000000" w:sz="4"/>
              <w:right w:val="single" w:color="000000" w:sz="4"/>
            </w:tcBorders>
            <w:vAlign w:val="top"/>
          </w:tcPr>
          <w:p>
            <w:pPr>
              <w:ind w:firstLine="420"/>
              <w:jc w:val="both"/>
            </w:pPr>
            <w:r>
              <w:rPr>
                <w:sz w:val="21"/>
              </w:rPr>
              <w:t>1</w:t>
            </w:r>
          </w:p>
        </w:tc>
      </w:tr>
      <w:tr>
        <w:tc>
          <w:tcPr>
            <w:tcW w:type="dxa" w:w="7598"/>
            <w:gridSpan w:val="4"/>
            <w:tcBorders>
              <w:top w:val="none" w:color="000000" w:sz="4"/>
              <w:left w:val="single" w:color="000000" w:sz="4"/>
              <w:bottom w:val="single" w:color="000000" w:sz="4"/>
              <w:right w:val="single" w:color="000000" w:sz="4"/>
            </w:tcBorders>
            <w:vAlign w:val="top"/>
          </w:tcPr>
          <w:p>
            <w:pPr>
              <w:ind w:firstLine="420"/>
              <w:jc w:val="both"/>
            </w:pPr>
            <w:r>
              <w:rPr>
                <w:sz w:val="21"/>
              </w:rPr>
              <w:t>二、数据中心防火墙</w:t>
            </w:r>
          </w:p>
        </w:tc>
      </w:tr>
      <w:tr>
        <w:tc>
          <w:tcPr>
            <w:tcW w:type="dxa" w:w="1581"/>
            <w:tcBorders>
              <w:top w:val="none" w:color="000000" w:sz="4"/>
              <w:left w:val="single" w:color="000000" w:sz="4"/>
              <w:bottom w:val="single" w:color="000000" w:sz="4"/>
              <w:right w:val="single" w:color="000000" w:sz="4"/>
            </w:tcBorders>
            <w:vAlign w:val="top"/>
          </w:tcPr>
          <w:p>
            <w:pPr>
              <w:jc w:val="center"/>
            </w:pPr>
            <w:r>
              <w:rPr>
                <w:sz w:val="21"/>
              </w:rPr>
              <w:t>防火墙</w:t>
            </w:r>
          </w:p>
        </w:tc>
        <w:tc>
          <w:tcPr>
            <w:tcW w:type="dxa" w:w="3850"/>
            <w:tcBorders>
              <w:top w:val="single" w:color="000000" w:sz="4"/>
              <w:left w:val="single" w:color="000000" w:sz="4"/>
              <w:bottom w:val="single" w:color="000000" w:sz="4"/>
              <w:right w:val="single" w:color="000000" w:sz="4"/>
            </w:tcBorders>
            <w:vAlign w:val="top"/>
          </w:tcPr>
          <w:p>
            <w:pPr>
              <w:jc w:val="both"/>
            </w:pPr>
            <w:r>
              <w:rPr>
                <w:sz w:val="21"/>
              </w:rPr>
              <w:t>详见数据中心防火墙</w:t>
            </w:r>
            <w:r>
              <w:rPr>
                <w:sz w:val="21"/>
              </w:rPr>
              <w:t>技术</w:t>
            </w:r>
            <w:r>
              <w:rPr>
                <w:sz w:val="21"/>
              </w:rPr>
              <w:t>(</w:t>
            </w:r>
            <w:r>
              <w:rPr>
                <w:sz w:val="21"/>
              </w:rPr>
              <w:t>参数</w:t>
            </w:r>
            <w:r>
              <w:rPr>
                <w:sz w:val="21"/>
              </w:rPr>
              <w:t>)</w:t>
            </w:r>
            <w:r>
              <w:rPr>
                <w:sz w:val="21"/>
              </w:rPr>
              <w:t>要求</w:t>
            </w:r>
          </w:p>
        </w:tc>
        <w:tc>
          <w:tcPr>
            <w:tcW w:type="dxa" w:w="981"/>
            <w:tcBorders>
              <w:top w:val="single" w:color="000000" w:sz="4"/>
              <w:left w:val="single" w:color="000000" w:sz="4"/>
              <w:bottom w:val="single" w:color="000000" w:sz="4"/>
              <w:right w:val="single" w:color="000000" w:sz="4"/>
            </w:tcBorders>
            <w:vAlign w:val="top"/>
          </w:tcPr>
          <w:p>
            <w:pPr>
              <w:ind w:firstLine="210"/>
              <w:jc w:val="both"/>
            </w:pPr>
            <w:r>
              <w:rPr>
                <w:sz w:val="21"/>
              </w:rPr>
              <w:t>台</w:t>
            </w:r>
          </w:p>
        </w:tc>
        <w:tc>
          <w:tcPr>
            <w:tcW w:type="dxa" w:w="1186"/>
            <w:tcBorders>
              <w:top w:val="single" w:color="000000" w:sz="4"/>
              <w:left w:val="single" w:color="000000" w:sz="4"/>
              <w:bottom w:val="single" w:color="000000" w:sz="4"/>
              <w:right w:val="single" w:color="000000" w:sz="4"/>
            </w:tcBorders>
            <w:vAlign w:val="top"/>
          </w:tcPr>
          <w:p>
            <w:pPr>
              <w:ind w:firstLine="420"/>
              <w:jc w:val="both"/>
            </w:pPr>
            <w:r>
              <w:rPr>
                <w:sz w:val="21"/>
              </w:rPr>
              <w:t>2</w:t>
            </w:r>
          </w:p>
        </w:tc>
      </w:tr>
      <w:tr>
        <w:tc>
          <w:tcPr>
            <w:tcW w:type="dxa" w:w="7598"/>
            <w:gridSpan w:val="4"/>
            <w:tcBorders>
              <w:top w:val="none" w:color="000000" w:sz="4"/>
              <w:left w:val="single" w:color="000000" w:sz="4"/>
              <w:bottom w:val="single" w:color="000000" w:sz="4"/>
              <w:right w:val="single" w:color="000000" w:sz="4"/>
            </w:tcBorders>
            <w:shd w:fill="FFFFFF"/>
            <w:vAlign w:val="top"/>
          </w:tcPr>
          <w:p>
            <w:pPr>
              <w:ind w:firstLine="420"/>
              <w:jc w:val="both"/>
            </w:pPr>
            <w:r>
              <w:rPr>
                <w:sz w:val="21"/>
              </w:rPr>
              <w:t>三、互联网出口防火墙</w:t>
            </w:r>
          </w:p>
        </w:tc>
      </w:tr>
      <w:tr>
        <w:tc>
          <w:tcPr>
            <w:tcW w:type="dxa" w:w="1581"/>
            <w:tcBorders>
              <w:top w:val="none" w:color="000000" w:sz="4"/>
              <w:left w:val="single" w:color="000000" w:sz="4"/>
              <w:bottom w:val="single" w:color="000000" w:sz="4"/>
              <w:right w:val="single" w:color="000000" w:sz="4"/>
            </w:tcBorders>
            <w:shd w:fill="FFFFFF"/>
            <w:vAlign w:val="top"/>
          </w:tcPr>
          <w:p>
            <w:pPr>
              <w:jc w:val="center"/>
            </w:pPr>
            <w:r>
              <w:rPr>
                <w:sz w:val="21"/>
              </w:rPr>
              <w:t>防火墙</w:t>
            </w:r>
          </w:p>
        </w:tc>
        <w:tc>
          <w:tcPr>
            <w:tcW w:type="dxa" w:w="3850"/>
            <w:tcBorders>
              <w:top w:val="single" w:color="000000" w:sz="4"/>
              <w:left w:val="single" w:color="000000" w:sz="4"/>
              <w:bottom w:val="single" w:color="000000" w:sz="4"/>
              <w:right w:val="single" w:color="000000" w:sz="4"/>
            </w:tcBorders>
            <w:vAlign w:val="top"/>
          </w:tcPr>
          <w:p>
            <w:pPr>
              <w:jc w:val="both"/>
            </w:pPr>
            <w:r>
              <w:rPr>
                <w:sz w:val="21"/>
              </w:rPr>
              <w:t>详见互联网出口防火墙</w:t>
            </w:r>
            <w:r>
              <w:rPr>
                <w:sz w:val="21"/>
              </w:rPr>
              <w:t>技术</w:t>
            </w:r>
            <w:r>
              <w:rPr>
                <w:sz w:val="21"/>
              </w:rPr>
              <w:t>(</w:t>
            </w:r>
            <w:r>
              <w:rPr>
                <w:sz w:val="21"/>
              </w:rPr>
              <w:t>参数</w:t>
            </w:r>
            <w:r>
              <w:rPr>
                <w:sz w:val="21"/>
              </w:rPr>
              <w:t>)</w:t>
            </w:r>
            <w:r>
              <w:rPr>
                <w:sz w:val="21"/>
              </w:rPr>
              <w:t>要求</w:t>
            </w:r>
          </w:p>
        </w:tc>
        <w:tc>
          <w:tcPr>
            <w:tcW w:type="dxa" w:w="981"/>
            <w:tcBorders>
              <w:top w:val="single" w:color="000000" w:sz="4"/>
              <w:left w:val="single" w:color="000000" w:sz="4"/>
              <w:bottom w:val="single" w:color="000000" w:sz="4"/>
              <w:right w:val="single" w:color="000000" w:sz="4"/>
            </w:tcBorders>
            <w:shd w:fill="FFFFFF"/>
            <w:vAlign w:val="top"/>
          </w:tcPr>
          <w:p>
            <w:pPr>
              <w:ind w:firstLine="210"/>
              <w:jc w:val="both"/>
            </w:pPr>
            <w:r>
              <w:rPr>
                <w:sz w:val="21"/>
              </w:rPr>
              <w:t>台</w:t>
            </w:r>
          </w:p>
        </w:tc>
        <w:tc>
          <w:tcPr>
            <w:tcW w:type="dxa" w:w="1186"/>
            <w:tcBorders>
              <w:top w:val="single" w:color="000000" w:sz="4"/>
              <w:left w:val="single" w:color="000000" w:sz="4"/>
              <w:bottom w:val="single" w:color="000000" w:sz="4"/>
              <w:right w:val="single" w:color="000000" w:sz="4"/>
            </w:tcBorders>
            <w:shd w:fill="FFFFFF"/>
            <w:vAlign w:val="top"/>
          </w:tcPr>
          <w:p>
            <w:pPr>
              <w:ind w:firstLine="420"/>
              <w:jc w:val="both"/>
            </w:pPr>
            <w:r>
              <w:rPr>
                <w:sz w:val="21"/>
              </w:rPr>
              <w:t>2</w:t>
            </w:r>
          </w:p>
        </w:tc>
      </w:tr>
      <w:tr>
        <w:tc>
          <w:tcPr>
            <w:tcW w:type="dxa" w:w="7598"/>
            <w:gridSpan w:val="4"/>
            <w:tcBorders>
              <w:top w:val="none" w:color="000000" w:sz="4"/>
              <w:left w:val="single" w:color="000000" w:sz="4"/>
              <w:bottom w:val="single" w:color="000000" w:sz="4"/>
              <w:right w:val="single" w:color="000000" w:sz="4"/>
            </w:tcBorders>
            <w:shd w:fill="FFFFFF"/>
            <w:vAlign w:val="top"/>
          </w:tcPr>
          <w:p>
            <w:pPr>
              <w:ind w:firstLine="420"/>
              <w:jc w:val="both"/>
            </w:pPr>
            <w:r>
              <w:rPr>
                <w:sz w:val="21"/>
              </w:rPr>
              <w:t>四、上网行为管理</w:t>
            </w:r>
          </w:p>
        </w:tc>
      </w:tr>
      <w:tr>
        <w:tc>
          <w:tcPr>
            <w:tcW w:type="dxa" w:w="1581"/>
            <w:tcBorders>
              <w:top w:val="none" w:color="000000" w:sz="4"/>
              <w:left w:val="single" w:color="000000" w:sz="4"/>
              <w:bottom w:val="single" w:color="000000" w:sz="4"/>
              <w:right w:val="single" w:color="000000" w:sz="4"/>
            </w:tcBorders>
            <w:shd w:fill="FFFFFF"/>
            <w:vAlign w:val="top"/>
          </w:tcPr>
          <w:p>
            <w:pPr>
              <w:jc w:val="center"/>
            </w:pPr>
            <w:r>
              <w:rPr>
                <w:sz w:val="21"/>
              </w:rPr>
              <w:t>上网行为管理</w:t>
            </w:r>
          </w:p>
        </w:tc>
        <w:tc>
          <w:tcPr>
            <w:tcW w:type="dxa" w:w="3850"/>
            <w:tcBorders>
              <w:top w:val="single" w:color="000000" w:sz="4"/>
              <w:left w:val="single" w:color="000000" w:sz="4"/>
              <w:bottom w:val="single" w:color="000000" w:sz="4"/>
              <w:right w:val="single" w:color="000000" w:sz="4"/>
            </w:tcBorders>
            <w:vAlign w:val="top"/>
          </w:tcPr>
          <w:p>
            <w:pPr>
              <w:jc w:val="both"/>
            </w:pPr>
            <w:r>
              <w:rPr>
                <w:sz w:val="21"/>
              </w:rPr>
              <w:t>详见上网行为管理</w:t>
            </w:r>
            <w:r>
              <w:rPr>
                <w:sz w:val="21"/>
              </w:rPr>
              <w:t>技术</w:t>
            </w:r>
            <w:r>
              <w:rPr>
                <w:sz w:val="21"/>
              </w:rPr>
              <w:t>(</w:t>
            </w:r>
            <w:r>
              <w:rPr>
                <w:sz w:val="21"/>
              </w:rPr>
              <w:t>参数</w:t>
            </w:r>
            <w:r>
              <w:rPr>
                <w:sz w:val="21"/>
              </w:rPr>
              <w:t>)</w:t>
            </w:r>
            <w:r>
              <w:rPr>
                <w:sz w:val="21"/>
              </w:rPr>
              <w:t>要求</w:t>
            </w:r>
          </w:p>
        </w:tc>
        <w:tc>
          <w:tcPr>
            <w:tcW w:type="dxa" w:w="981"/>
            <w:tcBorders>
              <w:top w:val="single" w:color="000000" w:sz="4"/>
              <w:left w:val="single" w:color="000000" w:sz="4"/>
              <w:bottom w:val="single" w:color="000000" w:sz="4"/>
              <w:right w:val="single" w:color="000000" w:sz="4"/>
            </w:tcBorders>
            <w:shd w:fill="FFFFFF"/>
            <w:vAlign w:val="top"/>
          </w:tcPr>
          <w:p>
            <w:pPr>
              <w:ind w:firstLine="210"/>
              <w:jc w:val="both"/>
            </w:pPr>
            <w:r>
              <w:rPr>
                <w:sz w:val="21"/>
              </w:rPr>
              <w:t>台</w:t>
            </w:r>
          </w:p>
        </w:tc>
        <w:tc>
          <w:tcPr>
            <w:tcW w:type="dxa" w:w="1186"/>
            <w:tcBorders>
              <w:top w:val="single" w:color="000000" w:sz="4"/>
              <w:left w:val="single" w:color="000000" w:sz="4"/>
              <w:bottom w:val="single" w:color="000000" w:sz="4"/>
              <w:right w:val="single" w:color="000000" w:sz="4"/>
            </w:tcBorders>
            <w:shd w:fill="FFFFFF"/>
            <w:vAlign w:val="top"/>
          </w:tcPr>
          <w:p>
            <w:pPr>
              <w:ind w:firstLine="420"/>
              <w:jc w:val="both"/>
            </w:pPr>
            <w:r>
              <w:rPr>
                <w:sz w:val="21"/>
              </w:rPr>
              <w:t>1</w:t>
            </w:r>
          </w:p>
        </w:tc>
      </w:tr>
      <w:tr>
        <w:tc>
          <w:tcPr>
            <w:tcW w:type="dxa" w:w="7598"/>
            <w:gridSpan w:val="4"/>
            <w:tcBorders>
              <w:top w:val="none" w:color="000000" w:sz="4"/>
              <w:left w:val="single" w:color="000000" w:sz="4"/>
              <w:bottom w:val="single" w:color="000000" w:sz="4"/>
              <w:right w:val="single" w:color="000000" w:sz="4"/>
            </w:tcBorders>
            <w:shd w:fill="FFFFFF"/>
            <w:vAlign w:val="top"/>
          </w:tcPr>
          <w:p>
            <w:pPr>
              <w:ind w:firstLine="420"/>
              <w:jc w:val="both"/>
            </w:pPr>
            <w:r>
              <w:rPr>
                <w:sz w:val="21"/>
              </w:rPr>
              <w:t>五、网闸</w:t>
            </w:r>
          </w:p>
        </w:tc>
      </w:tr>
      <w:tr>
        <w:tc>
          <w:tcPr>
            <w:tcW w:type="dxa" w:w="1581"/>
            <w:tcBorders>
              <w:top w:val="none" w:color="000000" w:sz="4"/>
              <w:left w:val="single" w:color="000000" w:sz="4"/>
              <w:bottom w:val="single" w:color="000000" w:sz="4"/>
              <w:right w:val="single" w:color="000000" w:sz="4"/>
            </w:tcBorders>
            <w:shd w:fill="FFFFFF"/>
            <w:vAlign w:val="top"/>
          </w:tcPr>
          <w:p>
            <w:pPr>
              <w:jc w:val="center"/>
            </w:pPr>
            <w:r>
              <w:rPr>
                <w:sz w:val="21"/>
              </w:rPr>
              <w:t>网闸</w:t>
            </w:r>
          </w:p>
        </w:tc>
        <w:tc>
          <w:tcPr>
            <w:tcW w:type="dxa" w:w="3850"/>
            <w:tcBorders>
              <w:top w:val="single" w:color="000000" w:sz="4"/>
              <w:left w:val="single" w:color="000000" w:sz="4"/>
              <w:bottom w:val="single" w:color="000000" w:sz="4"/>
              <w:right w:val="single" w:color="000000" w:sz="4"/>
            </w:tcBorders>
            <w:vAlign w:val="top"/>
          </w:tcPr>
          <w:p>
            <w:pPr>
              <w:jc w:val="both"/>
            </w:pPr>
            <w:r>
              <w:rPr>
                <w:sz w:val="21"/>
              </w:rPr>
              <w:t>详见网闸</w:t>
            </w:r>
            <w:r>
              <w:rPr>
                <w:sz w:val="21"/>
              </w:rPr>
              <w:t>技术</w:t>
            </w:r>
            <w:r>
              <w:rPr>
                <w:sz w:val="21"/>
              </w:rPr>
              <w:t>(</w:t>
            </w:r>
            <w:r>
              <w:rPr>
                <w:sz w:val="21"/>
              </w:rPr>
              <w:t>参数</w:t>
            </w:r>
            <w:r>
              <w:rPr>
                <w:sz w:val="21"/>
              </w:rPr>
              <w:t>)</w:t>
            </w:r>
            <w:r>
              <w:rPr>
                <w:sz w:val="21"/>
              </w:rPr>
              <w:t>要求</w:t>
            </w:r>
          </w:p>
        </w:tc>
        <w:tc>
          <w:tcPr>
            <w:tcW w:type="dxa" w:w="981"/>
            <w:tcBorders>
              <w:top w:val="single" w:color="000000" w:sz="4"/>
              <w:left w:val="single" w:color="000000" w:sz="4"/>
              <w:bottom w:val="single" w:color="000000" w:sz="4"/>
              <w:right w:val="single" w:color="000000" w:sz="4"/>
            </w:tcBorders>
            <w:shd w:fill="FFFFFF"/>
            <w:vAlign w:val="top"/>
          </w:tcPr>
          <w:p>
            <w:pPr>
              <w:ind w:firstLine="210"/>
              <w:jc w:val="both"/>
            </w:pPr>
            <w:r>
              <w:rPr>
                <w:sz w:val="21"/>
              </w:rPr>
              <w:t>台</w:t>
            </w:r>
          </w:p>
        </w:tc>
        <w:tc>
          <w:tcPr>
            <w:tcW w:type="dxa" w:w="1186"/>
            <w:tcBorders>
              <w:top w:val="single" w:color="000000" w:sz="4"/>
              <w:left w:val="single" w:color="000000" w:sz="4"/>
              <w:bottom w:val="single" w:color="000000" w:sz="4"/>
              <w:right w:val="single" w:color="000000" w:sz="4"/>
            </w:tcBorders>
            <w:shd w:fill="FFFFFF"/>
            <w:vAlign w:val="top"/>
          </w:tcPr>
          <w:p>
            <w:pPr>
              <w:ind w:firstLine="420"/>
              <w:jc w:val="both"/>
            </w:pPr>
            <w:r>
              <w:rPr>
                <w:sz w:val="21"/>
              </w:rPr>
              <w:t>1</w:t>
            </w:r>
          </w:p>
        </w:tc>
      </w:tr>
      <w:tr>
        <w:tc>
          <w:tcPr>
            <w:tcW w:type="dxa" w:w="7598"/>
            <w:gridSpan w:val="4"/>
            <w:tcBorders>
              <w:top w:val="none" w:color="000000" w:sz="4"/>
              <w:left w:val="single" w:color="000000" w:sz="4"/>
              <w:bottom w:val="single" w:color="000000" w:sz="4"/>
              <w:right w:val="single" w:color="000000" w:sz="4"/>
            </w:tcBorders>
            <w:shd w:fill="FFFFFF"/>
            <w:vAlign w:val="top"/>
          </w:tcPr>
          <w:p>
            <w:pPr>
              <w:ind w:firstLine="420"/>
              <w:jc w:val="both"/>
            </w:pPr>
            <w:r>
              <w:rPr>
                <w:sz w:val="21"/>
              </w:rPr>
              <w:t>六、云统一安全平台</w:t>
            </w:r>
          </w:p>
        </w:tc>
      </w:tr>
      <w:tr>
        <w:tc>
          <w:tcPr>
            <w:tcW w:type="dxa" w:w="1581"/>
            <w:tcBorders>
              <w:top w:val="none" w:color="000000" w:sz="4"/>
              <w:left w:val="single" w:color="000000" w:sz="4"/>
              <w:bottom w:val="single" w:color="000000" w:sz="4"/>
              <w:right w:val="single" w:color="000000" w:sz="4"/>
            </w:tcBorders>
            <w:shd w:fill="FFFFFF"/>
            <w:vAlign w:val="top"/>
          </w:tcPr>
          <w:p>
            <w:pPr>
              <w:jc w:val="center"/>
            </w:pPr>
            <w:r>
              <w:rPr>
                <w:sz w:val="21"/>
              </w:rPr>
              <w:t>云统一安全平台</w:t>
            </w:r>
          </w:p>
        </w:tc>
        <w:tc>
          <w:tcPr>
            <w:tcW w:type="dxa" w:w="3850"/>
            <w:tcBorders>
              <w:top w:val="single" w:color="000000" w:sz="4"/>
              <w:left w:val="single" w:color="000000" w:sz="4"/>
              <w:bottom w:val="single" w:color="000000" w:sz="4"/>
              <w:right w:val="single" w:color="000000" w:sz="4"/>
            </w:tcBorders>
            <w:vAlign w:val="top"/>
          </w:tcPr>
          <w:p>
            <w:pPr>
              <w:jc w:val="both"/>
            </w:pPr>
            <w:r>
              <w:rPr>
                <w:sz w:val="21"/>
              </w:rPr>
              <w:t>详见云统一安全平台</w:t>
            </w:r>
            <w:r>
              <w:rPr>
                <w:sz w:val="21"/>
              </w:rPr>
              <w:t>技术</w:t>
            </w:r>
            <w:r>
              <w:rPr>
                <w:sz w:val="21"/>
              </w:rPr>
              <w:t>(</w:t>
            </w:r>
            <w:r>
              <w:rPr>
                <w:sz w:val="21"/>
              </w:rPr>
              <w:t>参数</w:t>
            </w:r>
            <w:r>
              <w:rPr>
                <w:sz w:val="21"/>
              </w:rPr>
              <w:t>)</w:t>
            </w:r>
            <w:r>
              <w:rPr>
                <w:sz w:val="21"/>
              </w:rPr>
              <w:t>要求</w:t>
            </w:r>
          </w:p>
        </w:tc>
        <w:tc>
          <w:tcPr>
            <w:tcW w:type="dxa" w:w="981"/>
            <w:tcBorders>
              <w:top w:val="single" w:color="000000" w:sz="4"/>
              <w:left w:val="single" w:color="000000" w:sz="4"/>
              <w:bottom w:val="single" w:color="000000" w:sz="4"/>
              <w:right w:val="single" w:color="000000" w:sz="4"/>
            </w:tcBorders>
            <w:shd w:fill="FFFFFF"/>
            <w:vAlign w:val="top"/>
          </w:tcPr>
          <w:p>
            <w:pPr>
              <w:ind w:firstLine="210"/>
              <w:jc w:val="both"/>
            </w:pPr>
            <w:r>
              <w:rPr>
                <w:sz w:val="21"/>
              </w:rPr>
              <w:t>套</w:t>
            </w:r>
          </w:p>
        </w:tc>
        <w:tc>
          <w:tcPr>
            <w:tcW w:type="dxa" w:w="1186"/>
            <w:tcBorders>
              <w:top w:val="single" w:color="000000" w:sz="4"/>
              <w:left w:val="single" w:color="000000" w:sz="4"/>
              <w:bottom w:val="single" w:color="000000" w:sz="4"/>
              <w:right w:val="single" w:color="000000" w:sz="4"/>
            </w:tcBorders>
            <w:shd w:fill="FFFFFF"/>
            <w:vAlign w:val="top"/>
          </w:tcPr>
          <w:p>
            <w:pPr>
              <w:ind w:firstLine="420"/>
              <w:jc w:val="both"/>
            </w:pPr>
            <w:r>
              <w:rPr>
                <w:sz w:val="21"/>
              </w:rPr>
              <w:t>1</w:t>
            </w:r>
          </w:p>
        </w:tc>
      </w:tr>
      <w:tr>
        <w:tc>
          <w:tcPr>
            <w:tcW w:type="dxa" w:w="7598"/>
            <w:gridSpan w:val="4"/>
            <w:tcBorders>
              <w:top w:val="none" w:color="000000" w:sz="4"/>
              <w:left w:val="single" w:color="000000" w:sz="4"/>
              <w:bottom w:val="single" w:color="000000" w:sz="4"/>
              <w:right w:val="single" w:color="000000" w:sz="4"/>
            </w:tcBorders>
            <w:shd w:fill="FFFFFF"/>
            <w:vAlign w:val="top"/>
          </w:tcPr>
          <w:p>
            <w:pPr>
              <w:ind w:firstLine="420"/>
              <w:jc w:val="both"/>
            </w:pPr>
            <w:r>
              <w:rPr>
                <w:sz w:val="21"/>
              </w:rPr>
              <w:t>七、潜伏威胁探针系统</w:t>
            </w:r>
          </w:p>
        </w:tc>
      </w:tr>
      <w:tr>
        <w:tc>
          <w:tcPr>
            <w:tcW w:type="dxa" w:w="1581"/>
            <w:tcBorders>
              <w:top w:val="none" w:color="000000" w:sz="4"/>
              <w:left w:val="single" w:color="000000" w:sz="4"/>
              <w:bottom w:val="single" w:color="000000" w:sz="4"/>
              <w:right w:val="single" w:color="000000" w:sz="4"/>
            </w:tcBorders>
            <w:shd w:fill="FFFFFF"/>
            <w:vAlign w:val="top"/>
          </w:tcPr>
          <w:p>
            <w:pPr>
              <w:jc w:val="center"/>
            </w:pPr>
            <w:r>
              <w:rPr>
                <w:sz w:val="21"/>
              </w:rPr>
              <w:t>探针</w:t>
            </w:r>
          </w:p>
        </w:tc>
        <w:tc>
          <w:tcPr>
            <w:tcW w:type="dxa" w:w="3850"/>
            <w:tcBorders>
              <w:top w:val="single" w:color="000000" w:sz="4"/>
              <w:left w:val="single" w:color="000000" w:sz="4"/>
              <w:bottom w:val="single" w:color="000000" w:sz="4"/>
              <w:right w:val="single" w:color="000000" w:sz="4"/>
            </w:tcBorders>
            <w:vAlign w:val="top"/>
          </w:tcPr>
          <w:p>
            <w:pPr>
              <w:jc w:val="both"/>
            </w:pPr>
            <w:r>
              <w:rPr>
                <w:sz w:val="21"/>
              </w:rPr>
              <w:t>详见潜伏威胁探针系统</w:t>
            </w:r>
            <w:r>
              <w:rPr>
                <w:sz w:val="21"/>
              </w:rPr>
              <w:t>技术</w:t>
            </w:r>
            <w:r>
              <w:rPr>
                <w:sz w:val="21"/>
              </w:rPr>
              <w:t>(</w:t>
            </w:r>
            <w:r>
              <w:rPr>
                <w:sz w:val="21"/>
              </w:rPr>
              <w:t>参数</w:t>
            </w:r>
            <w:r>
              <w:rPr>
                <w:sz w:val="21"/>
              </w:rPr>
              <w:t>)</w:t>
            </w:r>
            <w:r>
              <w:rPr>
                <w:sz w:val="21"/>
              </w:rPr>
              <w:t>要求</w:t>
            </w:r>
          </w:p>
        </w:tc>
        <w:tc>
          <w:tcPr>
            <w:tcW w:type="dxa" w:w="981"/>
            <w:tcBorders>
              <w:top w:val="single" w:color="000000" w:sz="4"/>
              <w:left w:val="single" w:color="000000" w:sz="4"/>
              <w:bottom w:val="single" w:color="000000" w:sz="4"/>
              <w:right w:val="single" w:color="000000" w:sz="4"/>
            </w:tcBorders>
            <w:shd w:fill="FFFFFF"/>
            <w:vAlign w:val="top"/>
          </w:tcPr>
          <w:p>
            <w:pPr>
              <w:ind w:firstLine="210"/>
              <w:jc w:val="both"/>
            </w:pPr>
            <w:r>
              <w:rPr>
                <w:sz w:val="21"/>
              </w:rPr>
              <w:t>台</w:t>
            </w:r>
          </w:p>
        </w:tc>
        <w:tc>
          <w:tcPr>
            <w:tcW w:type="dxa" w:w="1186"/>
            <w:tcBorders>
              <w:top w:val="single" w:color="000000" w:sz="4"/>
              <w:left w:val="single" w:color="000000" w:sz="4"/>
              <w:bottom w:val="single" w:color="000000" w:sz="4"/>
              <w:right w:val="single" w:color="000000" w:sz="4"/>
            </w:tcBorders>
            <w:shd w:fill="FFFFFF"/>
            <w:vAlign w:val="top"/>
          </w:tcPr>
          <w:p>
            <w:pPr>
              <w:ind w:firstLine="420"/>
              <w:jc w:val="both"/>
            </w:pPr>
            <w:r>
              <w:rPr>
                <w:sz w:val="21"/>
              </w:rPr>
              <w:t>1</w:t>
            </w:r>
          </w:p>
        </w:tc>
      </w:tr>
      <w:tr>
        <w:tc>
          <w:tcPr>
            <w:tcW w:type="dxa" w:w="7598"/>
            <w:gridSpan w:val="4"/>
            <w:tcBorders>
              <w:top w:val="none" w:color="000000" w:sz="4"/>
              <w:left w:val="single" w:color="000000" w:sz="4"/>
              <w:bottom w:val="single" w:color="000000" w:sz="4"/>
              <w:right w:val="single" w:color="000000" w:sz="4"/>
            </w:tcBorders>
            <w:shd w:fill="FFFFFF"/>
            <w:vAlign w:val="top"/>
          </w:tcPr>
          <w:p>
            <w:pPr>
              <w:ind w:firstLine="420"/>
              <w:jc w:val="both"/>
            </w:pPr>
            <w:r>
              <w:rPr>
                <w:sz w:val="21"/>
              </w:rPr>
              <w:t>八、安全感知管理平台</w:t>
            </w:r>
          </w:p>
        </w:tc>
      </w:tr>
      <w:tr>
        <w:tc>
          <w:tcPr>
            <w:tcW w:type="dxa" w:w="1581"/>
            <w:tcBorders>
              <w:top w:val="none" w:color="000000" w:sz="4"/>
              <w:left w:val="single" w:color="000000" w:sz="4"/>
              <w:bottom w:val="single" w:color="000000" w:sz="4"/>
              <w:right w:val="single" w:color="000000" w:sz="4"/>
            </w:tcBorders>
            <w:shd w:fill="FFFFFF"/>
            <w:vAlign w:val="top"/>
          </w:tcPr>
          <w:p>
            <w:pPr>
              <w:jc w:val="center"/>
            </w:pPr>
            <w:r>
              <w:rPr>
                <w:sz w:val="21"/>
              </w:rPr>
              <w:t>安全感知管理平台</w:t>
            </w:r>
          </w:p>
        </w:tc>
        <w:tc>
          <w:tcPr>
            <w:tcW w:type="dxa" w:w="3850"/>
            <w:tcBorders>
              <w:top w:val="single" w:color="000000" w:sz="4"/>
              <w:left w:val="single" w:color="000000" w:sz="4"/>
              <w:bottom w:val="single" w:color="000000" w:sz="4"/>
              <w:right w:val="single" w:color="000000" w:sz="4"/>
            </w:tcBorders>
            <w:vAlign w:val="top"/>
          </w:tcPr>
          <w:p>
            <w:pPr>
              <w:jc w:val="both"/>
            </w:pPr>
            <w:r>
              <w:rPr>
                <w:sz w:val="21"/>
              </w:rPr>
              <w:t>详见安全感知管理平台</w:t>
            </w:r>
            <w:r>
              <w:rPr>
                <w:sz w:val="21"/>
              </w:rPr>
              <w:t>技术</w:t>
            </w:r>
            <w:r>
              <w:rPr>
                <w:sz w:val="21"/>
              </w:rPr>
              <w:t>(</w:t>
            </w:r>
            <w:r>
              <w:rPr>
                <w:sz w:val="21"/>
              </w:rPr>
              <w:t>参数</w:t>
            </w:r>
            <w:r>
              <w:rPr>
                <w:sz w:val="21"/>
              </w:rPr>
              <w:t>)</w:t>
            </w:r>
            <w:r>
              <w:rPr>
                <w:sz w:val="21"/>
              </w:rPr>
              <w:t>要求</w:t>
            </w:r>
          </w:p>
        </w:tc>
        <w:tc>
          <w:tcPr>
            <w:tcW w:type="dxa" w:w="981"/>
            <w:tcBorders>
              <w:top w:val="single" w:color="000000" w:sz="4"/>
              <w:left w:val="single" w:color="000000" w:sz="4"/>
              <w:bottom w:val="single" w:color="000000" w:sz="4"/>
              <w:right w:val="single" w:color="000000" w:sz="4"/>
            </w:tcBorders>
            <w:shd w:fill="FFFFFF"/>
            <w:vAlign w:val="top"/>
          </w:tcPr>
          <w:p>
            <w:pPr>
              <w:ind w:firstLine="210"/>
              <w:jc w:val="both"/>
            </w:pPr>
            <w:r>
              <w:rPr>
                <w:sz w:val="21"/>
              </w:rPr>
              <w:t>台</w:t>
            </w:r>
          </w:p>
        </w:tc>
        <w:tc>
          <w:tcPr>
            <w:tcW w:type="dxa" w:w="1186"/>
            <w:tcBorders>
              <w:top w:val="single" w:color="000000" w:sz="4"/>
              <w:left w:val="single" w:color="000000" w:sz="4"/>
              <w:bottom w:val="single" w:color="000000" w:sz="4"/>
              <w:right w:val="single" w:color="000000" w:sz="4"/>
            </w:tcBorders>
            <w:shd w:fill="FFFFFF"/>
            <w:vAlign w:val="top"/>
          </w:tcPr>
          <w:p>
            <w:pPr>
              <w:ind w:firstLine="420"/>
              <w:jc w:val="both"/>
            </w:pPr>
            <w:r>
              <w:rPr>
                <w:sz w:val="21"/>
              </w:rPr>
              <w:t>1</w:t>
            </w:r>
          </w:p>
        </w:tc>
      </w:tr>
      <w:tr>
        <w:tc>
          <w:tcPr>
            <w:tcW w:type="dxa" w:w="7598"/>
            <w:gridSpan w:val="4"/>
            <w:tcBorders>
              <w:top w:val="none" w:color="000000" w:sz="4"/>
              <w:left w:val="single" w:color="000000" w:sz="4"/>
              <w:bottom w:val="single" w:color="000000" w:sz="4"/>
              <w:right w:val="single" w:color="000000" w:sz="4"/>
            </w:tcBorders>
            <w:shd w:fill="FFFFFF"/>
            <w:vAlign w:val="top"/>
          </w:tcPr>
          <w:p>
            <w:pPr>
              <w:ind w:firstLine="420"/>
              <w:jc w:val="both"/>
            </w:pPr>
            <w:r>
              <w:rPr>
                <w:sz w:val="21"/>
              </w:rPr>
              <w:t>九、零信任综合网关</w:t>
            </w:r>
          </w:p>
        </w:tc>
      </w:tr>
      <w:tr>
        <w:tc>
          <w:tcPr>
            <w:tcW w:type="dxa" w:w="1581"/>
            <w:tcBorders>
              <w:top w:val="none" w:color="000000" w:sz="4"/>
              <w:left w:val="single" w:color="000000" w:sz="4"/>
              <w:bottom w:val="single" w:color="000000" w:sz="4"/>
              <w:right w:val="single" w:color="000000" w:sz="4"/>
            </w:tcBorders>
            <w:shd w:fill="FFFFFF"/>
            <w:vAlign w:val="top"/>
          </w:tcPr>
          <w:p>
            <w:pPr>
              <w:jc w:val="center"/>
            </w:pPr>
            <w:r>
              <w:rPr>
                <w:sz w:val="21"/>
              </w:rPr>
              <w:t>综合网关</w:t>
            </w:r>
          </w:p>
        </w:tc>
        <w:tc>
          <w:tcPr>
            <w:tcW w:type="dxa" w:w="3850"/>
            <w:tcBorders>
              <w:top w:val="single" w:color="000000" w:sz="4"/>
              <w:left w:val="single" w:color="000000" w:sz="4"/>
              <w:bottom w:val="single" w:color="000000" w:sz="4"/>
              <w:right w:val="single" w:color="000000" w:sz="4"/>
            </w:tcBorders>
            <w:vAlign w:val="top"/>
          </w:tcPr>
          <w:p>
            <w:pPr>
              <w:jc w:val="both"/>
            </w:pPr>
            <w:r>
              <w:rPr>
                <w:sz w:val="21"/>
              </w:rPr>
              <w:t>详见零信任综合网关</w:t>
            </w:r>
            <w:r>
              <w:rPr>
                <w:sz w:val="21"/>
              </w:rPr>
              <w:t>技术</w:t>
            </w:r>
            <w:r>
              <w:rPr>
                <w:sz w:val="21"/>
              </w:rPr>
              <w:t>(</w:t>
            </w:r>
            <w:r>
              <w:rPr>
                <w:sz w:val="21"/>
              </w:rPr>
              <w:t>参数</w:t>
            </w:r>
            <w:r>
              <w:rPr>
                <w:sz w:val="21"/>
              </w:rPr>
              <w:t>)</w:t>
            </w:r>
            <w:r>
              <w:rPr>
                <w:sz w:val="21"/>
              </w:rPr>
              <w:t>要求</w:t>
            </w:r>
          </w:p>
        </w:tc>
        <w:tc>
          <w:tcPr>
            <w:tcW w:type="dxa" w:w="981"/>
            <w:tcBorders>
              <w:top w:val="single" w:color="000000" w:sz="4"/>
              <w:left w:val="single" w:color="000000" w:sz="4"/>
              <w:bottom w:val="single" w:color="000000" w:sz="4"/>
              <w:right w:val="single" w:color="000000" w:sz="4"/>
            </w:tcBorders>
            <w:shd w:fill="FFFFFF"/>
            <w:vAlign w:val="top"/>
          </w:tcPr>
          <w:p>
            <w:pPr>
              <w:ind w:firstLine="210"/>
              <w:jc w:val="both"/>
            </w:pPr>
            <w:r>
              <w:rPr>
                <w:sz w:val="21"/>
              </w:rPr>
              <w:t>台</w:t>
            </w:r>
          </w:p>
        </w:tc>
        <w:tc>
          <w:tcPr>
            <w:tcW w:type="dxa" w:w="1186"/>
            <w:tcBorders>
              <w:top w:val="single" w:color="000000" w:sz="4"/>
              <w:left w:val="single" w:color="000000" w:sz="4"/>
              <w:bottom w:val="single" w:color="000000" w:sz="4"/>
              <w:right w:val="single" w:color="000000" w:sz="4"/>
            </w:tcBorders>
            <w:shd w:fill="FFFFFF"/>
            <w:vAlign w:val="top"/>
          </w:tcPr>
          <w:p>
            <w:pPr>
              <w:ind w:firstLine="420"/>
              <w:jc w:val="both"/>
            </w:pPr>
            <w:r>
              <w:rPr>
                <w:sz w:val="21"/>
              </w:rPr>
              <w:t>1</w:t>
            </w:r>
          </w:p>
        </w:tc>
      </w:tr>
      <w:tr>
        <w:tc>
          <w:tcPr>
            <w:tcW w:type="dxa" w:w="7598"/>
            <w:gridSpan w:val="4"/>
            <w:tcBorders>
              <w:top w:val="none" w:color="000000" w:sz="4"/>
              <w:left w:val="single" w:color="000000" w:sz="4"/>
              <w:bottom w:val="single" w:color="000000" w:sz="4"/>
              <w:right w:val="single" w:color="000000" w:sz="4"/>
            </w:tcBorders>
            <w:shd w:fill="FFFFFF"/>
            <w:vAlign w:val="top"/>
          </w:tcPr>
          <w:p>
            <w:pPr>
              <w:ind w:firstLine="420"/>
              <w:jc w:val="both"/>
            </w:pPr>
            <w:r>
              <w:rPr>
                <w:sz w:val="21"/>
              </w:rPr>
              <w:t>十、网络安全服务</w:t>
            </w:r>
          </w:p>
        </w:tc>
      </w:tr>
      <w:tr>
        <w:tc>
          <w:tcPr>
            <w:tcW w:type="dxa" w:w="1581"/>
            <w:tcBorders>
              <w:top w:val="none" w:color="000000" w:sz="4"/>
              <w:left w:val="single" w:color="000000" w:sz="4"/>
              <w:bottom w:val="single" w:color="000000" w:sz="4"/>
              <w:right w:val="single" w:color="000000" w:sz="4"/>
            </w:tcBorders>
            <w:shd w:fill="FFFFFF"/>
            <w:vAlign w:val="top"/>
          </w:tcPr>
          <w:p>
            <w:pPr>
              <w:jc w:val="center"/>
            </w:pPr>
            <w:r>
              <w:rPr>
                <w:sz w:val="21"/>
              </w:rPr>
              <w:t>安全服务</w:t>
            </w:r>
          </w:p>
        </w:tc>
        <w:tc>
          <w:tcPr>
            <w:tcW w:type="dxa" w:w="3850"/>
            <w:tcBorders>
              <w:top w:val="single" w:color="000000" w:sz="4"/>
              <w:left w:val="single" w:color="000000" w:sz="4"/>
              <w:bottom w:val="single" w:color="000000" w:sz="4"/>
              <w:right w:val="single" w:color="000000" w:sz="4"/>
            </w:tcBorders>
            <w:vAlign w:val="top"/>
          </w:tcPr>
          <w:p>
            <w:pPr>
              <w:jc w:val="both"/>
            </w:pPr>
            <w:r>
              <w:rPr>
                <w:sz w:val="21"/>
              </w:rPr>
              <w:t>详见网络安全服务</w:t>
            </w:r>
            <w:r>
              <w:rPr>
                <w:sz w:val="21"/>
              </w:rPr>
              <w:t>技术</w:t>
            </w:r>
            <w:r>
              <w:rPr>
                <w:sz w:val="21"/>
              </w:rPr>
              <w:t>(</w:t>
            </w:r>
            <w:r>
              <w:rPr>
                <w:sz w:val="21"/>
              </w:rPr>
              <w:t>参数</w:t>
            </w:r>
            <w:r>
              <w:rPr>
                <w:sz w:val="21"/>
              </w:rPr>
              <w:t>)</w:t>
            </w:r>
            <w:r>
              <w:rPr>
                <w:sz w:val="21"/>
              </w:rPr>
              <w:t>要求</w:t>
            </w:r>
          </w:p>
        </w:tc>
        <w:tc>
          <w:tcPr>
            <w:tcW w:type="dxa" w:w="981"/>
            <w:tcBorders>
              <w:top w:val="single" w:color="000000" w:sz="4"/>
              <w:left w:val="single" w:color="000000" w:sz="4"/>
              <w:bottom w:val="single" w:color="000000" w:sz="4"/>
              <w:right w:val="single" w:color="000000" w:sz="4"/>
            </w:tcBorders>
            <w:shd w:fill="FFFFFF"/>
            <w:vAlign w:val="top"/>
          </w:tcPr>
          <w:p>
            <w:pPr>
              <w:ind w:firstLine="210"/>
              <w:jc w:val="both"/>
            </w:pPr>
            <w:r>
              <w:rPr>
                <w:sz w:val="21"/>
              </w:rPr>
              <w:t>年</w:t>
            </w:r>
          </w:p>
        </w:tc>
        <w:tc>
          <w:tcPr>
            <w:tcW w:type="dxa" w:w="1186"/>
            <w:tcBorders>
              <w:top w:val="single" w:color="000000" w:sz="4"/>
              <w:left w:val="single" w:color="000000" w:sz="4"/>
              <w:bottom w:val="single" w:color="000000" w:sz="4"/>
              <w:right w:val="single" w:color="000000" w:sz="4"/>
            </w:tcBorders>
            <w:shd w:fill="FFFFFF"/>
            <w:vAlign w:val="top"/>
          </w:tcPr>
          <w:p>
            <w:pPr>
              <w:ind w:firstLine="420"/>
              <w:jc w:val="both"/>
            </w:pPr>
            <w:r>
              <w:rPr>
                <w:sz w:val="21"/>
              </w:rPr>
              <w:t>1</w:t>
            </w:r>
          </w:p>
        </w:tc>
      </w:tr>
    </w:tbl>
    <w:p>
      <w:pPr>
        <w:jc w:val="both"/>
      </w:pPr>
      <w:r>
        <w:rPr>
          <w:b/>
          <w:sz w:val="24"/>
        </w:rPr>
        <w:t>四、项目基本要求</w:t>
      </w:r>
      <w:r>
        <w:rPr>
          <w:b/>
          <w:sz w:val="24"/>
        </w:rPr>
        <w:t>：</w:t>
      </w:r>
    </w:p>
    <w:p>
      <w:pPr>
        <w:jc w:val="left"/>
      </w:pPr>
      <w:r>
        <w:rPr>
          <w:sz w:val="21"/>
        </w:rPr>
        <w:t>1.投标人应提供已注册品牌制造商原装、全新的、符合国家及用户提出的有关质量标准的货物，如果在验收过程中发现交付物存在非原装正品，采购人有权取消合同。</w:t>
      </w:r>
    </w:p>
    <w:p>
      <w:pPr>
        <w:jc w:val="left"/>
      </w:pPr>
      <w:r>
        <w:rPr>
          <w:sz w:val="21"/>
        </w:rPr>
        <w:t>2.所有货物在开箱检验时必须完好，无破损，配置与装箱单相符。数量、质量及性能不低于本需求书中提出的要求。</w:t>
      </w:r>
    </w:p>
    <w:p>
      <w:pPr>
        <w:jc w:val="left"/>
      </w:pPr>
      <w:r>
        <w:rPr>
          <w:sz w:val="21"/>
        </w:rPr>
        <w:t>3.货物外观清洁，标记编号以及盘面显示等字体清晰，明确能够准确无误地表示货物的型号、规格、制造商。</w:t>
      </w:r>
    </w:p>
    <w:p>
      <w:pPr>
        <w:jc w:val="left"/>
      </w:pPr>
      <w:r>
        <w:rPr>
          <w:sz w:val="21"/>
        </w:rPr>
        <w:t>4.对于影响货物正常工作的必要组成部分，无论在技术规范中指出与否，投标人都应提供并在投标文件中明确列出。</w:t>
      </w:r>
    </w:p>
    <w:p>
      <w:pPr>
        <w:jc w:val="left"/>
      </w:pPr>
      <w:r>
        <w:rPr>
          <w:sz w:val="21"/>
        </w:rPr>
        <w:t>5.投标人投标时所提供的货物如在实际供货时已经废型（不列入该厂家当时的产品系统），如果未能按原价提供更高配置的产品，则按违约处理。</w:t>
      </w:r>
    </w:p>
    <w:p>
      <w:pPr>
        <w:jc w:val="left"/>
      </w:pPr>
      <w:r>
        <w:rPr>
          <w:sz w:val="21"/>
        </w:rPr>
        <w:t>6.投标人在实际供货时，应提供货物清单、产品样本资料和产品技术性能条件说明书。若被发现提供的货物未能达到招标文件和投标文件中的有关要求，将按有关法规进行处罚。</w:t>
      </w:r>
    </w:p>
    <w:p>
      <w:pPr>
        <w:jc w:val="left"/>
      </w:pPr>
      <w:r>
        <w:rPr>
          <w:sz w:val="21"/>
        </w:rPr>
        <w:t>7.投标人所提供产品的性能，配置参数等不能低于招标文件所提出的要求。</w:t>
      </w:r>
    </w:p>
    <w:p>
      <w:pPr>
        <w:jc w:val="left"/>
      </w:pPr>
      <w:r>
        <w:rPr>
          <w:sz w:val="21"/>
        </w:rPr>
        <w:t>8.投标人应根据招标范围列表的内容在技术规格对比表中逐项应答，并在分项报价表中提供投标设备的品牌、实际产地、技术性能参数等详细的技术资料。</w:t>
      </w:r>
    </w:p>
    <w:p>
      <w:pPr>
        <w:jc w:val="left"/>
      </w:pPr>
      <w:r>
        <w:rPr>
          <w:sz w:val="21"/>
        </w:rPr>
        <w:t>9.投标人须承担所供货物牵涉的知识产权等法律责任。</w:t>
      </w:r>
    </w:p>
    <w:p>
      <w:pPr>
        <w:jc w:val="left"/>
      </w:pPr>
      <w:r>
        <w:rPr>
          <w:sz w:val="21"/>
        </w:rPr>
        <w:t>10.本用户需求中的有关要求，投标人没有在投标文件中注明偏离（文字说明或在技术、商务偏离表注明）的参数、配置、条款视为投标人完全接受。</w:t>
      </w:r>
    </w:p>
    <w:p>
      <w:pPr>
        <w:jc w:val="left"/>
      </w:pPr>
      <w:r>
        <w:rPr>
          <w:sz w:val="21"/>
        </w:rPr>
        <w:t>11.本项目要求中如有出现工艺、材料、设备或参照的品牌仅为方便描述而没有限制性，供应商可以在其提供的文件资料中选用替代标准，但这些替代标准必须相当于或优于本用户需求书的标准。</w:t>
      </w:r>
    </w:p>
    <w:p>
      <w:pPr>
        <w:jc w:val="left"/>
      </w:pPr>
      <w:r>
        <w:rPr>
          <w:sz w:val="21"/>
        </w:rPr>
        <w:t>12.投标人必须确保设备及所有配套件的完整性和可靠性。对于招标文件没有列出，而对该设备的正常运行和维护必不可少的部件、配件等，投标人有责任给予补充。</w:t>
      </w:r>
    </w:p>
    <w:p>
      <w:pPr>
        <w:jc w:val="left"/>
      </w:pPr>
      <w:r>
        <w:rPr>
          <w:b/>
          <w:sz w:val="21"/>
        </w:rPr>
        <w:t>★13.投标人须承诺在项目预中标后，采购人保留对中标人所投产品的测试权利。对于所供货产品进行用户现场测试中，发现不满足标的设备参数要求的，视为虚假应标，采购人有权报政府采购监管部门对其进行中止合同签订及相关处罚。</w:t>
      </w:r>
    </w:p>
    <w:p>
      <w:pPr>
        <w:jc w:val="left"/>
      </w:pPr>
      <w:r>
        <w:rPr>
          <w:b/>
          <w:sz w:val="21"/>
        </w:rPr>
        <w:t>★14.投标人承诺所投价格包含了完成项目所有建设费用，包括项目设备采购、软件开发、安装部署涉及的所有软硬件、辅材、人工等费用。</w:t>
      </w:r>
    </w:p>
    <w:p/>
    <w:p>
      <w:pPr>
        <w:ind w:firstLine="480"/>
      </w:pPr>
    </w:p>
    <w:p/>
    <w:p>
      <w:r>
        <w:rPr/>
        <w:t>合同包1（中山市博爱医院网络安全等级保护整改项目）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中标后30天内凭中标通知书签订合同，合同签订后45个日历天内完成所有采购货物的供货、安装、调试和验收，并交付给采购人正常使用。</w:t>
            </w:r>
          </w:p>
        </w:tc>
      </w:tr>
      <w:tr>
        <w:tc>
          <w:tcPr>
            <w:tcW w:type="dxa" w:w="4153"/>
          </w:tcPr>
          <w:p>
            <w:r>
              <w:rPr/>
              <w:t>标的提供的地点</w:t>
            </w:r>
          </w:p>
        </w:tc>
        <w:tc>
          <w:tcPr>
            <w:tcW w:type="dxa" w:w="4153"/>
          </w:tcPr>
          <w:p/>
          <w:p>
            <w:r>
              <w:rPr/>
              <w:t>中山市博爱医院</w:t>
            </w:r>
          </w:p>
        </w:tc>
      </w:tr>
      <w:tr>
        <w:tc>
          <w:tcPr>
            <w:tcW w:type="dxa" w:w="4153"/>
          </w:tcPr>
          <w:p>
            <w:r>
              <w:rPr/>
              <w:t>付款方式</w:t>
            </w:r>
          </w:p>
        </w:tc>
        <w:tc>
          <w:tcPr>
            <w:tcW w:type="dxa" w:w="4153"/>
          </w:tcPr>
          <w:p/>
          <w:p/>
          <w:p>
            <w:r>
              <w:rPr/>
              <w:t>1期：支付比例40%,本项目的款项以人民币结算，合同设备到采购人指定地点交付，采购人收到中标人提交的付款申请资料后，一个月内支付合同总金额的40%。采购人凭以下有效文件采用转账方式向中标人支付：(1) 中标通知书及合同；(2) 验收合格报告(加盖采购人公章)；(3) 中标人开具的当次应收款项等额正式发票。</w:t>
            </w:r>
          </w:p>
          <w:p/>
          <w:p>
            <w:r>
              <w:rPr/>
              <w:t>2期：支付比例50%,合同设备完成安装、调试，项目最终合格，采购人收到中标人提交的付款申请资料后，六个月内支付合同总金额的50%。采购人凭以下有效文件采用转账方式向中标人支付：(1) 中标通知书及合同；(2) 验收合格报告(加盖采购人公章)；(3) 中标人开具的当次应收款项等额正式发票。</w:t>
            </w:r>
          </w:p>
          <w:p/>
          <w:p>
            <w:r>
              <w:rPr/>
              <w:t>3期：支付比例10%,本项目硬件验收一年后，中标人完成一年的网络安全服务，采购人收到中标人提交的付款申请资料后，一个月内支付合同总金额的10%。采购人凭以下有效文件采用转账方式向中标人支付：(1) 中标通知书及合同；(2) 验收合格报告(加盖采购人公章)；(3) 中标人开具的当次应收款项等额正式发票。</w:t>
            </w:r>
          </w:p>
        </w:tc>
      </w:tr>
      <w:tr>
        <w:tc>
          <w:tcPr>
            <w:tcW w:type="dxa" w:w="4153"/>
          </w:tcPr>
          <w:p>
            <w:r>
              <w:rPr/>
              <w:t>验收要求</w:t>
            </w:r>
          </w:p>
        </w:tc>
        <w:tc>
          <w:tcPr>
            <w:tcW w:type="dxa" w:w="4153"/>
          </w:tcPr>
          <w:p/>
          <w:p/>
          <w:p/>
          <w:p>
            <w:r>
              <w:rPr/>
              <w:t>1期：1.投标人应给出项目详细的验收方案，包括验收项目、验收标准，验收实施办法等；2.设备交货及安装完工后由中标人和采购人共同验收，并出具验收报告, 中标人须为验收提供必需的设备、工具及其他便利条件；3.验收由采购人、中标人及相关人员依国家有关标准、合同及有关附件要求进行； 4.验收完毕由采购人及中标人在验收报告上签名。</w:t>
            </w:r>
          </w:p>
        </w:tc>
      </w:tr>
      <w:tr>
        <w:tc>
          <w:tcPr>
            <w:tcW w:type="dxa" w:w="4153"/>
          </w:tcPr>
          <w:p>
            <w:r>
              <w:rPr/>
              <w:t>履约保证金</w:t>
            </w:r>
          </w:p>
        </w:tc>
        <w:tc>
          <w:tcPr>
            <w:tcW w:type="dxa" w:w="4153"/>
          </w:tcPr>
          <w:p/>
          <w:p/>
          <w:p/>
          <w:p/>
          <w:p>
            <w:r>
              <w:rPr/>
              <w:t>收取比例：5%,说明：采购人在支付货款前10个工作日内需收到中标人中标金额5%的履约保证金；3年免费运维服务期满后，经考核合格，履约保证金于30个工作日内无息退还。</w:t>
            </w:r>
          </w:p>
        </w:tc>
      </w:tr>
      <w:tr>
        <w:tc>
          <w:tcPr>
            <w:tcW w:type="dxa" w:w="4153"/>
          </w:tcPr>
          <w:p>
            <w:r>
              <w:rPr/>
              <w:t>其他</w:t>
            </w:r>
          </w:p>
        </w:tc>
        <w:tc>
          <w:tcPr>
            <w:tcW w:type="dxa" w:w="4153"/>
          </w:tcPr>
          <w:p/>
        </w:tc>
      </w:tr>
    </w:tbl>
    <w:p/>
    <w:p>
      <w:r>
        <w:rPr/>
        <w:t>其他商务需求</w:t>
      </w:r>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产品要求</w:t>
            </w:r>
          </w:p>
        </w:tc>
        <w:tc>
          <w:tcPr>
            <w:tcW w:type="dxa" w:w="2076"/>
          </w:tcPr>
          <w:p>
            <w:pPr>
              <w:jc w:val="left"/>
            </w:pPr>
            <w:r>
              <w:rPr/>
              <w:t>投标人需提供三年设备质保期及对应软件升级服务承诺。（提供服务承诺函）</w:t>
            </w:r>
          </w:p>
        </w:tc>
      </w:tr>
      <w:tr>
        <w:tc>
          <w:tcPr>
            <w:tcW w:type="dxa" w:w="2076"/>
          </w:tcPr>
          <w:p>
            <w:pPr>
              <w:jc w:val="center"/>
            </w:pPr>
          </w:p>
        </w:tc>
        <w:tc>
          <w:tcPr>
            <w:tcW w:type="dxa" w:w="2076"/>
          </w:tcPr>
          <w:p>
            <w:pPr>
              <w:jc w:val="center"/>
            </w:pPr>
            <w:r>
              <w:rPr/>
              <w:t>2</w:t>
            </w:r>
          </w:p>
        </w:tc>
        <w:tc>
          <w:tcPr>
            <w:tcW w:type="dxa" w:w="2076"/>
          </w:tcPr>
          <w:p>
            <w:pPr>
              <w:jc w:val="left"/>
            </w:pPr>
            <w:r>
              <w:rPr/>
              <w:t>服务要求</w:t>
            </w:r>
          </w:p>
        </w:tc>
        <w:tc>
          <w:tcPr>
            <w:tcW w:type="dxa" w:w="2076"/>
          </w:tcPr>
          <w:p>
            <w:pPr>
              <w:jc w:val="left"/>
            </w:pPr>
            <w:r>
              <w:rPr/>
              <w:t>根据建设内容，投标人提供完整的实施计划、售后服务、人员安排、质量保证及培训服务方案。在项目所在地有固定服务场所，提供原厂服务。（提供服务承诺函）</w:t>
            </w:r>
          </w:p>
        </w:tc>
      </w:tr>
      <w:tr>
        <w:tc>
          <w:tcPr>
            <w:tcW w:type="dxa" w:w="2076"/>
          </w:tcPr>
          <w:p>
            <w:pPr>
              <w:jc w:val="center"/>
            </w:pPr>
          </w:p>
        </w:tc>
        <w:tc>
          <w:tcPr>
            <w:tcW w:type="dxa" w:w="2076"/>
          </w:tcPr>
          <w:p>
            <w:pPr>
              <w:jc w:val="center"/>
            </w:pPr>
            <w:r>
              <w:rPr/>
              <w:t>3</w:t>
            </w:r>
          </w:p>
        </w:tc>
        <w:tc>
          <w:tcPr>
            <w:tcW w:type="dxa" w:w="2076"/>
          </w:tcPr>
          <w:p>
            <w:pPr>
              <w:jc w:val="left"/>
            </w:pPr>
            <w:r>
              <w:rPr/>
              <w:t>实施要求</w:t>
            </w:r>
          </w:p>
        </w:tc>
        <w:tc>
          <w:tcPr>
            <w:tcW w:type="dxa" w:w="2076"/>
          </w:tcPr>
          <w:p>
            <w:pPr>
              <w:jc w:val="left"/>
            </w:pPr>
            <w:r>
              <w:rPr/>
              <w:t>3.1.投标人必须提出对该项目建设进行科学严格的管理方案与措施，使项目有系统计划、有序组织、科学指导和有效控制，促进项目全面顺利实施。基于采购人实际情况进行方案设计以保障方案设计的合理性与可靠性。在实施计划的基础上，方案中应进一步明确和细化每个阶段的工作范围、内容、过程、责任、交付成果等； 3.2.中标人派出的安装人员应具备相关的专业知识、技术水平、相应资质和能力，熟悉本项目所述货物的规格、技术指标及调试技术，有足够能力安装、调试本项目的货物并使之达到本项目要求； 3.3.中标人、采购人应共同组建项目建设小组，总体人员配备方案科学、合理。投标人须明确本项目实施队伍的人员架构、数量、技术实力及职责分工，并保证人员的数量、质量和人员的稳定性、连续性。项目经理、主要技术负责人需具备类似项目的实施经验。</w:t>
            </w:r>
          </w:p>
        </w:tc>
      </w:tr>
      <w:tr>
        <w:tc>
          <w:tcPr>
            <w:tcW w:type="dxa" w:w="2076"/>
          </w:tcPr>
          <w:p>
            <w:pPr>
              <w:jc w:val="center"/>
            </w:pPr>
          </w:p>
        </w:tc>
        <w:tc>
          <w:tcPr>
            <w:tcW w:type="dxa" w:w="2076"/>
          </w:tcPr>
          <w:p>
            <w:pPr>
              <w:jc w:val="center"/>
            </w:pPr>
            <w:r>
              <w:rPr/>
              <w:t>4</w:t>
            </w:r>
          </w:p>
        </w:tc>
        <w:tc>
          <w:tcPr>
            <w:tcW w:type="dxa" w:w="2076"/>
          </w:tcPr>
          <w:p>
            <w:pPr>
              <w:jc w:val="left"/>
            </w:pPr>
            <w:r>
              <w:rPr/>
              <w:t>安装要求</w:t>
            </w:r>
          </w:p>
        </w:tc>
        <w:tc>
          <w:tcPr>
            <w:tcW w:type="dxa" w:w="2076"/>
          </w:tcPr>
          <w:p>
            <w:pPr>
              <w:jc w:val="left"/>
            </w:pPr>
            <w:r>
              <w:rPr/>
              <w:t>4.1.中标人应提交详细安装进度表； 4.2.中标人负责到用户指定的地点进行安装、调试，并提供培训服务，对操作和管理人员进行培训； 4.3.中标人应设安装负责人，负责安装协调管理工作； 4.4.调试：按国家相关施工验收规范进行，分阶段进行调试； 4.5.货物的安装、调试等项工作由中标人负责，但必须在采购人指定人员的参与下进行。调试的原始记录须经各方签字后作为验收的文件之一。</w:t>
            </w:r>
          </w:p>
        </w:tc>
      </w:tr>
      <w:tr>
        <w:tc>
          <w:tcPr>
            <w:tcW w:type="dxa" w:w="2076"/>
          </w:tcPr>
          <w:p>
            <w:pPr>
              <w:jc w:val="center"/>
            </w:pPr>
          </w:p>
        </w:tc>
        <w:tc>
          <w:tcPr>
            <w:tcW w:type="dxa" w:w="2076"/>
          </w:tcPr>
          <w:p>
            <w:pPr>
              <w:jc w:val="center"/>
            </w:pPr>
            <w:r>
              <w:rPr/>
              <w:t>5</w:t>
            </w:r>
          </w:p>
        </w:tc>
        <w:tc>
          <w:tcPr>
            <w:tcW w:type="dxa" w:w="2076"/>
          </w:tcPr>
          <w:p>
            <w:pPr>
              <w:jc w:val="left"/>
            </w:pPr>
            <w:r>
              <w:rPr/>
              <w:t>质量保证及售后服务</w:t>
            </w:r>
          </w:p>
        </w:tc>
        <w:tc>
          <w:tcPr>
            <w:tcW w:type="dxa" w:w="2076"/>
          </w:tcPr>
          <w:p>
            <w:pPr>
              <w:jc w:val="left"/>
            </w:pPr>
            <w:r>
              <w:rPr/>
              <w:t>5.1.投标人必须提供目前市场上技术较先进、较成熟的原装、全新产品，并且符合国家以及该产品的出厂标准； 5.2.投标人必须保证所有设备和配件均为正货；项目质保期三年。（若所提供产品的原厂免费保修期限超过本项目的免费保修期要求的则按其原厂保修期限提供免费保修服务。）质保期从项目验收合格之日计算； 5.3.中标人须在30分钟内对采购人提出的需求做出响应，中标人承诺在接到采购人的故障通知后2小时内到达现场，4小时内处理完毕。若故障严重不能在现场处理需送到公司维修的，需提供备用设备；中标人必需按采购人要求对其提供的所有机器进行硬件、操作系统以及相关应用软件进行安装调试，确保系统的正常运行所有货物质保服务方式均为上门服务。在质保期内，须对所提供的设备做定期检查和保养； 5.4.所有设备保修服务方式均为投标人或原厂家上门保修，即由投标人或原厂家派员到采购人设备使用现场维修，由此产生的一切费用均由投标人或原厂家承担； 5.5.中标人应提供3年系统扩充、升级方面的技术支持服务。</w:t>
            </w:r>
          </w:p>
        </w:tc>
      </w:tr>
      <w:tr>
        <w:tc>
          <w:tcPr>
            <w:tcW w:type="dxa" w:w="2076"/>
          </w:tcPr>
          <w:p>
            <w:pPr>
              <w:jc w:val="center"/>
            </w:pPr>
          </w:p>
        </w:tc>
        <w:tc>
          <w:tcPr>
            <w:tcW w:type="dxa" w:w="2076"/>
          </w:tcPr>
          <w:p>
            <w:pPr>
              <w:jc w:val="center"/>
            </w:pPr>
            <w:r>
              <w:rPr/>
              <w:t>6</w:t>
            </w:r>
          </w:p>
        </w:tc>
        <w:tc>
          <w:tcPr>
            <w:tcW w:type="dxa" w:w="2076"/>
          </w:tcPr>
          <w:p>
            <w:pPr>
              <w:jc w:val="left"/>
            </w:pPr>
            <w:r>
              <w:rPr/>
              <w:t>技术资料</w:t>
            </w:r>
          </w:p>
        </w:tc>
        <w:tc>
          <w:tcPr>
            <w:tcW w:type="dxa" w:w="2076"/>
          </w:tcPr>
          <w:p>
            <w:pPr>
              <w:jc w:val="left"/>
            </w:pPr>
            <w:r>
              <w:rPr/>
              <w:t>6.1.中标人应于验收后向采购人提供验收报告、技术文档的归纳、整理、提交，并提供完整的货物技术资料； 6.2.技术文件：包括验收报告、技术文档、完整的货物技术资料。</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其他货物</w:t>
            </w:r>
          </w:p>
        </w:tc>
        <w:tc>
          <w:tcPr>
            <w:tcW w:type="dxa" w:w="831"/>
          </w:tcPr>
          <w:p>
            <w:pPr>
              <w:jc w:val="left"/>
            </w:pPr>
            <w:r>
              <w:rPr/>
              <w:t>中山市博爱医院网络安全等级保护整改项目</w:t>
            </w:r>
          </w:p>
        </w:tc>
        <w:tc>
          <w:tcPr>
            <w:tcW w:type="dxa" w:w="831"/>
          </w:tcPr>
          <w:p>
            <w:pPr>
              <w:jc w:val="left"/>
            </w:pPr>
            <w:r>
              <w:rPr/>
              <w:t>项</w:t>
            </w:r>
          </w:p>
        </w:tc>
        <w:tc>
          <w:tcPr>
            <w:tcW w:type="dxa" w:w="831"/>
          </w:tcPr>
          <w:p>
            <w:pPr>
              <w:jc w:val="right"/>
            </w:pPr>
            <w:r>
              <w:rPr/>
              <w:t>1.00</w:t>
            </w:r>
          </w:p>
        </w:tc>
        <w:tc>
          <w:tcPr>
            <w:tcW w:type="dxa" w:w="831"/>
          </w:tcPr>
          <w:p>
            <w:pPr>
              <w:jc w:val="right"/>
            </w:pPr>
            <w:r>
              <w:rPr/>
              <w:t>1,800,000.00</w:t>
            </w:r>
          </w:p>
        </w:tc>
        <w:tc>
          <w:tcPr>
            <w:tcW w:type="dxa" w:w="831"/>
          </w:tcPr>
          <w:p>
            <w:pPr>
              <w:jc w:val="right"/>
            </w:pPr>
            <w:r>
              <w:rPr/>
              <w:t>1,800,000.00</w:t>
            </w:r>
          </w:p>
        </w:tc>
        <w:tc>
          <w:tcPr>
            <w:tcW w:type="dxa" w:w="831"/>
          </w:tcPr>
          <w:p>
            <w:r>
              <w:rPr/>
              <w:t>软件和信息技术服务业</w:t>
            </w:r>
          </w:p>
        </w:tc>
        <w:tc>
          <w:tcPr>
            <w:tcW w:type="dxa" w:w="831"/>
          </w:tcPr>
          <w:p>
            <w:r>
              <w:rPr/>
              <w:t>详见附表一</w:t>
            </w:r>
          </w:p>
        </w:tc>
      </w:tr>
    </w:tbl>
    <w:p/>
    <w:p>
      <w:r>
        <w:rPr>
          <w:b/>
        </w:rPr>
        <w:t>附表</w:t>
      </w:r>
      <w:r>
        <w:rPr>
          <w:b/>
        </w:rPr>
        <w:t>一</w:t>
      </w:r>
      <w:r>
        <w:rPr>
          <w:b/>
        </w:rPr>
        <w:t>：</w:t>
      </w:r>
      <w:r>
        <w:rPr>
          <w:b/>
        </w:rPr>
        <w:t>中山市博爱医院网络安全等级保护整改项目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1"/>
              </w:rPr>
              <w:t>1</w:t>
            </w:r>
            <w:r>
              <w:rPr>
                <w:sz w:val="21"/>
              </w:rPr>
              <w:t>、</w:t>
            </w:r>
            <w:r>
              <w:rPr>
                <w:sz w:val="21"/>
              </w:rPr>
              <w:t>下一代防火墙</w:t>
            </w:r>
            <w:r>
              <w:rPr>
                <w:sz w:val="21"/>
              </w:rPr>
              <w:t>(</w:t>
            </w:r>
            <w:r>
              <w:rPr>
                <w:sz w:val="21"/>
              </w:rPr>
              <w:t>外联区边界防火墙</w:t>
            </w:r>
            <w:r>
              <w:rPr>
                <w:sz w:val="21"/>
              </w:rPr>
              <w:t>)</w:t>
            </w:r>
          </w:p>
          <w:tbl>
            <w:tblPr>
              <w:tblBorders>
                <w:top w:val="none" w:color="000000" w:sz="4"/>
                <w:left w:val="none" w:color="000000" w:sz="4"/>
                <w:bottom w:val="none" w:color="000000" w:sz="4"/>
                <w:right w:val="none" w:color="000000" w:sz="4"/>
                <w:insideH w:val="none"/>
                <w:insideV w:val="none"/>
              </w:tblBorders>
            </w:tblPr>
            <w:tblGrid>
              <w:gridCol w:w="723"/>
              <w:gridCol w:w="4748"/>
            </w:tblGrid>
            <w:tr>
              <w:tc>
                <w:tcPr>
                  <w:tcW w:type="dxa" w:w="723"/>
                  <w:tcBorders>
                    <w:top w:val="single" w:color="000000" w:sz="4"/>
                    <w:left w:val="single" w:color="000000" w:sz="4"/>
                    <w:bottom w:val="single" w:color="000000" w:sz="4"/>
                    <w:right w:val="single" w:color="000000" w:sz="4"/>
                  </w:tcBorders>
                  <w:shd w:fill="FFFFFF"/>
                  <w:vAlign w:val="top"/>
                </w:tcPr>
                <w:p>
                  <w:pPr>
                    <w:jc w:val="center"/>
                  </w:pPr>
                  <w:r>
                    <w:rPr>
                      <w:b/>
                      <w:sz w:val="21"/>
                    </w:rPr>
                    <w:t>技术指标</w:t>
                  </w:r>
                </w:p>
              </w:tc>
              <w:tc>
                <w:tcPr>
                  <w:tcW w:type="dxa" w:w="4748"/>
                  <w:tcBorders>
                    <w:top w:val="single" w:color="000000" w:sz="4"/>
                    <w:left w:val="single" w:color="000000" w:sz="4"/>
                    <w:bottom w:val="single" w:color="000000" w:sz="4"/>
                    <w:right w:val="single" w:color="000000" w:sz="4"/>
                  </w:tcBorders>
                  <w:shd w:fill="FFFFFF"/>
                  <w:vAlign w:val="top"/>
                </w:tcPr>
                <w:p>
                  <w:pPr>
                    <w:jc w:val="center"/>
                  </w:pPr>
                  <w:r>
                    <w:rPr>
                      <w:b/>
                      <w:sz w:val="21"/>
                    </w:rPr>
                    <w:t>详细参数要求</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b/>
                      <w:sz w:val="21"/>
                    </w:rPr>
                    <w:t>★1U网关型设备，</w:t>
                  </w:r>
                  <w:r>
                    <w:rPr>
                      <w:b/>
                      <w:color w:val="000000"/>
                      <w:sz w:val="21"/>
                    </w:rPr>
                    <w:t>内存大小</w:t>
                  </w:r>
                  <w:r>
                    <w:rPr>
                      <w:b/>
                      <w:color w:val="000000"/>
                      <w:sz w:val="21"/>
                    </w:rPr>
                    <w:t>≥8G，硬盘容量≥64G SSD，接口≥8千兆电口+2万兆光口SFP+；</w:t>
                  </w:r>
                  <w:r>
                    <w:rPr>
                      <w:b/>
                      <w:sz w:val="21"/>
                    </w:rPr>
                    <w:t>网络层吞吐量</w:t>
                  </w:r>
                  <w:r>
                    <w:rPr>
                      <w:b/>
                      <w:sz w:val="21"/>
                    </w:rPr>
                    <w:t>≥15G，应用层吞吐量≥6G，防病毒吞吐量≥1G，IPS吞吐量≥1G，并发连接数≥200万，HTTP新建连接数≥9万</w:t>
                  </w:r>
                  <w:r>
                    <w:rPr>
                      <w:b/>
                      <w:color w:val="000000"/>
                      <w:sz w:val="21"/>
                    </w:rPr>
                    <w:t>；</w:t>
                  </w:r>
                </w:p>
                <w:p>
                  <w:pPr>
                    <w:jc w:val="both"/>
                  </w:pPr>
                  <w:r>
                    <w:rPr>
                      <w:b/>
                      <w:color w:val="000000"/>
                      <w:sz w:val="21"/>
                    </w:rPr>
                    <w:t>产品要求提供</w:t>
                  </w:r>
                  <w:r>
                    <w:rPr>
                      <w:b/>
                      <w:color w:val="000000"/>
                      <w:sz w:val="21"/>
                    </w:rPr>
                    <w:t>3年技术支持服务、硬件质保、软件升级及安全规则更新服务（需提供服务承诺函并加盖投标人公章）。</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2</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产品支持静态路由、策略路由和多播路由协议，并支持</w:t>
                  </w:r>
                  <w:r>
                    <w:rPr>
                      <w:sz w:val="21"/>
                    </w:rPr>
                    <w:t>BGP、RIP、OSPF等动态路由协议。</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3</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产品支持多对一、一对多和一对一等多种地址转换方式。</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4</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w:t>
                  </w:r>
                  <w:r>
                    <w:rPr>
                      <w:sz w:val="21"/>
                    </w:rPr>
                    <w:t>IPv4/IPv6双栈工作模式，以适应IPv6发展趋势。</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5</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产品支持异常数据包攻击防御，防护类型包括</w:t>
                  </w:r>
                  <w:r>
                    <w:rPr>
                      <w:sz w:val="21"/>
                    </w:rPr>
                    <w:t>IP数据块分片传输防护、Teardrop攻击防护、Smurf攻击防护、Land攻击防护、WinNuke攻击防护等攻击类型。</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6</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▲产品支持对压缩病毒文件进行检测和拦截，压缩层数支持15层及以上</w:t>
                  </w:r>
                  <w:r>
                    <w:rPr>
                      <w:b/>
                      <w:sz w:val="21"/>
                    </w:rPr>
                    <w:t>（需提供印有采购项目编号的产品功能截图证明，并加盖制造商公章）。</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7</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产品支持杀毒白名单设置，可以例外排除特定</w:t>
                  </w:r>
                  <w:r>
                    <w:rPr>
                      <w:sz w:val="21"/>
                    </w:rPr>
                    <w:t>MD5和URL的病毒文件，针对特定文件不进行查杀。</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8</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▲产品支持勒索病毒检测与防御功能。</w:t>
                  </w:r>
                  <w:r>
                    <w:rPr>
                      <w:b/>
                      <w:sz w:val="21"/>
                    </w:rPr>
                    <w:t>（需提供：</w:t>
                  </w:r>
                  <w:r>
                    <w:rPr>
                      <w:b/>
                      <w:sz w:val="21"/>
                    </w:rPr>
                    <w:t>1.印有采购项目编号的产品功能截图证明并加盖制造商公章，2.公安部计算机信息系统安全产品质量监督检验中心、中国信息安全测评中心、中华人民共和国国家版权局、公安部信息安全产品检测中心之中任意一家检测机构出具关于“勒索防护”的证书复印件或检测报告复印件并加盖公章）。</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9</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产品支持基于</w:t>
                  </w:r>
                  <w:r>
                    <w:rPr>
                      <w:sz w:val="21"/>
                    </w:rPr>
                    <w:t>IMAP、FTP、RDP、VNC、SSH、TELNET、ORACLE、MYSQL、MSSQL等应用协议进行深度检测与防护。</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10</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w:t>
                  </w:r>
                  <w:r>
                    <w:rPr>
                      <w:sz w:val="21"/>
                    </w:rPr>
                    <w:t>X-Forworded-For字段检测，并对非法源IP进行日志记录和联动封锁。</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11</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产品支持安全策略有效性分析功能，分析内容至少包括策略冗余分析、策略匹配分析、风险端口风险等内容，提供安全策略优化建议。</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12</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▲产品支持策略生命周期管理功能，支持对安全策略修改的时间、原因、变更类型进行统一管理，便于策略的运维与管理</w:t>
                  </w:r>
                  <w:r>
                    <w:rPr>
                      <w:b/>
                      <w:sz w:val="21"/>
                    </w:rPr>
                    <w:t>（需提供印有采购项目编号的产品功能截图证明，并加盖制造商公章）。</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13</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w:t>
                  </w:r>
                  <w:r>
                    <w:rPr>
                      <w:sz w:val="21"/>
                    </w:rPr>
                    <w:t>A|A、A|S两种双机模式部署。</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14</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w:t>
                  </w:r>
                  <w:r>
                    <w:rPr>
                      <w:sz w:val="21"/>
                    </w:rPr>
                    <w:t>Web管理、串口管理、SSH管理等多种不同方式。</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15</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产品支持三权分立功能，根据管理员权限分为安全管理员、审计员、系统管理员三种角色。</w:t>
                  </w:r>
                </w:p>
              </w:tc>
            </w:tr>
          </w:tbl>
          <w:p>
            <w:r>
              <w:rPr/>
              <w:t xml:space="preserve"> </w:t>
            </w:r>
          </w:p>
          <w:p>
            <w:r>
              <w:rPr>
                <w:sz w:val="21"/>
              </w:rPr>
              <w:t>2、下一代防火墙(数据中心防火墙)</w:t>
            </w:r>
          </w:p>
          <w:tbl>
            <w:tblPr>
              <w:tblBorders>
                <w:top w:val="none" w:color="000000" w:sz="4"/>
                <w:left w:val="none" w:color="000000" w:sz="4"/>
                <w:bottom w:val="none" w:color="000000" w:sz="4"/>
                <w:right w:val="none" w:color="000000" w:sz="4"/>
                <w:insideH w:val="none"/>
                <w:insideV w:val="none"/>
              </w:tblBorders>
            </w:tblPr>
            <w:tblGrid>
              <w:gridCol w:w="723"/>
              <w:gridCol w:w="4748"/>
            </w:tblGrid>
            <w:tr>
              <w:tc>
                <w:tcPr>
                  <w:tcW w:type="dxa" w:w="723"/>
                  <w:tcBorders>
                    <w:top w:val="single" w:color="000000" w:sz="4"/>
                    <w:left w:val="single" w:color="000000" w:sz="4"/>
                    <w:bottom w:val="single" w:color="000000" w:sz="4"/>
                    <w:right w:val="single" w:color="000000" w:sz="4"/>
                  </w:tcBorders>
                  <w:shd w:fill="FFFFFF"/>
                  <w:vAlign w:val="top"/>
                </w:tcPr>
                <w:p>
                  <w:pPr>
                    <w:jc w:val="center"/>
                  </w:pPr>
                  <w:r>
                    <w:rPr>
                      <w:b/>
                      <w:sz w:val="21"/>
                    </w:rPr>
                    <w:t>技术指标</w:t>
                  </w:r>
                </w:p>
              </w:tc>
              <w:tc>
                <w:tcPr>
                  <w:tcW w:type="dxa" w:w="4748"/>
                  <w:tcBorders>
                    <w:top w:val="single" w:color="000000" w:sz="4"/>
                    <w:left w:val="single" w:color="000000" w:sz="4"/>
                    <w:bottom w:val="single" w:color="000000" w:sz="4"/>
                    <w:right w:val="single" w:color="000000" w:sz="4"/>
                  </w:tcBorders>
                  <w:shd w:fill="FFFFFF"/>
                  <w:vAlign w:val="top"/>
                </w:tcPr>
                <w:p>
                  <w:pPr>
                    <w:jc w:val="center"/>
                  </w:pPr>
                  <w:r>
                    <w:rPr>
                      <w:b/>
                      <w:sz w:val="21"/>
                    </w:rPr>
                    <w:t>详细参数要求</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b/>
                      <w:sz w:val="21"/>
                    </w:rPr>
                    <w:t>★2U网关型设备，</w:t>
                  </w:r>
                  <w:r>
                    <w:rPr>
                      <w:b/>
                      <w:color w:val="000000"/>
                      <w:sz w:val="21"/>
                    </w:rPr>
                    <w:t>内存大小</w:t>
                  </w:r>
                  <w:r>
                    <w:rPr>
                      <w:b/>
                      <w:color w:val="000000"/>
                      <w:sz w:val="21"/>
                    </w:rPr>
                    <w:t>≥16G，硬盘容量≥64G SSD+480G SSD，冗余电源，接口≥16千兆电口+6万兆光口SFP+；网络层吞吐量≥35G，应用层吞吐量≥15G，防病毒吞吐量≥3.5G，IPS吞吐量≥2.5G，并发连接数≥410万，HTTP新建连接数≥16万；</w:t>
                  </w:r>
                </w:p>
                <w:p>
                  <w:pPr>
                    <w:jc w:val="both"/>
                  </w:pPr>
                  <w:r>
                    <w:rPr>
                      <w:b/>
                      <w:color w:val="000000"/>
                      <w:sz w:val="21"/>
                    </w:rPr>
                    <w:t>产品要求提供</w:t>
                  </w:r>
                  <w:r>
                    <w:rPr>
                      <w:b/>
                      <w:color w:val="000000"/>
                      <w:sz w:val="21"/>
                    </w:rPr>
                    <w:t>3年技术支持服务、硬件质保、软件升级及安全规则更新服务（需提供服务承诺函并加盖公章）。</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2</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产品支持路由模式、透明模式、虚拟网线模式、旁路镜像模式等多种部署方式。</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3</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产品支持路由类型、协议类型、网络对象、国家地区等条件进行自动选路的策略路由，支持不少于</w:t>
                  </w:r>
                  <w:r>
                    <w:rPr>
                      <w:sz w:val="21"/>
                    </w:rPr>
                    <w:t>3种的调度算法，至少包括带宽比例、加权流量、线路优先等。</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4</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w:t>
                  </w:r>
                  <w:r>
                    <w:rPr>
                      <w:sz w:val="21"/>
                    </w:rPr>
                    <w:t>IPv4/IPv6双栈工作模式，以适应IPv6发展趋势。</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5</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w:t>
                  </w:r>
                  <w:r>
                    <w:rPr>
                      <w:sz w:val="21"/>
                    </w:rPr>
                    <w:t>3种以上的用户认证方式,包含但不限于单点登录、本地账号密码、外部账号密码认证。</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6</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产品支持对</w:t>
                  </w:r>
                  <w:r>
                    <w:rPr>
                      <w:sz w:val="21"/>
                    </w:rPr>
                    <w:t>SMTP、HTTP、FTP、SMB、POP3、HTTPS、IMAP等协议进行病毒防御。</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7</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▲产品支持服务器漏洞防扫描功能，并对扫描源IP进行日志记录和联动封锁</w:t>
                  </w:r>
                  <w:r>
                    <w:rPr>
                      <w:b/>
                      <w:sz w:val="21"/>
                    </w:rPr>
                    <w:t>（需提供印有采购项目编号的产品功能截图证明，并加盖制造商公章）。</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8</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▲产品支持Cookie攻击防护功能，并通过日志记录Cookie被篡改。产品必须提供具备CMA认证的第三方权威机构关于“Cookie攻击防护”功能项的产品检测报告</w:t>
                  </w:r>
                  <w:r>
                    <w:rPr>
                      <w:b/>
                      <w:sz w:val="21"/>
                    </w:rPr>
                    <w:t>（需提供印有采购项目编号的证明材料复印件或扫描件，并加盖制造商公章）。</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9</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产品支持基于</w:t>
                  </w:r>
                  <w:r>
                    <w:rPr>
                      <w:sz w:val="21"/>
                    </w:rPr>
                    <w:t>IMAP、FTP、RDP、VNC、SSH、TELNET、ORACLE、MYSQL、MSSQL等应用协议进行深度检测与防护。</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10</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w:t>
                  </w:r>
                  <w:r>
                    <w:rPr>
                      <w:sz w:val="21"/>
                    </w:rPr>
                    <w:t>X-Forworded-For字段检测，并对非法源IP进行日志记录和联动封锁。</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11</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产品支持安全策略有效性分析功能，分析内容至少包括策略冗余分析、策略匹配分析、风险端口风险等内容，提供安全策略优化建议。</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12</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▲产品内置超过4000种WEB应用攻击特征，支持对跨站脚本（XSS）攻击、SQL注入、文件包含攻击、信息泄露攻击、WEBSHELL、网站扫描、网页木马等攻击类型进行防护</w:t>
                  </w:r>
                  <w:r>
                    <w:rPr>
                      <w:b/>
                      <w:sz w:val="21"/>
                    </w:rPr>
                    <w:t>（需提供印有采购项目编号的产品功能截图证明，并加盖制造商公章）。</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13</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w:t>
                  </w:r>
                  <w:r>
                    <w:rPr>
                      <w:sz w:val="21"/>
                    </w:rPr>
                    <w:t>A|A、A|S两种双机模式部署。</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14</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w:t>
                  </w:r>
                  <w:r>
                    <w:rPr>
                      <w:sz w:val="21"/>
                    </w:rPr>
                    <w:t>Web管理、串口管理、SSH管理等多种不同方式。</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15</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产品支持三权分立功能，根据管理员权限分为安全管理员、审计员、系统管理员三种角色。</w:t>
                  </w:r>
                </w:p>
              </w:tc>
            </w:tr>
          </w:tbl>
          <w:p>
            <w:r>
              <w:rPr/>
              <w:t xml:space="preserve"> </w:t>
            </w:r>
          </w:p>
          <w:p>
            <w:r>
              <w:rPr>
                <w:sz w:val="21"/>
              </w:rPr>
              <w:t>3、</w:t>
            </w:r>
            <w:r>
              <w:rPr>
                <w:sz w:val="21"/>
              </w:rPr>
              <w:t>下一代防火墙</w:t>
            </w:r>
            <w:r>
              <w:rPr>
                <w:sz w:val="21"/>
              </w:rPr>
              <w:t>(互联网出口防火墙)</w:t>
            </w:r>
          </w:p>
          <w:tbl>
            <w:tblPr>
              <w:tblBorders>
                <w:top w:val="none" w:color="000000" w:sz="4"/>
                <w:left w:val="none" w:color="000000" w:sz="4"/>
                <w:bottom w:val="none" w:color="000000" w:sz="4"/>
                <w:right w:val="none" w:color="000000" w:sz="4"/>
                <w:insideH w:val="none"/>
                <w:insideV w:val="none"/>
              </w:tblBorders>
            </w:tblPr>
            <w:tblGrid>
              <w:gridCol w:w="723"/>
              <w:gridCol w:w="4748"/>
            </w:tblGrid>
            <w:tr>
              <w:tc>
                <w:tcPr>
                  <w:tcW w:type="dxa" w:w="723"/>
                  <w:tcBorders>
                    <w:top w:val="single" w:color="000000" w:sz="4"/>
                    <w:left w:val="single" w:color="000000" w:sz="4"/>
                    <w:bottom w:val="single" w:color="000000" w:sz="4"/>
                    <w:right w:val="single" w:color="000000" w:sz="4"/>
                  </w:tcBorders>
                  <w:shd w:fill="FFFFFF"/>
                  <w:vAlign w:val="top"/>
                </w:tcPr>
                <w:p>
                  <w:pPr>
                    <w:jc w:val="center"/>
                  </w:pPr>
                  <w:r>
                    <w:rPr>
                      <w:b/>
                      <w:sz w:val="21"/>
                    </w:rPr>
                    <w:t>技术指标</w:t>
                  </w:r>
                </w:p>
              </w:tc>
              <w:tc>
                <w:tcPr>
                  <w:tcW w:type="dxa" w:w="4748"/>
                  <w:tcBorders>
                    <w:top w:val="single" w:color="000000" w:sz="4"/>
                    <w:left w:val="single" w:color="000000" w:sz="4"/>
                    <w:bottom w:val="single" w:color="000000" w:sz="4"/>
                    <w:right w:val="single" w:color="000000" w:sz="4"/>
                  </w:tcBorders>
                  <w:shd w:fill="FFFFFF"/>
                  <w:vAlign w:val="top"/>
                </w:tcPr>
                <w:p>
                  <w:pPr>
                    <w:jc w:val="center"/>
                  </w:pPr>
                  <w:r>
                    <w:rPr>
                      <w:b/>
                      <w:sz w:val="21"/>
                    </w:rPr>
                    <w:t>详细参数要求</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b/>
                      <w:sz w:val="21"/>
                    </w:rPr>
                    <w:t>★1U网关型设备，</w:t>
                  </w:r>
                  <w:r>
                    <w:rPr>
                      <w:b/>
                      <w:color w:val="000000"/>
                      <w:sz w:val="21"/>
                    </w:rPr>
                    <w:t>内存大小</w:t>
                  </w:r>
                  <w:r>
                    <w:rPr>
                      <w:b/>
                      <w:color w:val="000000"/>
                      <w:sz w:val="21"/>
                    </w:rPr>
                    <w:t>≥8G，硬盘容量≥64G SSD，接口≥8千兆电口+2万兆光口SFP+；网络层吞吐量≥15G，应用层吞吐量≥6G，防病毒吞吐量≥1G，IPS吞吐量≥1G，并发连接数≥200万，HTTP新建连接数≥9万；</w:t>
                  </w:r>
                </w:p>
                <w:p>
                  <w:pPr>
                    <w:jc w:val="both"/>
                  </w:pPr>
                  <w:r>
                    <w:rPr>
                      <w:b/>
                      <w:color w:val="000000"/>
                      <w:sz w:val="21"/>
                    </w:rPr>
                    <w:t>产品要求提供</w:t>
                  </w:r>
                  <w:r>
                    <w:rPr>
                      <w:b/>
                      <w:color w:val="000000"/>
                      <w:sz w:val="21"/>
                    </w:rPr>
                    <w:t>3年技术支持服务、硬件质保、软件升级及安全规则更新服务（需提供服务承诺函并加盖投标人公章）。</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2</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产品支持路由模式、透明模式、虚拟网线模式、旁路镜像模式等多种部署方式。</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3</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产品支持路由类型、协议类型、网络对象、国家地区等条件进行自动选路的策略路由，支持不少于</w:t>
                  </w:r>
                  <w:r>
                    <w:rPr>
                      <w:sz w:val="21"/>
                    </w:rPr>
                    <w:t>3种的调度算法，至少包括带宽比例、加权流量、线路优先等。</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4</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w:t>
                  </w:r>
                  <w:r>
                    <w:rPr>
                      <w:sz w:val="21"/>
                    </w:rPr>
                    <w:t>IPv4/IPv6双栈工作模式，以适应IPv6发展趋势。</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5</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产品支持基于</w:t>
                  </w:r>
                  <w:r>
                    <w:rPr>
                      <w:sz w:val="21"/>
                    </w:rPr>
                    <w:t>IP对象的会话控制策略，实现并发连接数的合理限制。</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6</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产品支持管控非法、违规网站的访问行为，具备海量的</w:t>
                  </w:r>
                  <w:r>
                    <w:rPr>
                      <w:sz w:val="21"/>
                    </w:rPr>
                    <w:t>URL分类库。</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7</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▲产品支持僵尸主机检测功能，产品内置僵尸网络特征库超过120万种，可识别主机的异常外联行为</w:t>
                  </w:r>
                  <w:r>
                    <w:rPr>
                      <w:b/>
                      <w:sz w:val="21"/>
                    </w:rPr>
                    <w:t>（需提供印有采购项目编号的产品功能截图证明，并加盖制造商公章）。</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8</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w:t>
                  </w:r>
                  <w:r>
                    <w:rPr>
                      <w:sz w:val="21"/>
                    </w:rPr>
                    <w:t>https解密功能，支持TCP代理和SSL代理。</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9</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产品支持基于</w:t>
                  </w:r>
                  <w:r>
                    <w:rPr>
                      <w:sz w:val="21"/>
                    </w:rPr>
                    <w:t>IMAP、FTP、RDP、VNC、SSH、TELNET、ORACLE、MYSQL、MSSQL等应用协议进行深度检测与防护。</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10</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w:t>
                  </w:r>
                  <w:r>
                    <w:rPr>
                      <w:sz w:val="21"/>
                    </w:rPr>
                    <w:t>X-Forworded-For字段检测，并对非法源IP进行日志记录和联动封锁。</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11</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产品支持安全策略有效性分析功能，分析内容至少包括策略冗余分析、策略匹配分析、风险端口风险等内容，提供安全策略优化建议。</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12</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▲产品支持对不少于9000种应用的识别和控制，应用类型包括游戏、购物、图书百科、工作招聘、P2P下载、聊天工具、旅游出行、股票软件等类型应用进行检测与控制</w:t>
                  </w:r>
                  <w:r>
                    <w:rPr>
                      <w:b/>
                      <w:sz w:val="21"/>
                    </w:rPr>
                    <w:t>（需提供印有采购项目编号的产品功能截图证明，并加盖制造商公章）。</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13</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w:t>
                  </w:r>
                  <w:r>
                    <w:rPr>
                      <w:sz w:val="21"/>
                    </w:rPr>
                    <w:t>A|A、A|S两种双机模式部署。</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14</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w:t>
                  </w:r>
                  <w:r>
                    <w:rPr>
                      <w:sz w:val="21"/>
                    </w:rPr>
                    <w:t>Web管理、串口管理、SSH管理等多种不同方式。</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15</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sz w:val="21"/>
                    </w:rPr>
                    <w:t>产品支持三权分立功能，根据管理员权限分为安全管理员、审计员、系统管理员三种角色。</w:t>
                  </w:r>
                </w:p>
              </w:tc>
            </w:tr>
          </w:tbl>
          <w:p>
            <w:r>
              <w:rPr/>
              <w:t xml:space="preserve"> </w:t>
            </w:r>
          </w:p>
          <w:p>
            <w:r>
              <w:rPr>
                <w:sz w:val="21"/>
              </w:rPr>
              <w:t>4、</w:t>
            </w:r>
            <w:r>
              <w:rPr>
                <w:sz w:val="21"/>
              </w:rPr>
              <w:t>上网行为管理</w:t>
            </w:r>
          </w:p>
          <w:tbl>
            <w:tblPr>
              <w:tblBorders>
                <w:top w:val="none" w:color="000000" w:sz="4"/>
                <w:left w:val="none" w:color="000000" w:sz="4"/>
                <w:bottom w:val="none" w:color="000000" w:sz="4"/>
                <w:right w:val="none" w:color="000000" w:sz="4"/>
                <w:insideH w:val="none"/>
                <w:insideV w:val="none"/>
              </w:tblBorders>
            </w:tblPr>
            <w:tblGrid>
              <w:gridCol w:w="723"/>
              <w:gridCol w:w="4748"/>
            </w:tblGrid>
            <w:tr>
              <w:tc>
                <w:tcPr>
                  <w:tcW w:type="dxa" w:w="723"/>
                  <w:tcBorders>
                    <w:top w:val="single" w:color="000000" w:sz="4"/>
                    <w:left w:val="single" w:color="000000" w:sz="4"/>
                    <w:bottom w:val="single" w:color="000000" w:sz="4"/>
                    <w:right w:val="single" w:color="000000" w:sz="4"/>
                  </w:tcBorders>
                  <w:shd w:fill="FFFFFF"/>
                  <w:vAlign w:val="top"/>
                </w:tcPr>
                <w:p>
                  <w:pPr>
                    <w:jc w:val="center"/>
                  </w:pPr>
                  <w:r>
                    <w:rPr>
                      <w:b/>
                      <w:sz w:val="21"/>
                    </w:rPr>
                    <w:t>技术指标</w:t>
                  </w:r>
                </w:p>
              </w:tc>
              <w:tc>
                <w:tcPr>
                  <w:tcW w:type="dxa" w:w="4748"/>
                  <w:tcBorders>
                    <w:top w:val="single" w:color="000000" w:sz="4"/>
                    <w:left w:val="single" w:color="000000" w:sz="4"/>
                    <w:bottom w:val="single" w:color="000000" w:sz="4"/>
                    <w:right w:val="single" w:color="000000" w:sz="4"/>
                  </w:tcBorders>
                  <w:shd w:fill="FFFFFF"/>
                  <w:vAlign w:val="top"/>
                </w:tcPr>
                <w:p>
                  <w:pPr>
                    <w:jc w:val="center"/>
                  </w:pPr>
                  <w:r>
                    <w:rPr>
                      <w:b/>
                      <w:sz w:val="21"/>
                    </w:rPr>
                    <w:t>详细参数要求</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b/>
                      <w:sz w:val="21"/>
                    </w:rPr>
                    <w:t>★1U网关型设备，</w:t>
                  </w:r>
                  <w:r>
                    <w:rPr>
                      <w:b/>
                      <w:color w:val="000000"/>
                      <w:sz w:val="21"/>
                    </w:rPr>
                    <w:t>内存大小</w:t>
                  </w:r>
                  <w:r>
                    <w:rPr>
                      <w:b/>
                      <w:color w:val="000000"/>
                      <w:sz w:val="21"/>
                    </w:rPr>
                    <w:t>≥4G，硬盘容量≥64G SSD+960G SSD，接口≥6千兆电口+2千兆光口SFP，网络层吞吐量（大包）≥3.6Gb，应用层吞吐量≥450Mb，带宽性能≥300Mb，IPSEC VPN加密性能（最高性能）≥100Mb，支持用户数≥1500，包转发率≥45Kpps，每秒新建连接数≥4000，最大并发连接数≥150000；</w:t>
                  </w:r>
                </w:p>
                <w:p>
                  <w:pPr>
                    <w:jc w:val="both"/>
                  </w:pPr>
                  <w:r>
                    <w:rPr>
                      <w:b/>
                      <w:color w:val="000000"/>
                      <w:sz w:val="21"/>
                    </w:rPr>
                    <w:t>产品要求提供</w:t>
                  </w:r>
                  <w:r>
                    <w:rPr>
                      <w:b/>
                      <w:color w:val="000000"/>
                      <w:sz w:val="21"/>
                    </w:rPr>
                    <w:t>3年技术支持服务、硬件质保、软件升级及安全规则更新服务（需提供服务承诺函并加盖投标人公章）。</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2</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color w:val="000000"/>
                      <w:sz w:val="21"/>
                    </w:rPr>
                    <w:t>▲</w:t>
                  </w:r>
                  <w:r>
                    <w:rPr>
                      <w:sz w:val="21"/>
                    </w:rPr>
                    <w:t>针对内网用户的</w:t>
                  </w:r>
                  <w:r>
                    <w:rPr>
                      <w:sz w:val="21"/>
                    </w:rPr>
                    <w:t>web访问质量进行检测，对整体网络提供清晰的整体网络质量评级，</w:t>
                  </w:r>
                  <w:r>
                    <w:rPr>
                      <w:color w:val="000000"/>
                      <w:sz w:val="21"/>
                    </w:rPr>
                    <w:t>支持以列表形式展示访问质量差的用户名单，支持对单用户进行定向</w:t>
                  </w:r>
                  <w:r>
                    <w:rPr>
                      <w:color w:val="000000"/>
                      <w:sz w:val="21"/>
                    </w:rPr>
                    <w:t>web访问质量检测</w:t>
                  </w:r>
                  <w:r>
                    <w:rPr>
                      <w:b/>
                      <w:sz w:val="21"/>
                    </w:rPr>
                    <w:t>（需提供印有采购项目编号的产品功能截图证明，并加盖制造商公章）。</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3</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color w:val="000000"/>
                      <w:sz w:val="21"/>
                    </w:rPr>
                    <w:t>支持查看当前设备的线路状态，线路带宽利用率以及当前策略的引流流量分布和实时的引流策略，支持设置线路流控策略。</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4</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color w:val="000000"/>
                      <w:sz w:val="21"/>
                    </w:rPr>
                    <w:t>支持在设置流量策略后，根据整体线路或者某流量通道内的空闲情况，自动启用和停止使用流量控制策略，以提升带宽的高使用率。</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5</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color w:val="000000"/>
                      <w:sz w:val="21"/>
                    </w:rPr>
                    <w:t>支持通过抑制</w:t>
                  </w:r>
                  <w:r>
                    <w:rPr>
                      <w:color w:val="000000"/>
                      <w:sz w:val="21"/>
                    </w:rPr>
                    <w:t>P2P的上行流量，来减缓P2P的下行流量，从而解决网络出口在做流控后仍然压力较大的问题。</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6</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color w:val="000000"/>
                      <w:sz w:val="21"/>
                    </w:rPr>
                    <w:t>▲为简化日常运维工作，产品需支持与同品牌下一代防火墙系统实现认证联动，同时部署产品后，可以实现认证同步机制，实现单点登录</w:t>
                  </w:r>
                  <w:r>
                    <w:rPr>
                      <w:b/>
                      <w:sz w:val="21"/>
                    </w:rPr>
                    <w:t>（需提供印有采购项目编号的产品功能截图证明，并加盖制造商公章）。</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7</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color w:val="000000"/>
                      <w:sz w:val="21"/>
                    </w:rPr>
                    <w:t>支持对邮件、网盘、</w:t>
                  </w:r>
                  <w:r>
                    <w:rPr>
                      <w:color w:val="000000"/>
                      <w:sz w:val="21"/>
                    </w:rPr>
                    <w:t>http上传、ftp上传、远程工具等网络外发途径进行封堵，防止信息泄漏。</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8</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color w:val="000000"/>
                      <w:sz w:val="21"/>
                    </w:rPr>
                    <w:t>支持</w:t>
                  </w:r>
                  <w:r>
                    <w:rPr>
                      <w:color w:val="000000"/>
                      <w:sz w:val="21"/>
                    </w:rPr>
                    <w:t>HTTP上传/FTP/邮件附件等形式的外发文件行为，支持基于扩展名识别并拦截外发文件</w:t>
                  </w:r>
                  <w:r>
                    <w:rPr>
                      <w:b/>
                      <w:sz w:val="21"/>
                    </w:rPr>
                    <w:t>（需提供印有采购项目编号的产品功能截图证明，并加盖制造商公章）。</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9</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color w:val="000000"/>
                      <w:sz w:val="21"/>
                    </w:rPr>
                    <w:t>设置内置应用识别规则库，支持超过</w:t>
                  </w:r>
                  <w:r>
                    <w:rPr>
                      <w:color w:val="000000"/>
                      <w:sz w:val="21"/>
                    </w:rPr>
                    <w:t>7000条应用规则数，支持超过4000种以上的应用，并保持至少每两个星期更新一次，保证应用识别的准确率</w:t>
                  </w:r>
                  <w:r>
                    <w:rPr>
                      <w:b/>
                      <w:sz w:val="21"/>
                    </w:rPr>
                    <w:t>（需提供印有采购项目编号的产品功能截图证明，并加盖制造商公章）。</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10</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color w:val="000000"/>
                      <w:sz w:val="21"/>
                    </w:rPr>
                    <w:t>日志中心所有导出都有对应管理员操作日志、系统日志的日志清理中记录数据删除日志、规则库升级有对应升级日志。</w:t>
                  </w:r>
                </w:p>
              </w:tc>
            </w:tr>
            <w:tr>
              <w:tc>
                <w:tcPr>
                  <w:tcW w:type="dxa" w:w="723"/>
                  <w:tcBorders>
                    <w:top w:val="none" w:color="000000" w:sz="4"/>
                    <w:left w:val="single" w:color="000000" w:sz="4"/>
                    <w:bottom w:val="single" w:color="000000" w:sz="4"/>
                    <w:right w:val="single" w:color="000000" w:sz="4"/>
                  </w:tcBorders>
                  <w:shd w:fill="FFFFFF"/>
                  <w:vAlign w:val="top"/>
                </w:tcPr>
                <w:p>
                  <w:pPr>
                    <w:jc w:val="center"/>
                  </w:pPr>
                  <w:r>
                    <w:rPr>
                      <w:sz w:val="21"/>
                    </w:rPr>
                    <w:t>11</w:t>
                  </w:r>
                </w:p>
              </w:tc>
              <w:tc>
                <w:tcPr>
                  <w:tcW w:type="dxa" w:w="4748"/>
                  <w:tcBorders>
                    <w:top w:val="none" w:color="000000" w:sz="4"/>
                    <w:left w:val="single" w:color="000000" w:sz="4"/>
                    <w:bottom w:val="single" w:color="000000" w:sz="4"/>
                    <w:right w:val="single" w:color="000000" w:sz="4"/>
                  </w:tcBorders>
                  <w:shd w:fill="FFFFFF"/>
                  <w:vAlign w:val="top"/>
                </w:tcPr>
                <w:p>
                  <w:pPr>
                    <w:jc w:val="both"/>
                  </w:pPr>
                  <w:r>
                    <w:rPr>
                      <w:color w:val="000000"/>
                      <w:sz w:val="21"/>
                    </w:rPr>
                    <w:t>支持在审计时，将行为与内容分离，即可分别设置只审计用户行为还是审计内容。</w:t>
                  </w:r>
                </w:p>
              </w:tc>
            </w:tr>
          </w:tbl>
          <w:p>
            <w:r>
              <w:rPr/>
              <w:t xml:space="preserve"> </w:t>
            </w:r>
          </w:p>
          <w:p>
            <w:r>
              <w:rPr>
                <w:sz w:val="21"/>
              </w:rPr>
              <w:t>5、</w:t>
            </w:r>
            <w:r>
              <w:rPr>
                <w:sz w:val="21"/>
              </w:rPr>
              <w:t>网闸</w:t>
            </w:r>
          </w:p>
          <w:tbl>
            <w:tblPr>
              <w:tblBorders>
                <w:top w:val="none" w:color="000000" w:sz="4"/>
                <w:left w:val="none" w:color="000000" w:sz="4"/>
                <w:bottom w:val="none" w:color="000000" w:sz="4"/>
                <w:right w:val="none" w:color="000000" w:sz="4"/>
                <w:insideH w:val="none"/>
                <w:insideV w:val="none"/>
              </w:tblBorders>
            </w:tblPr>
            <w:tblGrid>
              <w:gridCol w:w="764"/>
              <w:gridCol w:w="4834"/>
            </w:tblGrid>
            <w:tr>
              <w:tc>
                <w:tcPr>
                  <w:tcW w:type="dxa" w:w="764"/>
                  <w:tcBorders>
                    <w:top w:val="single" w:color="000000" w:sz="4"/>
                    <w:left w:val="single" w:color="000000" w:sz="4"/>
                    <w:bottom w:val="single" w:color="000000" w:sz="4"/>
                    <w:right w:val="single" w:color="000000" w:sz="4"/>
                  </w:tcBorders>
                  <w:shd w:fill="FFFFFF"/>
                  <w:vAlign w:val="top"/>
                </w:tcPr>
                <w:p>
                  <w:pPr>
                    <w:jc w:val="center"/>
                  </w:pPr>
                  <w:r>
                    <w:rPr>
                      <w:b/>
                      <w:sz w:val="21"/>
                    </w:rPr>
                    <w:t>技术指标</w:t>
                  </w:r>
                </w:p>
              </w:tc>
              <w:tc>
                <w:tcPr>
                  <w:tcW w:type="dxa" w:w="4834"/>
                  <w:tcBorders>
                    <w:top w:val="single" w:color="000000" w:sz="4"/>
                    <w:left w:val="single" w:color="000000" w:sz="4"/>
                    <w:bottom w:val="single" w:color="000000" w:sz="4"/>
                    <w:right w:val="single" w:color="000000" w:sz="4"/>
                  </w:tcBorders>
                  <w:shd w:fill="FFFFFF"/>
                  <w:vAlign w:val="top"/>
                </w:tcPr>
                <w:p>
                  <w:pPr>
                    <w:jc w:val="center"/>
                  </w:pPr>
                  <w:r>
                    <w:rPr>
                      <w:b/>
                      <w:sz w:val="21"/>
                    </w:rPr>
                    <w:t>详细参数要求</w:t>
                  </w:r>
                </w:p>
              </w:tc>
            </w:tr>
            <w:tr>
              <w:tc>
                <w:tcPr>
                  <w:tcW w:type="dxa" w:w="764"/>
                  <w:tcBorders>
                    <w:top w:val="none" w:color="000000" w:sz="4"/>
                    <w:left w:val="single" w:color="000000" w:sz="4"/>
                    <w:bottom w:val="single" w:color="000000" w:sz="4"/>
                    <w:right w:val="single" w:color="000000" w:sz="4"/>
                  </w:tcBorders>
                  <w:shd w:fill="FFFFFF"/>
                  <w:vAlign w:val="top"/>
                </w:tcPr>
                <w:p>
                  <w:pPr>
                    <w:jc w:val="center"/>
                  </w:pPr>
                  <w:r>
                    <w:rPr>
                      <w:color w:val="000000"/>
                      <w:sz w:val="21"/>
                    </w:rPr>
                    <w:t>1</w:t>
                  </w:r>
                </w:p>
              </w:tc>
              <w:tc>
                <w:tcPr>
                  <w:tcW w:type="dxa" w:w="4834"/>
                  <w:tcBorders>
                    <w:top w:val="none" w:color="000000" w:sz="4"/>
                    <w:left w:val="single" w:color="000000" w:sz="4"/>
                    <w:bottom w:val="single" w:color="000000" w:sz="4"/>
                    <w:right w:val="single" w:color="000000" w:sz="4"/>
                  </w:tcBorders>
                  <w:shd w:fill="FFFFFF"/>
                  <w:vAlign w:val="top"/>
                </w:tcPr>
                <w:p>
                  <w:pPr>
                    <w:jc w:val="both"/>
                  </w:pPr>
                  <w:r>
                    <w:rPr>
                      <w:b/>
                      <w:color w:val="000000"/>
                      <w:sz w:val="21"/>
                    </w:rPr>
                    <w:t>★性能参数：吞吐量 （网络层流量）≥1Gbps，最大并发连接数≥50万；</w:t>
                  </w:r>
                </w:p>
                <w:p>
                  <w:pPr>
                    <w:jc w:val="both"/>
                  </w:pPr>
                  <w:r>
                    <w:rPr>
                      <w:b/>
                      <w:color w:val="000000"/>
                      <w:sz w:val="21"/>
                    </w:rPr>
                    <w:t>产品要求提供</w:t>
                  </w:r>
                  <w:r>
                    <w:rPr>
                      <w:b/>
                      <w:color w:val="000000"/>
                      <w:sz w:val="21"/>
                    </w:rPr>
                    <w:t>3年技术支持服务、硬件质保、软件升级服务（需提供服务承诺函并加盖投标人公章）。</w:t>
                  </w:r>
                </w:p>
              </w:tc>
            </w:tr>
            <w:tr>
              <w:tc>
                <w:tcPr>
                  <w:tcW w:type="dxa" w:w="764"/>
                  <w:tcBorders>
                    <w:top w:val="none" w:color="000000" w:sz="4"/>
                    <w:left w:val="single" w:color="000000" w:sz="4"/>
                    <w:bottom w:val="single" w:color="000000" w:sz="4"/>
                    <w:right w:val="single" w:color="000000" w:sz="4"/>
                  </w:tcBorders>
                  <w:shd w:fill="FFFFFF"/>
                  <w:vAlign w:val="top"/>
                </w:tcPr>
                <w:p>
                  <w:pPr>
                    <w:jc w:val="center"/>
                  </w:pPr>
                  <w:r>
                    <w:rPr>
                      <w:sz w:val="21"/>
                    </w:rPr>
                    <w:t>2</w:t>
                  </w:r>
                </w:p>
              </w:tc>
              <w:tc>
                <w:tcPr>
                  <w:tcW w:type="dxa" w:w="4834"/>
                  <w:tcBorders>
                    <w:top w:val="none" w:color="000000" w:sz="4"/>
                    <w:left w:val="single" w:color="000000" w:sz="4"/>
                    <w:bottom w:val="single" w:color="000000" w:sz="4"/>
                    <w:right w:val="single" w:color="000000" w:sz="4"/>
                  </w:tcBorders>
                  <w:shd w:fill="FFFFFF"/>
                  <w:vAlign w:val="top"/>
                </w:tcPr>
                <w:p>
                  <w:pPr>
                    <w:jc w:val="both"/>
                  </w:pPr>
                  <w:r>
                    <w:rPr>
                      <w:sz w:val="21"/>
                    </w:rPr>
                    <w:t>1.要求采用2+1系统架构即内网单元+外网单元+FPGA专用隔离硬件。不能采用网线等形式直通。</w:t>
                  </w:r>
                </w:p>
                <w:p>
                  <w:pPr>
                    <w:jc w:val="both"/>
                  </w:pPr>
                  <w:r>
                    <w:rPr>
                      <w:sz w:val="21"/>
                    </w:rPr>
                    <w:t>2.要求采用基于linux内核的多核多线程专用安全操作系统，加固内核。</w:t>
                  </w:r>
                </w:p>
              </w:tc>
            </w:tr>
            <w:tr>
              <w:tc>
                <w:tcPr>
                  <w:tcW w:type="dxa" w:w="764"/>
                  <w:tcBorders>
                    <w:top w:val="none" w:color="000000" w:sz="4"/>
                    <w:left w:val="single" w:color="000000" w:sz="4"/>
                    <w:bottom w:val="single" w:color="000000" w:sz="4"/>
                    <w:right w:val="single" w:color="000000" w:sz="4"/>
                  </w:tcBorders>
                  <w:shd w:fill="FFFFFF"/>
                  <w:vAlign w:val="top"/>
                </w:tcPr>
                <w:p>
                  <w:pPr>
                    <w:jc w:val="center"/>
                  </w:pPr>
                  <w:r>
                    <w:rPr>
                      <w:sz w:val="21"/>
                    </w:rPr>
                    <w:t>3</w:t>
                  </w:r>
                </w:p>
              </w:tc>
              <w:tc>
                <w:tcPr>
                  <w:tcW w:type="dxa" w:w="4834"/>
                  <w:tcBorders>
                    <w:top w:val="none" w:color="000000" w:sz="4"/>
                    <w:left w:val="single" w:color="000000" w:sz="4"/>
                    <w:bottom w:val="single" w:color="000000" w:sz="4"/>
                    <w:right w:val="single" w:color="000000" w:sz="4"/>
                  </w:tcBorders>
                  <w:shd w:fill="FFFFFF"/>
                  <w:vAlign w:val="top"/>
                </w:tcPr>
                <w:p>
                  <w:pPr>
                    <w:jc w:val="both"/>
                  </w:pPr>
                  <w:r>
                    <w:rPr>
                      <w:sz w:val="21"/>
                    </w:rPr>
                    <w:t>要求外网端不允许配置任何形式的管理接口，所有管理配置操作均通过专用的网闸内网可信端管理接口进行配置。</w:t>
                  </w:r>
                </w:p>
              </w:tc>
            </w:tr>
            <w:tr>
              <w:tc>
                <w:tcPr>
                  <w:tcW w:type="dxa" w:w="764"/>
                  <w:tcBorders>
                    <w:top w:val="none" w:color="000000" w:sz="4"/>
                    <w:left w:val="single" w:color="000000" w:sz="4"/>
                    <w:bottom w:val="single" w:color="000000" w:sz="4"/>
                    <w:right w:val="single" w:color="000000" w:sz="4"/>
                  </w:tcBorders>
                  <w:shd w:fill="FFFFFF"/>
                  <w:vAlign w:val="top"/>
                </w:tcPr>
                <w:p>
                  <w:pPr>
                    <w:jc w:val="center"/>
                  </w:pPr>
                  <w:r>
                    <w:rPr>
                      <w:sz w:val="21"/>
                    </w:rPr>
                    <w:t>4</w:t>
                  </w:r>
                </w:p>
              </w:tc>
              <w:tc>
                <w:tcPr>
                  <w:tcW w:type="dxa" w:w="4834"/>
                  <w:tcBorders>
                    <w:top w:val="none" w:color="000000" w:sz="4"/>
                    <w:left w:val="single" w:color="000000" w:sz="4"/>
                    <w:bottom w:val="single" w:color="000000" w:sz="4"/>
                    <w:right w:val="single" w:color="000000" w:sz="4"/>
                  </w:tcBorders>
                  <w:shd w:fill="FFFFFF"/>
                  <w:vAlign w:val="top"/>
                </w:tcPr>
                <w:p>
                  <w:pPr>
                    <w:jc w:val="both"/>
                  </w:pPr>
                  <w:r>
                    <w:rPr>
                      <w:sz w:val="21"/>
                    </w:rPr>
                    <w:t>设备支持透明、代理及路由三种工作模式，管理员可依据实际网络状况进行相应的部署。</w:t>
                  </w:r>
                </w:p>
              </w:tc>
            </w:tr>
            <w:tr>
              <w:tc>
                <w:tcPr>
                  <w:tcW w:type="dxa" w:w="764"/>
                  <w:tcBorders>
                    <w:top w:val="none" w:color="000000" w:sz="4"/>
                    <w:left w:val="single" w:color="000000" w:sz="4"/>
                    <w:bottom w:val="single" w:color="000000" w:sz="4"/>
                    <w:right w:val="single" w:color="000000" w:sz="4"/>
                  </w:tcBorders>
                  <w:shd w:fill="FFFFFF"/>
                  <w:vAlign w:val="top"/>
                </w:tcPr>
                <w:p>
                  <w:pPr>
                    <w:jc w:val="center"/>
                  </w:pPr>
                  <w:r>
                    <w:rPr>
                      <w:sz w:val="21"/>
                    </w:rPr>
                    <w:t>5</w:t>
                  </w:r>
                </w:p>
              </w:tc>
              <w:tc>
                <w:tcPr>
                  <w:tcW w:type="dxa" w:w="4834"/>
                  <w:tcBorders>
                    <w:top w:val="none" w:color="000000" w:sz="4"/>
                    <w:left w:val="single" w:color="000000" w:sz="4"/>
                    <w:bottom w:val="single" w:color="000000" w:sz="4"/>
                    <w:right w:val="single" w:color="000000" w:sz="4"/>
                  </w:tcBorders>
                  <w:shd w:fill="FFFFFF"/>
                  <w:vAlign w:val="top"/>
                </w:tcPr>
                <w:p>
                  <w:pPr>
                    <w:jc w:val="both"/>
                  </w:pPr>
                  <w:r>
                    <w:rPr>
                      <w:sz w:val="21"/>
                    </w:rPr>
                    <w:t>支持</w:t>
                  </w:r>
                  <w:r>
                    <w:rPr>
                      <w:sz w:val="21"/>
                    </w:rPr>
                    <w:t>IPV6、IPV4双协议栈接入。</w:t>
                  </w:r>
                </w:p>
              </w:tc>
            </w:tr>
            <w:tr>
              <w:tc>
                <w:tcPr>
                  <w:tcW w:type="dxa" w:w="764"/>
                  <w:tcBorders>
                    <w:top w:val="none" w:color="000000" w:sz="4"/>
                    <w:left w:val="single" w:color="000000" w:sz="4"/>
                    <w:bottom w:val="single" w:color="000000" w:sz="4"/>
                    <w:right w:val="single" w:color="000000" w:sz="4"/>
                  </w:tcBorders>
                  <w:shd w:fill="FFFFFF"/>
                  <w:vAlign w:val="top"/>
                </w:tcPr>
                <w:p>
                  <w:pPr>
                    <w:jc w:val="center"/>
                  </w:pPr>
                  <w:r>
                    <w:rPr>
                      <w:sz w:val="21"/>
                    </w:rPr>
                    <w:t>6</w:t>
                  </w:r>
                </w:p>
              </w:tc>
              <w:tc>
                <w:tcPr>
                  <w:tcW w:type="dxa" w:w="4834"/>
                  <w:tcBorders>
                    <w:top w:val="none" w:color="000000" w:sz="4"/>
                    <w:left w:val="single" w:color="000000" w:sz="4"/>
                    <w:bottom w:val="single" w:color="000000" w:sz="4"/>
                    <w:right w:val="single" w:color="000000" w:sz="4"/>
                  </w:tcBorders>
                  <w:shd w:fill="FFFFFF"/>
                  <w:vAlign w:val="top"/>
                </w:tcPr>
                <w:p>
                  <w:pPr>
                    <w:jc w:val="both"/>
                  </w:pPr>
                  <w:r>
                    <w:rPr>
                      <w:sz w:val="21"/>
                    </w:rPr>
                    <w:t>产品内置各类应用支持模块，无须增加投资，功能模块至少包含：邮件模块、安全浏览模块、视频交换模块、数据库访问模块、数据库同步模块、文件交换模块、</w:t>
                  </w:r>
                  <w:r>
                    <w:rPr>
                      <w:sz w:val="21"/>
                    </w:rPr>
                    <w:t>OPC模块、MODBUS模块、WINCC模块、组播代理模块、用户自定义应用模块等各类应用模块,并可控制相应应用协议的的动作、参数、内容。</w:t>
                  </w:r>
                </w:p>
              </w:tc>
            </w:tr>
            <w:tr>
              <w:tc>
                <w:tcPr>
                  <w:tcW w:type="dxa" w:w="764"/>
                  <w:tcBorders>
                    <w:top w:val="none" w:color="000000" w:sz="4"/>
                    <w:left w:val="single" w:color="000000" w:sz="4"/>
                    <w:bottom w:val="single" w:color="000000" w:sz="4"/>
                    <w:right w:val="single" w:color="000000" w:sz="4"/>
                  </w:tcBorders>
                  <w:shd w:fill="FFFFFF"/>
                  <w:vAlign w:val="top"/>
                </w:tcPr>
                <w:p>
                  <w:pPr>
                    <w:jc w:val="center"/>
                  </w:pPr>
                  <w:r>
                    <w:rPr>
                      <w:sz w:val="21"/>
                    </w:rPr>
                    <w:t>7</w:t>
                  </w:r>
                </w:p>
              </w:tc>
              <w:tc>
                <w:tcPr>
                  <w:tcW w:type="dxa" w:w="4834"/>
                  <w:tcBorders>
                    <w:top w:val="none" w:color="000000" w:sz="4"/>
                    <w:left w:val="single" w:color="000000" w:sz="4"/>
                    <w:bottom w:val="single" w:color="000000" w:sz="4"/>
                    <w:right w:val="single" w:color="000000" w:sz="4"/>
                  </w:tcBorders>
                  <w:shd w:fill="FFFFFF"/>
                  <w:vAlign w:val="top"/>
                </w:tcPr>
                <w:p>
                  <w:pPr>
                    <w:jc w:val="both"/>
                  </w:pPr>
                  <w:r>
                    <w:rPr>
                      <w:sz w:val="21"/>
                    </w:rPr>
                    <w:t>支持的数据库种类包括</w:t>
                  </w:r>
                  <w:r>
                    <w:rPr>
                      <w:sz w:val="21"/>
                    </w:rPr>
                    <w:t>ORACLE、SQLSERVER、MYSQL、SYBASE等主流数据库支持多种关系型数据库通信。支持SQL语句的白名单和黑名单</w:t>
                  </w:r>
                  <w:r>
                    <w:rPr>
                      <w:b/>
                      <w:sz w:val="21"/>
                    </w:rPr>
                    <w:t>（需提供印有采购项目编号的产品功能截图证明，并加盖制造商公章）。</w:t>
                  </w:r>
                </w:p>
              </w:tc>
            </w:tr>
            <w:tr>
              <w:tc>
                <w:tcPr>
                  <w:tcW w:type="dxa" w:w="764"/>
                  <w:tcBorders>
                    <w:top w:val="none" w:color="000000" w:sz="4"/>
                    <w:left w:val="single" w:color="000000" w:sz="4"/>
                    <w:bottom w:val="single" w:color="000000" w:sz="4"/>
                    <w:right w:val="single" w:color="000000" w:sz="4"/>
                  </w:tcBorders>
                  <w:shd w:fill="FFFFFF"/>
                  <w:vAlign w:val="top"/>
                </w:tcPr>
                <w:p>
                  <w:pPr>
                    <w:jc w:val="center"/>
                  </w:pPr>
                  <w:r>
                    <w:rPr>
                      <w:sz w:val="21"/>
                    </w:rPr>
                    <w:t>8</w:t>
                  </w:r>
                </w:p>
              </w:tc>
              <w:tc>
                <w:tcPr>
                  <w:tcW w:type="dxa" w:w="4834"/>
                  <w:tcBorders>
                    <w:top w:val="none" w:color="000000" w:sz="4"/>
                    <w:left w:val="single" w:color="000000" w:sz="4"/>
                    <w:bottom w:val="single" w:color="000000" w:sz="4"/>
                    <w:right w:val="single" w:color="000000" w:sz="4"/>
                  </w:tcBorders>
                  <w:shd w:fill="FFFFFF"/>
                  <w:vAlign w:val="top"/>
                </w:tcPr>
                <w:p>
                  <w:pPr>
                    <w:jc w:val="both"/>
                  </w:pPr>
                  <w:r>
                    <w:rPr>
                      <w:sz w:val="21"/>
                    </w:rPr>
                    <w:t>支持</w:t>
                  </w:r>
                  <w:r>
                    <w:rPr>
                      <w:sz w:val="21"/>
                    </w:rPr>
                    <w:t>TCP应用层数据单向传输的控制，保证TCP应用数据的零反馈，以满足二次防护对数据传输的安全性需求。</w:t>
                  </w:r>
                </w:p>
              </w:tc>
            </w:tr>
            <w:tr>
              <w:tc>
                <w:tcPr>
                  <w:tcW w:type="dxa" w:w="764"/>
                  <w:tcBorders>
                    <w:top w:val="none" w:color="000000" w:sz="4"/>
                    <w:left w:val="single" w:color="000000" w:sz="4"/>
                    <w:bottom w:val="single" w:color="000000" w:sz="4"/>
                    <w:right w:val="single" w:color="000000" w:sz="4"/>
                  </w:tcBorders>
                  <w:shd w:fill="FFFFFF"/>
                  <w:vAlign w:val="top"/>
                </w:tcPr>
                <w:p>
                  <w:pPr>
                    <w:jc w:val="center"/>
                  </w:pPr>
                  <w:r>
                    <w:rPr>
                      <w:sz w:val="21"/>
                    </w:rPr>
                    <w:t>9</w:t>
                  </w:r>
                </w:p>
              </w:tc>
              <w:tc>
                <w:tcPr>
                  <w:tcW w:type="dxa" w:w="4834"/>
                  <w:tcBorders>
                    <w:top w:val="none" w:color="000000" w:sz="4"/>
                    <w:left w:val="single" w:color="000000" w:sz="4"/>
                    <w:bottom w:val="single" w:color="000000" w:sz="4"/>
                    <w:right w:val="single" w:color="000000" w:sz="4"/>
                  </w:tcBorders>
                  <w:shd w:fill="FFFFFF"/>
                  <w:vAlign w:val="top"/>
                </w:tcPr>
                <w:p>
                  <w:pPr>
                    <w:jc w:val="both"/>
                  </w:pPr>
                  <w:r>
                    <w:rPr>
                      <w:sz w:val="21"/>
                    </w:rPr>
                    <w:t>支持</w:t>
                  </w:r>
                  <w:r>
                    <w:rPr>
                      <w:sz w:val="21"/>
                    </w:rPr>
                    <w:t>Samba、FTP等多种文件协议，可以实现内网到外网、外网到内网、双向的文件传送。</w:t>
                  </w:r>
                </w:p>
              </w:tc>
            </w:tr>
            <w:tr>
              <w:tc>
                <w:tcPr>
                  <w:tcW w:type="dxa" w:w="764"/>
                  <w:tcBorders>
                    <w:top w:val="none" w:color="000000" w:sz="4"/>
                    <w:left w:val="single" w:color="000000" w:sz="4"/>
                    <w:bottom w:val="single" w:color="000000" w:sz="4"/>
                    <w:right w:val="single" w:color="000000" w:sz="4"/>
                  </w:tcBorders>
                  <w:shd w:fill="FFFFFF"/>
                  <w:vAlign w:val="top"/>
                </w:tcPr>
                <w:p>
                  <w:pPr>
                    <w:jc w:val="center"/>
                  </w:pPr>
                  <w:r>
                    <w:rPr>
                      <w:sz w:val="21"/>
                    </w:rPr>
                    <w:t>10</w:t>
                  </w:r>
                </w:p>
              </w:tc>
              <w:tc>
                <w:tcPr>
                  <w:tcW w:type="dxa" w:w="4834"/>
                  <w:tcBorders>
                    <w:top w:val="none" w:color="000000" w:sz="4"/>
                    <w:left w:val="single" w:color="000000" w:sz="4"/>
                    <w:bottom w:val="single" w:color="000000" w:sz="4"/>
                    <w:right w:val="single" w:color="000000" w:sz="4"/>
                  </w:tcBorders>
                  <w:shd w:fill="FFFFFF"/>
                  <w:vAlign w:val="top"/>
                </w:tcPr>
                <w:p>
                  <w:pPr>
                    <w:jc w:val="both"/>
                  </w:pPr>
                  <w:r>
                    <w:rPr>
                      <w:sz w:val="21"/>
                    </w:rPr>
                    <w:t>支持对文件类型的黑白名单控制，根据文件格式特征进行过滤，并且不依赖于文件扩展名；支持文件内容深度检测，对包含关键字内容的文件进行过滤。</w:t>
                  </w:r>
                </w:p>
              </w:tc>
            </w:tr>
            <w:tr>
              <w:tc>
                <w:tcPr>
                  <w:tcW w:type="dxa" w:w="764"/>
                  <w:tcBorders>
                    <w:top w:val="none" w:color="000000" w:sz="4"/>
                    <w:left w:val="single" w:color="000000" w:sz="4"/>
                    <w:bottom w:val="single" w:color="000000" w:sz="4"/>
                    <w:right w:val="single" w:color="000000" w:sz="4"/>
                  </w:tcBorders>
                  <w:shd w:fill="FFFFFF"/>
                  <w:vAlign w:val="top"/>
                </w:tcPr>
                <w:p>
                  <w:pPr>
                    <w:jc w:val="center"/>
                  </w:pPr>
                  <w:r>
                    <w:rPr>
                      <w:sz w:val="21"/>
                    </w:rPr>
                    <w:t>11</w:t>
                  </w:r>
                </w:p>
              </w:tc>
              <w:tc>
                <w:tcPr>
                  <w:tcW w:type="dxa" w:w="4834"/>
                  <w:tcBorders>
                    <w:top w:val="none" w:color="000000" w:sz="4"/>
                    <w:left w:val="single" w:color="000000" w:sz="4"/>
                    <w:bottom w:val="single" w:color="000000" w:sz="4"/>
                    <w:right w:val="single" w:color="000000" w:sz="4"/>
                  </w:tcBorders>
                  <w:shd w:fill="FFFFFF"/>
                  <w:vAlign w:val="top"/>
                </w:tcPr>
                <w:p>
                  <w:pPr>
                    <w:jc w:val="both"/>
                  </w:pPr>
                  <w:r>
                    <w:rPr>
                      <w:sz w:val="21"/>
                    </w:rPr>
                    <w:t>支持平台级联和视频点播功能。</w:t>
                  </w:r>
                </w:p>
              </w:tc>
            </w:tr>
            <w:tr>
              <w:tc>
                <w:tcPr>
                  <w:tcW w:type="dxa" w:w="764"/>
                  <w:tcBorders>
                    <w:top w:val="none" w:color="000000" w:sz="4"/>
                    <w:left w:val="single" w:color="000000" w:sz="4"/>
                    <w:bottom w:val="single" w:color="000000" w:sz="4"/>
                    <w:right w:val="single" w:color="000000" w:sz="4"/>
                  </w:tcBorders>
                  <w:shd w:fill="FFFFFF"/>
                  <w:vAlign w:val="top"/>
                </w:tcPr>
                <w:p>
                  <w:pPr>
                    <w:jc w:val="center"/>
                  </w:pPr>
                  <w:r>
                    <w:rPr>
                      <w:sz w:val="21"/>
                    </w:rPr>
                    <w:t>12</w:t>
                  </w:r>
                </w:p>
              </w:tc>
              <w:tc>
                <w:tcPr>
                  <w:tcW w:type="dxa" w:w="4834"/>
                  <w:tcBorders>
                    <w:top w:val="none" w:color="000000" w:sz="4"/>
                    <w:left w:val="single" w:color="000000" w:sz="4"/>
                    <w:bottom w:val="single" w:color="000000" w:sz="4"/>
                    <w:right w:val="single" w:color="000000" w:sz="4"/>
                  </w:tcBorders>
                  <w:shd w:fill="FFFFFF"/>
                  <w:vAlign w:val="top"/>
                </w:tcPr>
                <w:p>
                  <w:pPr>
                    <w:jc w:val="both"/>
                  </w:pPr>
                  <w:r>
                    <w:rPr>
                      <w:sz w:val="21"/>
                    </w:rPr>
                    <w:t>符合</w:t>
                  </w:r>
                  <w:r>
                    <w:rPr>
                      <w:sz w:val="21"/>
                    </w:rPr>
                    <w:t>GB/T 28181国家标准，支持相关厂商协议规范。</w:t>
                  </w:r>
                </w:p>
              </w:tc>
            </w:tr>
          </w:tbl>
          <w:p>
            <w:r>
              <w:rPr/>
              <w:t xml:space="preserve"> </w:t>
            </w:r>
          </w:p>
          <w:p>
            <w:r>
              <w:rPr>
                <w:sz w:val="21"/>
              </w:rPr>
              <w:t>6、</w:t>
            </w:r>
            <w:r>
              <w:rPr>
                <w:sz w:val="21"/>
              </w:rPr>
              <w:t>云统一安全平台</w:t>
            </w:r>
          </w:p>
          <w:tbl>
            <w:tblPr>
              <w:tblBorders>
                <w:top w:val="none" w:color="000000" w:sz="4"/>
                <w:left w:val="none" w:color="000000" w:sz="4"/>
                <w:bottom w:val="none" w:color="000000" w:sz="4"/>
                <w:right w:val="none" w:color="000000" w:sz="4"/>
                <w:insideH w:val="none"/>
                <w:insideV w:val="none"/>
              </w:tblBorders>
            </w:tblPr>
            <w:tblGrid>
              <w:gridCol w:w="723"/>
              <w:gridCol w:w="745"/>
              <w:gridCol w:w="4130"/>
            </w:tblGrid>
            <w:tr>
              <w:tc>
                <w:tcPr>
                  <w:tcW w:type="dxa" w:w="723"/>
                  <w:tcBorders>
                    <w:top w:val="single" w:color="000000" w:sz="4"/>
                    <w:left w:val="single" w:color="000000" w:sz="4"/>
                    <w:bottom w:val="single" w:color="000000" w:sz="4"/>
                    <w:right w:val="single" w:color="000000" w:sz="4"/>
                  </w:tcBorders>
                  <w:vAlign w:val="top"/>
                </w:tcPr>
                <w:p>
                  <w:pPr>
                    <w:jc w:val="center"/>
                  </w:pPr>
                  <w:r>
                    <w:rPr>
                      <w:b/>
                      <w:sz w:val="21"/>
                    </w:rPr>
                    <w:t>技术指标</w:t>
                  </w:r>
                </w:p>
              </w:tc>
              <w:tc>
                <w:tcPr>
                  <w:tcW w:type="dxa" w:w="745"/>
                  <w:tcBorders>
                    <w:top w:val="single" w:color="000000" w:sz="4"/>
                    <w:left w:val="single" w:color="000000" w:sz="4"/>
                    <w:bottom w:val="single" w:color="000000" w:sz="4"/>
                    <w:right w:val="single" w:color="000000" w:sz="4"/>
                  </w:tcBorders>
                  <w:vAlign w:val="top"/>
                </w:tcPr>
                <w:p>
                  <w:pPr>
                    <w:jc w:val="center"/>
                  </w:pPr>
                  <w:r>
                    <w:rPr>
                      <w:b/>
                      <w:sz w:val="21"/>
                    </w:rPr>
                    <w:t>项目</w:t>
                  </w:r>
                </w:p>
              </w:tc>
              <w:tc>
                <w:tcPr>
                  <w:tcW w:type="dxa" w:w="4130"/>
                  <w:tcBorders>
                    <w:top w:val="single" w:color="000000" w:sz="4"/>
                    <w:left w:val="single" w:color="000000" w:sz="4"/>
                    <w:bottom w:val="single" w:color="000000" w:sz="4"/>
                    <w:right w:val="single" w:color="000000" w:sz="4"/>
                  </w:tcBorders>
                  <w:vAlign w:val="top"/>
                </w:tcPr>
                <w:p>
                  <w:pPr>
                    <w:jc w:val="center"/>
                  </w:pPr>
                  <w:r>
                    <w:rPr>
                      <w:b/>
                      <w:sz w:val="21"/>
                    </w:rPr>
                    <w:t>详细参数要求</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45"/>
                  <w:tcBorders>
                    <w:top w:val="none" w:color="000000" w:sz="4"/>
                    <w:left w:val="single" w:color="000000" w:sz="4"/>
                    <w:bottom w:val="single" w:color="000000" w:sz="4"/>
                    <w:right w:val="single" w:color="000000" w:sz="4"/>
                  </w:tcBorders>
                  <w:vAlign w:val="top"/>
                </w:tcPr>
                <w:p>
                  <w:pPr>
                    <w:jc w:val="both"/>
                  </w:pPr>
                  <w:r>
                    <w:rPr>
                      <w:sz w:val="21"/>
                    </w:rPr>
                    <w:t>云安全平台服务器</w:t>
                  </w:r>
                </w:p>
              </w:tc>
              <w:tc>
                <w:tcPr>
                  <w:tcW w:type="dxa" w:w="4130"/>
                  <w:tcBorders>
                    <w:top w:val="none" w:color="000000" w:sz="4"/>
                    <w:left w:val="single" w:color="000000" w:sz="4"/>
                    <w:bottom w:val="single" w:color="000000" w:sz="4"/>
                    <w:right w:val="single" w:color="000000" w:sz="4"/>
                  </w:tcBorders>
                  <w:vAlign w:val="top"/>
                </w:tcPr>
                <w:p>
                  <w:pPr>
                    <w:jc w:val="both"/>
                  </w:pPr>
                  <w:r>
                    <w:rPr>
                      <w:b/>
                      <w:sz w:val="21"/>
                    </w:rPr>
                    <w:t>★本项目要求提供2台硬件云安全平台超融合服务器。</w:t>
                  </w:r>
                </w:p>
                <w:p>
                  <w:pPr>
                    <w:jc w:val="both"/>
                  </w:pPr>
                  <w:r>
                    <w:rPr>
                      <w:b/>
                      <w:sz w:val="21"/>
                    </w:rPr>
                    <w:t>规格要求为：</w:t>
                  </w:r>
                  <w:r>
                    <w:rPr>
                      <w:b/>
                      <w:sz w:val="21"/>
                    </w:rPr>
                    <w:t>2U机架式服务器，CPU≥2颗Silver 4214R 2.4 GHZ（12C），内存≥4*32GB DDR4 2933，系统盘≥2*240GB SATA SSD，缓存盘≥2*480G SSD，数据盘≥3*4T HDD，标配盘位数≥12，电源为白金冗余电源，接口≥6千兆电口+2万兆光口</w:t>
                  </w:r>
                  <w:r>
                    <w:rPr>
                      <w:b/>
                      <w:color w:val="000000"/>
                      <w:sz w:val="21"/>
                    </w:rPr>
                    <w:t>；</w:t>
                  </w:r>
                </w:p>
                <w:p>
                  <w:pPr>
                    <w:jc w:val="both"/>
                  </w:pPr>
                  <w:r>
                    <w:rPr>
                      <w:b/>
                      <w:color w:val="000000"/>
                      <w:sz w:val="21"/>
                    </w:rPr>
                    <w:t>产品要求提供</w:t>
                  </w:r>
                  <w:r>
                    <w:rPr>
                      <w:b/>
                      <w:color w:val="000000"/>
                      <w:sz w:val="21"/>
                    </w:rPr>
                    <w:t>3年技术支持及硬件质保服务（需提供服务承诺函并加盖投标人公章）。</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45"/>
                  <w:vMerge w:val="restart"/>
                  <w:tcBorders>
                    <w:top w:val="none" w:color="000000" w:sz="4"/>
                    <w:left w:val="single" w:color="000000" w:sz="4"/>
                    <w:bottom w:val="single" w:color="000000" w:sz="4"/>
                    <w:right w:val="single" w:color="000000" w:sz="4"/>
                  </w:tcBorders>
                  <w:vAlign w:val="top"/>
                </w:tcPr>
                <w:p>
                  <w:pPr>
                    <w:jc w:val="both"/>
                  </w:pPr>
                  <w:r>
                    <w:rPr>
                      <w:sz w:val="21"/>
                    </w:rPr>
                    <w:t>云安全平台管理软件</w:t>
                  </w:r>
                </w:p>
              </w:tc>
              <w:tc>
                <w:tcPr>
                  <w:tcW w:type="dxa" w:w="4130"/>
                  <w:tcBorders>
                    <w:top w:val="none" w:color="000000" w:sz="4"/>
                    <w:left w:val="single" w:color="000000" w:sz="4"/>
                    <w:bottom w:val="single" w:color="000000" w:sz="4"/>
                    <w:right w:val="single" w:color="000000" w:sz="4"/>
                  </w:tcBorders>
                  <w:vAlign w:val="top"/>
                </w:tcPr>
                <w:p>
                  <w:pPr>
                    <w:jc w:val="both"/>
                  </w:pPr>
                  <w:r>
                    <w:rPr>
                      <w:b/>
                      <w:sz w:val="21"/>
                    </w:rPr>
                    <w:t>★本项目要求提供4颗CPU的超融合软件及云安全管理平台授权，同时要求提供3年技术支持服务及软件升级服务</w:t>
                  </w:r>
                  <w:r>
                    <w:rPr>
                      <w:b/>
                      <w:color w:val="000000"/>
                      <w:sz w:val="21"/>
                    </w:rPr>
                    <w:t>（需提供服务承诺函并加盖投标人公章）。</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45"/>
                  <w:vMerge/>
                  <w:tcBorders>
                    <w:top w:val="none" w:color="000000" w:sz="4"/>
                    <w:left w:val="single" w:color="000000" w:sz="4"/>
                    <w:bottom w:val="single" w:color="000000" w:sz="4"/>
                    <w:right w:val="single" w:color="000000" w:sz="4"/>
                  </w:tcBorders>
                </w:tcPr>
                <w:p/>
              </w:tc>
              <w:tc>
                <w:tcPr>
                  <w:tcW w:type="dxa" w:w="4130"/>
                  <w:tcBorders>
                    <w:top w:val="none" w:color="000000" w:sz="4"/>
                    <w:left w:val="single" w:color="000000" w:sz="4"/>
                    <w:bottom w:val="single" w:color="000000" w:sz="4"/>
                    <w:right w:val="single" w:color="000000" w:sz="4"/>
                  </w:tcBorders>
                  <w:vAlign w:val="top"/>
                </w:tcPr>
                <w:p>
                  <w:pPr>
                    <w:jc w:val="both"/>
                  </w:pPr>
                  <w:r>
                    <w:rPr>
                      <w:sz w:val="21"/>
                    </w:rPr>
                    <w:t>每个节点出厂自带管理软件，设备上电后可登录任意一台来做超融合管理节点，任何单节点故障后，集群中其他物理节点可担任管理节点，保障管理软件的高可用。</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45"/>
                  <w:vMerge/>
                  <w:tcBorders>
                    <w:top w:val="none" w:color="000000" w:sz="4"/>
                    <w:left w:val="single" w:color="000000" w:sz="4"/>
                    <w:bottom w:val="single" w:color="000000" w:sz="4"/>
                    <w:right w:val="single" w:color="000000" w:sz="4"/>
                  </w:tcBorders>
                </w:tcPr>
                <w:p/>
              </w:tc>
              <w:tc>
                <w:tcPr>
                  <w:tcW w:type="dxa" w:w="4130"/>
                  <w:tcBorders>
                    <w:top w:val="none" w:color="000000" w:sz="4"/>
                    <w:left w:val="single" w:color="000000" w:sz="4"/>
                    <w:bottom w:val="single" w:color="000000" w:sz="4"/>
                    <w:right w:val="single" w:color="000000" w:sz="4"/>
                  </w:tcBorders>
                  <w:vAlign w:val="top"/>
                </w:tcPr>
                <w:p>
                  <w:pPr>
                    <w:jc w:val="both"/>
                  </w:pPr>
                  <w:r>
                    <w:rPr>
                      <w:sz w:val="21"/>
                    </w:rPr>
                    <w:t>融合一体化产品，要求产品出厂即具备虚拟化特性，上电开机即可快速登陆虚拟化管理界面进行虚机管理操作。</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45"/>
                  <w:vMerge/>
                  <w:tcBorders>
                    <w:top w:val="none" w:color="000000" w:sz="4"/>
                    <w:left w:val="single" w:color="000000" w:sz="4"/>
                    <w:bottom w:val="single" w:color="000000" w:sz="4"/>
                    <w:right w:val="single" w:color="000000" w:sz="4"/>
                  </w:tcBorders>
                </w:tcPr>
                <w:p/>
              </w:tc>
              <w:tc>
                <w:tcPr>
                  <w:tcW w:type="dxa" w:w="4130"/>
                  <w:tcBorders>
                    <w:top w:val="none" w:color="000000" w:sz="4"/>
                    <w:left w:val="single" w:color="000000" w:sz="4"/>
                    <w:bottom w:val="single" w:color="000000" w:sz="4"/>
                    <w:right w:val="single" w:color="000000" w:sz="4"/>
                  </w:tcBorders>
                  <w:vAlign w:val="top"/>
                </w:tcPr>
                <w:p>
                  <w:pPr>
                    <w:jc w:val="both"/>
                  </w:pPr>
                  <w:r>
                    <w:rPr>
                      <w:sz w:val="21"/>
                    </w:rPr>
                    <w:t>▲支持大屏展示便于客户直观查看虚拟化资源池的使用情况和健康状态，包括集群资源情况，各主机资源使用情况，存储资源池的IO次数、IO速率、IO时延、存储命中率、主机命中率，以及集群故障与告警</w:t>
                  </w:r>
                  <w:r>
                    <w:rPr>
                      <w:b/>
                      <w:sz w:val="21"/>
                    </w:rPr>
                    <w:t>（需提供印有采购项目编号的产品功能截图证明，并加盖制造商公章）。</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45"/>
                  <w:vMerge/>
                  <w:tcBorders>
                    <w:top w:val="none" w:color="000000" w:sz="4"/>
                    <w:left w:val="single" w:color="000000" w:sz="4"/>
                    <w:bottom w:val="single" w:color="000000" w:sz="4"/>
                    <w:right w:val="single" w:color="000000" w:sz="4"/>
                  </w:tcBorders>
                </w:tcPr>
                <w:p/>
              </w:tc>
              <w:tc>
                <w:tcPr>
                  <w:tcW w:type="dxa" w:w="4130"/>
                  <w:tcBorders>
                    <w:top w:val="none" w:color="000000" w:sz="4"/>
                    <w:left w:val="single" w:color="000000" w:sz="4"/>
                    <w:bottom w:val="single" w:color="000000" w:sz="4"/>
                    <w:right w:val="single" w:color="000000" w:sz="4"/>
                  </w:tcBorders>
                  <w:vAlign w:val="top"/>
                </w:tcPr>
                <w:p>
                  <w:pPr>
                    <w:jc w:val="both"/>
                  </w:pPr>
                  <w:r>
                    <w:rPr>
                      <w:sz w:val="21"/>
                    </w:rPr>
                    <w:t>虚拟化管理平台具备监控功能，对资源池中</w:t>
                  </w:r>
                  <w:r>
                    <w:rPr>
                      <w:sz w:val="21"/>
                    </w:rPr>
                    <w:t>CPU、网络、磁盘使用率等指标进行实时的数据统计，当指标超过设置的阈值，可以通过多种方式（短信、邮箱）告知管理员进行排障。</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45"/>
                  <w:vMerge/>
                  <w:tcBorders>
                    <w:top w:val="none" w:color="000000" w:sz="4"/>
                    <w:left w:val="single" w:color="000000" w:sz="4"/>
                    <w:bottom w:val="single" w:color="000000" w:sz="4"/>
                    <w:right w:val="single" w:color="000000" w:sz="4"/>
                  </w:tcBorders>
                </w:tcPr>
                <w:p/>
              </w:tc>
              <w:tc>
                <w:tcPr>
                  <w:tcW w:type="dxa" w:w="4130"/>
                  <w:tcBorders>
                    <w:top w:val="none" w:color="000000" w:sz="4"/>
                    <w:left w:val="single" w:color="000000" w:sz="4"/>
                    <w:bottom w:val="single" w:color="000000" w:sz="4"/>
                    <w:right w:val="single" w:color="000000" w:sz="4"/>
                  </w:tcBorders>
                  <w:vAlign w:val="top"/>
                </w:tcPr>
                <w:p>
                  <w:pPr>
                    <w:jc w:val="both"/>
                  </w:pPr>
                  <w:r>
                    <w:rPr>
                      <w:sz w:val="21"/>
                    </w:rPr>
                    <w:t>支持虚拟机的</w:t>
                  </w:r>
                  <w:r>
                    <w:rPr>
                      <w:sz w:val="21"/>
                    </w:rPr>
                    <w:t>HA功能。当物理服务器发生故障时，该物理服务器上的所有虚拟机，可以在集群之内的其它物理服务器上重新启动，保障业务连续性。</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45"/>
                  <w:vMerge/>
                  <w:tcBorders>
                    <w:top w:val="none" w:color="000000" w:sz="4"/>
                    <w:left w:val="single" w:color="000000" w:sz="4"/>
                    <w:bottom w:val="single" w:color="000000" w:sz="4"/>
                    <w:right w:val="single" w:color="000000" w:sz="4"/>
                  </w:tcBorders>
                </w:tcPr>
                <w:p/>
              </w:tc>
              <w:tc>
                <w:tcPr>
                  <w:tcW w:type="dxa" w:w="4130"/>
                  <w:tcBorders>
                    <w:top w:val="none" w:color="000000" w:sz="4"/>
                    <w:left w:val="single" w:color="000000" w:sz="4"/>
                    <w:bottom w:val="single" w:color="000000" w:sz="4"/>
                    <w:right w:val="single" w:color="000000" w:sz="4"/>
                  </w:tcBorders>
                  <w:vAlign w:val="top"/>
                </w:tcPr>
                <w:p>
                  <w:pPr>
                    <w:jc w:val="both"/>
                  </w:pPr>
                  <w:r>
                    <w:rPr>
                      <w:sz w:val="21"/>
                    </w:rPr>
                    <w:t>▲支持无代理跨物理主机的虚拟机USB映射，需要使用USB KEY时，无需在虚拟机上安装客户端插件，且虚拟机迁移到其它物理主机后，仍能正常使用迁移前所在物理主机上的USB资源</w:t>
                  </w:r>
                  <w:r>
                    <w:rPr>
                      <w:b/>
                      <w:sz w:val="21"/>
                    </w:rPr>
                    <w:t>（需提供印有采购项目编号的产品功能截图证明，并加盖制造商公章）。</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45"/>
                  <w:vMerge/>
                  <w:tcBorders>
                    <w:top w:val="none" w:color="000000" w:sz="4"/>
                    <w:left w:val="single" w:color="000000" w:sz="4"/>
                    <w:bottom w:val="single" w:color="000000" w:sz="4"/>
                    <w:right w:val="single" w:color="000000" w:sz="4"/>
                  </w:tcBorders>
                </w:tcPr>
                <w:p/>
              </w:tc>
              <w:tc>
                <w:tcPr>
                  <w:tcW w:type="dxa" w:w="4130"/>
                  <w:tcBorders>
                    <w:top w:val="none" w:color="000000" w:sz="4"/>
                    <w:left w:val="single" w:color="000000" w:sz="4"/>
                    <w:bottom w:val="single" w:color="000000" w:sz="4"/>
                    <w:right w:val="single" w:color="000000" w:sz="4"/>
                  </w:tcBorders>
                  <w:vAlign w:val="top"/>
                </w:tcPr>
                <w:p>
                  <w:pPr>
                    <w:jc w:val="both"/>
                  </w:pPr>
                  <w:r>
                    <w:rPr>
                      <w:sz w:val="21"/>
                    </w:rPr>
                    <w:t>支持对</w:t>
                  </w:r>
                  <w:r>
                    <w:rPr>
                      <w:sz w:val="21"/>
                    </w:rPr>
                    <w:t>oracle、sqlserver、Weblogic数据库及中间件监控，实现对数据库的语句的故障定位排错，执行时延分析。</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745"/>
                  <w:vMerge/>
                  <w:tcBorders>
                    <w:top w:val="none" w:color="000000" w:sz="4"/>
                    <w:left w:val="single" w:color="000000" w:sz="4"/>
                    <w:bottom w:val="single" w:color="000000" w:sz="4"/>
                    <w:right w:val="single" w:color="000000" w:sz="4"/>
                  </w:tcBorders>
                </w:tcPr>
                <w:p/>
              </w:tc>
              <w:tc>
                <w:tcPr>
                  <w:tcW w:type="dxa" w:w="4130"/>
                  <w:tcBorders>
                    <w:top w:val="none" w:color="000000" w:sz="4"/>
                    <w:left w:val="single" w:color="000000" w:sz="4"/>
                    <w:bottom w:val="single" w:color="000000" w:sz="4"/>
                    <w:right w:val="single" w:color="000000" w:sz="4"/>
                  </w:tcBorders>
                  <w:vAlign w:val="top"/>
                </w:tcPr>
                <w:p>
                  <w:pPr>
                    <w:jc w:val="both"/>
                  </w:pPr>
                  <w:r>
                    <w:rPr>
                      <w:sz w:val="21"/>
                    </w:rPr>
                    <w:t>▲支持数据重建智能保护业务性能，可以对数据重建速度进行智能限速，避免数据重建过程中IO性能占用导致对业务的性能造成影响</w:t>
                  </w:r>
                  <w:r>
                    <w:rPr>
                      <w:b/>
                      <w:sz w:val="21"/>
                    </w:rPr>
                    <w:t>（需提供印有采购项目编号的产品功能截图证明，并加盖制造商公章）。</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1</w:t>
                  </w:r>
                  <w:r>
                    <w:rPr>
                      <w:sz w:val="21"/>
                    </w:rPr>
                    <w:t>1</w:t>
                  </w:r>
                </w:p>
              </w:tc>
              <w:tc>
                <w:tcPr>
                  <w:tcW w:type="dxa" w:w="745"/>
                  <w:vMerge/>
                  <w:tcBorders>
                    <w:top w:val="none" w:color="000000" w:sz="4"/>
                    <w:left w:val="single" w:color="000000" w:sz="4"/>
                    <w:bottom w:val="single" w:color="000000" w:sz="4"/>
                    <w:right w:val="single" w:color="000000" w:sz="4"/>
                  </w:tcBorders>
                </w:tcPr>
                <w:p/>
              </w:tc>
              <w:tc>
                <w:tcPr>
                  <w:tcW w:type="dxa" w:w="4130"/>
                  <w:tcBorders>
                    <w:top w:val="none" w:color="000000" w:sz="4"/>
                    <w:left w:val="single" w:color="000000" w:sz="4"/>
                    <w:bottom w:val="single" w:color="000000" w:sz="4"/>
                    <w:right w:val="single" w:color="000000" w:sz="4"/>
                  </w:tcBorders>
                  <w:vAlign w:val="top"/>
                </w:tcPr>
                <w:p>
                  <w:pPr>
                    <w:jc w:val="both"/>
                  </w:pPr>
                  <w:r>
                    <w:rPr>
                      <w:sz w:val="21"/>
                    </w:rPr>
                    <w:t>支持坏道修复功能，发现坏道后，主动修复坏道区域的数据，及时恢复数据副本的冗余性。当硬盘的坏道数过多，系统能自动将该盘的数据迁移至其他健康的硬盘上，保障数据的安全。</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1</w:t>
                  </w:r>
                  <w:r>
                    <w:rPr>
                      <w:sz w:val="21"/>
                    </w:rPr>
                    <w:t>2</w:t>
                  </w:r>
                </w:p>
              </w:tc>
              <w:tc>
                <w:tcPr>
                  <w:tcW w:type="dxa" w:w="745"/>
                  <w:vMerge/>
                  <w:tcBorders>
                    <w:top w:val="none" w:color="000000" w:sz="4"/>
                    <w:left w:val="single" w:color="000000" w:sz="4"/>
                    <w:bottom w:val="single" w:color="000000" w:sz="4"/>
                    <w:right w:val="single" w:color="000000" w:sz="4"/>
                  </w:tcBorders>
                </w:tcPr>
                <w:p/>
              </w:tc>
              <w:tc>
                <w:tcPr>
                  <w:tcW w:type="dxa" w:w="4130"/>
                  <w:tcBorders>
                    <w:top w:val="none" w:color="000000" w:sz="4"/>
                    <w:left w:val="single" w:color="000000" w:sz="4"/>
                    <w:bottom w:val="single" w:color="000000" w:sz="4"/>
                    <w:right w:val="single" w:color="000000" w:sz="4"/>
                  </w:tcBorders>
                  <w:vAlign w:val="top"/>
                </w:tcPr>
                <w:p>
                  <w:pPr>
                    <w:jc w:val="both"/>
                  </w:pPr>
                  <w:r>
                    <w:rPr>
                      <w:sz w:val="21"/>
                    </w:rPr>
                    <w:t>平台必须能够提供虚拟下一代防火墙、虚拟上网行为管理、虚拟</w:t>
                  </w:r>
                  <w:r>
                    <w:rPr>
                      <w:sz w:val="21"/>
                    </w:rPr>
                    <w:t>SSL VPN、虚拟负载均衡、虚拟数据库审计、虚拟运维安全管理、虚拟日志审计、虚拟云镜脆弱性扫描、终端安全检测与响应、虚拟IPS、等独立的安全组件。</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1</w:t>
                  </w:r>
                  <w:r>
                    <w:rPr>
                      <w:sz w:val="21"/>
                    </w:rPr>
                    <w:t>3</w:t>
                  </w:r>
                </w:p>
              </w:tc>
              <w:tc>
                <w:tcPr>
                  <w:tcW w:type="dxa" w:w="745"/>
                  <w:vMerge/>
                  <w:tcBorders>
                    <w:top w:val="none" w:color="000000" w:sz="4"/>
                    <w:left w:val="single" w:color="000000" w:sz="4"/>
                    <w:bottom w:val="single" w:color="000000" w:sz="4"/>
                    <w:right w:val="single" w:color="000000" w:sz="4"/>
                  </w:tcBorders>
                </w:tcPr>
                <w:p/>
              </w:tc>
              <w:tc>
                <w:tcPr>
                  <w:tcW w:type="dxa" w:w="4130"/>
                  <w:tcBorders>
                    <w:top w:val="none" w:color="000000" w:sz="4"/>
                    <w:left w:val="single" w:color="000000" w:sz="4"/>
                    <w:bottom w:val="single" w:color="000000" w:sz="4"/>
                    <w:right w:val="single" w:color="000000" w:sz="4"/>
                  </w:tcBorders>
                  <w:vAlign w:val="top"/>
                </w:tcPr>
                <w:p>
                  <w:pPr>
                    <w:jc w:val="both"/>
                  </w:pPr>
                  <w:r>
                    <w:rPr>
                      <w:sz w:val="21"/>
                    </w:rPr>
                    <w:t>平台侧界面必须支持在首页监测统一安全平台集群状态（包括总计算资源、总内存资源及总存储资源）和安全风险状态，安全风险能够体现全部业务的风险分布。</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1</w:t>
                  </w:r>
                  <w:r>
                    <w:rPr>
                      <w:sz w:val="21"/>
                    </w:rPr>
                    <w:t>4</w:t>
                  </w:r>
                </w:p>
              </w:tc>
              <w:tc>
                <w:tcPr>
                  <w:tcW w:type="dxa" w:w="745"/>
                  <w:vMerge/>
                  <w:tcBorders>
                    <w:top w:val="none" w:color="000000" w:sz="4"/>
                    <w:left w:val="single" w:color="000000" w:sz="4"/>
                    <w:bottom w:val="single" w:color="000000" w:sz="4"/>
                    <w:right w:val="single" w:color="000000" w:sz="4"/>
                  </w:tcBorders>
                </w:tcPr>
                <w:p/>
              </w:tc>
              <w:tc>
                <w:tcPr>
                  <w:tcW w:type="dxa" w:w="4130"/>
                  <w:tcBorders>
                    <w:top w:val="none" w:color="000000" w:sz="4"/>
                    <w:left w:val="single" w:color="000000" w:sz="4"/>
                    <w:bottom w:val="single" w:color="000000" w:sz="4"/>
                    <w:right w:val="single" w:color="000000" w:sz="4"/>
                  </w:tcBorders>
                  <w:vAlign w:val="top"/>
                </w:tcPr>
                <w:p>
                  <w:pPr>
                    <w:jc w:val="both"/>
                  </w:pPr>
                  <w:r>
                    <w:rPr>
                      <w:sz w:val="21"/>
                    </w:rPr>
                    <w:t>支持对云安全服务平台中的集群资源环境一键检测，对硬件健康、平台底层的虚拟化的运行状态和配置，进行多个维度进行检查，提供快速定位问题功能，确保系统最佳状态。</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1</w:t>
                  </w:r>
                  <w:r>
                    <w:rPr>
                      <w:sz w:val="21"/>
                    </w:rPr>
                    <w:t>5</w:t>
                  </w:r>
                </w:p>
              </w:tc>
              <w:tc>
                <w:tcPr>
                  <w:tcW w:type="dxa" w:w="745"/>
                  <w:vMerge w:val="restart"/>
                  <w:tcBorders>
                    <w:top w:val="none" w:color="000000" w:sz="4"/>
                    <w:left w:val="none" w:color="000000" w:sz="4"/>
                    <w:bottom w:val="single" w:color="000000" w:sz="4"/>
                    <w:right w:val="single" w:color="000000" w:sz="4"/>
                  </w:tcBorders>
                  <w:vAlign w:val="top"/>
                </w:tcPr>
                <w:p>
                  <w:pPr>
                    <w:jc w:val="both"/>
                  </w:pPr>
                  <w:r>
                    <w:rPr>
                      <w:sz w:val="21"/>
                    </w:rPr>
                    <w:t>脆弱性扫描</w:t>
                  </w:r>
                </w:p>
              </w:tc>
              <w:tc>
                <w:tcPr>
                  <w:tcW w:type="dxa" w:w="4130"/>
                  <w:tcBorders>
                    <w:top w:val="none" w:color="000000" w:sz="4"/>
                    <w:left w:val="none" w:color="000000" w:sz="4"/>
                    <w:bottom w:val="single" w:color="000000" w:sz="4"/>
                    <w:right w:val="single" w:color="000000" w:sz="4"/>
                  </w:tcBorders>
                  <w:vAlign w:val="top"/>
                </w:tcPr>
                <w:p>
                  <w:pPr>
                    <w:jc w:val="both"/>
                  </w:pPr>
                  <w:r>
                    <w:rPr>
                      <w:b/>
                      <w:sz w:val="21"/>
                    </w:rPr>
                    <w:t>★</w:t>
                  </w:r>
                  <w:r>
                    <w:rPr>
                      <w:b/>
                      <w:color w:val="303133"/>
                      <w:sz w:val="21"/>
                    </w:rPr>
                    <w:t>CPU</w:t>
                  </w:r>
                  <w:r>
                    <w:rPr>
                      <w:b/>
                      <w:sz w:val="21"/>
                    </w:rPr>
                    <w:t>≥</w:t>
                  </w:r>
                  <w:r>
                    <w:rPr>
                      <w:b/>
                      <w:color w:val="303133"/>
                      <w:sz w:val="21"/>
                    </w:rPr>
                    <w:t>8核，内存</w:t>
                  </w:r>
                  <w:r>
                    <w:rPr>
                      <w:b/>
                      <w:sz w:val="21"/>
                    </w:rPr>
                    <w:t>≥</w:t>
                  </w:r>
                  <w:r>
                    <w:rPr>
                      <w:b/>
                      <w:color w:val="303133"/>
                      <w:sz w:val="21"/>
                    </w:rPr>
                    <w:t>16G；</w:t>
                  </w:r>
                </w:p>
                <w:p>
                  <w:r>
                    <w:rPr>
                      <w:b/>
                      <w:color w:val="303133"/>
                      <w:sz w:val="21"/>
                    </w:rPr>
                    <w:t>系统漏扫授权</w:t>
                  </w:r>
                  <w:r>
                    <w:rPr>
                      <w:b/>
                      <w:color w:val="303133"/>
                      <w:sz w:val="21"/>
                    </w:rPr>
                    <w:t>IP数：1000；WEB漏扫授权URL数：200；</w:t>
                  </w:r>
                </w:p>
                <w:p>
                  <w:pPr>
                    <w:jc w:val="both"/>
                  </w:pPr>
                  <w:r>
                    <w:rPr>
                      <w:b/>
                      <w:sz w:val="21"/>
                    </w:rPr>
                    <w:t>要求提供</w:t>
                  </w:r>
                  <w:r>
                    <w:rPr>
                      <w:b/>
                      <w:sz w:val="21"/>
                    </w:rPr>
                    <w:t>3年技术支持服务及软件升级服务</w:t>
                  </w:r>
                  <w:r>
                    <w:rPr>
                      <w:b/>
                      <w:color w:val="000000"/>
                      <w:sz w:val="21"/>
                    </w:rPr>
                    <w:t>（需提供服务承诺函并加盖投标人公章）。</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1</w:t>
                  </w:r>
                  <w:r>
                    <w:rPr>
                      <w:sz w:val="21"/>
                    </w:rPr>
                    <w:t>6</w:t>
                  </w:r>
                </w:p>
              </w:tc>
              <w:tc>
                <w:tcPr>
                  <w:tcW w:type="dxa" w:w="745"/>
                  <w:vMerge/>
                  <w:tcBorders>
                    <w:top w:val="none" w:color="000000" w:sz="4"/>
                    <w:left w:val="none" w:color="000000" w:sz="4"/>
                    <w:bottom w:val="single" w:color="000000" w:sz="4"/>
                    <w:right w:val="single" w:color="000000" w:sz="4"/>
                  </w:tcBorders>
                </w:tcPr>
                <w:p/>
              </w:tc>
              <w:tc>
                <w:tcPr>
                  <w:tcW w:type="dxa" w:w="4130"/>
                  <w:tcBorders>
                    <w:top w:val="none" w:color="000000" w:sz="4"/>
                    <w:left w:val="none" w:color="000000" w:sz="4"/>
                    <w:bottom w:val="single" w:color="000000" w:sz="4"/>
                    <w:right w:val="single" w:color="000000" w:sz="4"/>
                  </w:tcBorders>
                  <w:vAlign w:val="top"/>
                </w:tcPr>
                <w:p>
                  <w:pPr>
                    <w:jc w:val="both"/>
                  </w:pPr>
                  <w:r>
                    <w:rPr>
                      <w:sz w:val="21"/>
                    </w:rPr>
                    <w:t>采用有自主知识产权的安全操作系统，采用</w:t>
                  </w:r>
                  <w:r>
                    <w:rPr>
                      <w:sz w:val="21"/>
                    </w:rPr>
                    <w:t>B/S设计架构，并采用SSL加密通信方式，无须安装客户端，用户可通过浏览器远程方便的对产品进行管理</w:t>
                  </w:r>
                  <w:r>
                    <w:rPr>
                      <w:color w:val="303133"/>
                      <w:sz w:val="21"/>
                    </w:rPr>
                    <w:t>。</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1</w:t>
                  </w:r>
                  <w:r>
                    <w:rPr>
                      <w:sz w:val="21"/>
                    </w:rPr>
                    <w:t>7</w:t>
                  </w:r>
                </w:p>
              </w:tc>
              <w:tc>
                <w:tcPr>
                  <w:tcW w:type="dxa" w:w="745"/>
                  <w:vMerge/>
                  <w:tcBorders>
                    <w:top w:val="none" w:color="000000" w:sz="4"/>
                    <w:left w:val="none" w:color="000000" w:sz="4"/>
                    <w:bottom w:val="single" w:color="000000" w:sz="4"/>
                    <w:right w:val="single" w:color="000000" w:sz="4"/>
                  </w:tcBorders>
                </w:tcPr>
                <w:p/>
              </w:tc>
              <w:tc>
                <w:tcPr>
                  <w:tcW w:type="dxa" w:w="4130"/>
                  <w:tcBorders>
                    <w:top w:val="none" w:color="000000" w:sz="4"/>
                    <w:left w:val="none" w:color="000000" w:sz="4"/>
                    <w:bottom w:val="single" w:color="000000" w:sz="4"/>
                    <w:right w:val="single" w:color="000000" w:sz="4"/>
                  </w:tcBorders>
                  <w:vAlign w:val="top"/>
                </w:tcPr>
                <w:p>
                  <w:pPr>
                    <w:jc w:val="both"/>
                  </w:pPr>
                  <w:r>
                    <w:rPr>
                      <w:sz w:val="21"/>
                    </w:rPr>
                    <w:t>▲支持全局风险统计功能，通过扇形图、条状图、标签、表格等形式直观展示资产风险分布、漏洞风险等级分布、紧急漏洞、风险资产清单等信息，并可查看详情</w:t>
                  </w:r>
                  <w:r>
                    <w:rPr>
                      <w:b/>
                      <w:sz w:val="21"/>
                    </w:rPr>
                    <w:t>（需提供印有采购项目编号的产品功能截图证明，并加盖制造商公章）。</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1</w:t>
                  </w:r>
                  <w:r>
                    <w:rPr>
                      <w:sz w:val="21"/>
                    </w:rPr>
                    <w:t>8</w:t>
                  </w:r>
                </w:p>
              </w:tc>
              <w:tc>
                <w:tcPr>
                  <w:tcW w:type="dxa" w:w="745"/>
                  <w:vMerge/>
                  <w:tcBorders>
                    <w:top w:val="none" w:color="000000" w:sz="4"/>
                    <w:left w:val="none" w:color="000000" w:sz="4"/>
                    <w:bottom w:val="single" w:color="000000" w:sz="4"/>
                    <w:right w:val="single" w:color="000000" w:sz="4"/>
                  </w:tcBorders>
                </w:tcPr>
                <w:p/>
              </w:tc>
              <w:tc>
                <w:tcPr>
                  <w:tcW w:type="dxa" w:w="4130"/>
                  <w:tcBorders>
                    <w:top w:val="none" w:color="000000" w:sz="4"/>
                    <w:left w:val="none" w:color="000000" w:sz="4"/>
                    <w:bottom w:val="single" w:color="000000" w:sz="4"/>
                    <w:right w:val="single" w:color="000000" w:sz="4"/>
                  </w:tcBorders>
                  <w:vAlign w:val="top"/>
                </w:tcPr>
                <w:p>
                  <w:pPr>
                    <w:jc w:val="both"/>
                  </w:pPr>
                  <w:r>
                    <w:rPr>
                      <w:sz w:val="21"/>
                    </w:rPr>
                    <w:t>产品支持对系统漏洞、</w:t>
                  </w:r>
                  <w:r>
                    <w:rPr>
                      <w:sz w:val="21"/>
                    </w:rPr>
                    <w:t>WEB漏洞、基线配置、弱口令进行扫描和分析，可同时输出包含系统漏洞扫描、WEB漏洞扫描、基线配置核查、弱口令扫描结果的报表。</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1</w:t>
                  </w:r>
                  <w:r>
                    <w:rPr>
                      <w:sz w:val="21"/>
                    </w:rPr>
                    <w:t>9</w:t>
                  </w:r>
                </w:p>
              </w:tc>
              <w:tc>
                <w:tcPr>
                  <w:tcW w:type="dxa" w:w="745"/>
                  <w:vMerge/>
                  <w:tcBorders>
                    <w:top w:val="none" w:color="000000" w:sz="4"/>
                    <w:left w:val="none" w:color="000000" w:sz="4"/>
                    <w:bottom w:val="single" w:color="000000" w:sz="4"/>
                    <w:right w:val="single" w:color="000000" w:sz="4"/>
                  </w:tcBorders>
                </w:tcPr>
                <w:p/>
              </w:tc>
              <w:tc>
                <w:tcPr>
                  <w:tcW w:type="dxa" w:w="4130"/>
                  <w:tcBorders>
                    <w:top w:val="none" w:color="000000" w:sz="4"/>
                    <w:left w:val="none" w:color="000000" w:sz="4"/>
                    <w:bottom w:val="single" w:color="000000" w:sz="4"/>
                    <w:right w:val="single" w:color="000000" w:sz="4"/>
                  </w:tcBorders>
                  <w:vAlign w:val="top"/>
                </w:tcPr>
                <w:p>
                  <w:pPr>
                    <w:jc w:val="both"/>
                  </w:pPr>
                  <w:r>
                    <w:rPr>
                      <w:sz w:val="21"/>
                    </w:rPr>
                    <w:t>支持快速扫描、资产发现、系统漏洞扫描、弱口令扫描、</w:t>
                  </w:r>
                  <w:r>
                    <w:rPr>
                      <w:sz w:val="21"/>
                    </w:rPr>
                    <w:t>WEB漏洞扫描、基线配置核查六种任务类型，其中快速扫描支持系统漏洞扫描、WEB漏洞扫描、弱口令扫描同时执行。</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745"/>
                  <w:vMerge w:val="restart"/>
                  <w:tcBorders>
                    <w:top w:val="none" w:color="000000" w:sz="4"/>
                    <w:left w:val="none" w:color="000000" w:sz="4"/>
                    <w:bottom w:val="single" w:color="000000" w:sz="4"/>
                    <w:right w:val="single" w:color="000000" w:sz="4"/>
                  </w:tcBorders>
                  <w:vAlign w:val="top"/>
                </w:tcPr>
                <w:p>
                  <w:pPr>
                    <w:jc w:val="both"/>
                  </w:pPr>
                  <w:r>
                    <w:rPr>
                      <w:sz w:val="21"/>
                    </w:rPr>
                    <w:t>数据库审计</w:t>
                  </w:r>
                </w:p>
              </w:tc>
              <w:tc>
                <w:tcPr>
                  <w:tcW w:type="dxa" w:w="4130"/>
                  <w:tcBorders>
                    <w:top w:val="none" w:color="000000" w:sz="4"/>
                    <w:left w:val="none" w:color="000000" w:sz="4"/>
                    <w:bottom w:val="single" w:color="000000" w:sz="4"/>
                    <w:right w:val="single" w:color="000000" w:sz="4"/>
                  </w:tcBorders>
                  <w:vAlign w:val="top"/>
                </w:tcPr>
                <w:p>
                  <w:pPr>
                    <w:jc w:val="both"/>
                  </w:pPr>
                  <w:r>
                    <w:rPr>
                      <w:b/>
                      <w:sz w:val="21"/>
                    </w:rPr>
                    <w:t>★CPU≥8核，内存≥16G，带宽性能≥500M</w:t>
                  </w:r>
                  <w:r>
                    <w:rPr>
                      <w:b/>
                      <w:color w:val="000000"/>
                      <w:sz w:val="21"/>
                    </w:rPr>
                    <w:t>；</w:t>
                  </w:r>
                </w:p>
                <w:p>
                  <w:r>
                    <w:rPr>
                      <w:b/>
                      <w:sz w:val="21"/>
                    </w:rPr>
                    <w:t>要求提供</w:t>
                  </w:r>
                  <w:r>
                    <w:rPr>
                      <w:b/>
                      <w:sz w:val="21"/>
                    </w:rPr>
                    <w:t>3年技术支持服务及软件升级服务</w:t>
                  </w:r>
                  <w:r>
                    <w:rPr>
                      <w:b/>
                      <w:color w:val="000000"/>
                      <w:sz w:val="21"/>
                    </w:rPr>
                    <w:t>（需提供服务承诺函并加盖投标人公章）。</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2</w:t>
                  </w:r>
                  <w:r>
                    <w:rPr>
                      <w:sz w:val="21"/>
                    </w:rPr>
                    <w:t>1</w:t>
                  </w:r>
                </w:p>
              </w:tc>
              <w:tc>
                <w:tcPr>
                  <w:tcW w:type="dxa" w:w="745"/>
                  <w:vMerge/>
                  <w:tcBorders>
                    <w:top w:val="none" w:color="000000" w:sz="4"/>
                    <w:left w:val="none" w:color="000000" w:sz="4"/>
                    <w:bottom w:val="single" w:color="000000" w:sz="4"/>
                    <w:right w:val="single" w:color="000000" w:sz="4"/>
                  </w:tcBorders>
                </w:tcPr>
                <w:p/>
              </w:tc>
              <w:tc>
                <w:tcPr>
                  <w:tcW w:type="dxa" w:w="4130"/>
                  <w:tcBorders>
                    <w:top w:val="none" w:color="000000" w:sz="4"/>
                    <w:left w:val="none" w:color="000000" w:sz="4"/>
                    <w:bottom w:val="single" w:color="000000" w:sz="4"/>
                    <w:right w:val="single" w:color="000000" w:sz="4"/>
                  </w:tcBorders>
                  <w:vAlign w:val="top"/>
                </w:tcPr>
                <w:p>
                  <w:pPr>
                    <w:jc w:val="both"/>
                  </w:pPr>
                  <w:r>
                    <w:rPr>
                      <w:sz w:val="21"/>
                    </w:rPr>
                    <w:t>支持多种数据库类型的审计，支持</w:t>
                  </w:r>
                  <w:r>
                    <w:rPr>
                      <w:sz w:val="21"/>
                    </w:rPr>
                    <w:t>Oracle数据库审计、SQL-Server数据库审计、DB2数据库审计、MySQL数据库审计、Informix数据库审计、达梦数据库审计、人大金仓数据库审计、postgresql数据库审计、sysbase数据库审计、cache数据库；支持同时审计多种数据库及跨多种数据库平台操作，提供agent部署于云环境数据库虚拟机之中。</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2</w:t>
                  </w:r>
                  <w:r>
                    <w:rPr>
                      <w:sz w:val="21"/>
                    </w:rPr>
                    <w:t>2</w:t>
                  </w:r>
                </w:p>
              </w:tc>
              <w:tc>
                <w:tcPr>
                  <w:tcW w:type="dxa" w:w="745"/>
                  <w:vMerge/>
                  <w:tcBorders>
                    <w:top w:val="none" w:color="000000" w:sz="4"/>
                    <w:left w:val="none" w:color="000000" w:sz="4"/>
                    <w:bottom w:val="single" w:color="000000" w:sz="4"/>
                    <w:right w:val="single" w:color="000000" w:sz="4"/>
                  </w:tcBorders>
                </w:tcPr>
                <w:p/>
              </w:tc>
              <w:tc>
                <w:tcPr>
                  <w:tcW w:type="dxa" w:w="4130"/>
                  <w:tcBorders>
                    <w:top w:val="none" w:color="000000" w:sz="4"/>
                    <w:left w:val="none" w:color="000000" w:sz="4"/>
                    <w:bottom w:val="single" w:color="000000" w:sz="4"/>
                    <w:right w:val="single" w:color="000000" w:sz="4"/>
                  </w:tcBorders>
                  <w:vAlign w:val="top"/>
                </w:tcPr>
                <w:p>
                  <w:pPr>
                    <w:jc w:val="both"/>
                  </w:pPr>
                  <w:r>
                    <w:rPr>
                      <w:sz w:val="21"/>
                    </w:rPr>
                    <w:t>可以对</w:t>
                  </w:r>
                  <w:r>
                    <w:rPr>
                      <w:sz w:val="21"/>
                    </w:rPr>
                    <w:t>SQL语句进行安全检测，并识别当前的SQL操作是否有暴库、撞库等严重性安全问题，如果命中了安全风险规则，那么可根据动作进行阻断、告警、记录等操作，可提示管理员作出相应的防御措施。</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2</w:t>
                  </w:r>
                  <w:r>
                    <w:rPr>
                      <w:sz w:val="21"/>
                    </w:rPr>
                    <w:t>3</w:t>
                  </w:r>
                </w:p>
              </w:tc>
              <w:tc>
                <w:tcPr>
                  <w:tcW w:type="dxa" w:w="745"/>
                  <w:vMerge/>
                  <w:tcBorders>
                    <w:top w:val="none" w:color="000000" w:sz="4"/>
                    <w:left w:val="none" w:color="000000" w:sz="4"/>
                    <w:bottom w:val="single" w:color="000000" w:sz="4"/>
                    <w:right w:val="single" w:color="000000" w:sz="4"/>
                  </w:tcBorders>
                </w:tcPr>
                <w:p/>
              </w:tc>
              <w:tc>
                <w:tcPr>
                  <w:tcW w:type="dxa" w:w="4130"/>
                  <w:tcBorders>
                    <w:top w:val="none" w:color="000000" w:sz="4"/>
                    <w:left w:val="none" w:color="000000" w:sz="4"/>
                    <w:bottom w:val="single" w:color="000000" w:sz="4"/>
                    <w:right w:val="single" w:color="000000" w:sz="4"/>
                  </w:tcBorders>
                  <w:vAlign w:val="top"/>
                </w:tcPr>
                <w:p>
                  <w:pPr>
                    <w:jc w:val="both"/>
                  </w:pPr>
                  <w:r>
                    <w:rPr>
                      <w:sz w:val="21"/>
                    </w:rPr>
                    <w:t>支持基于</w:t>
                  </w:r>
                  <w:r>
                    <w:rPr>
                      <w:sz w:val="21"/>
                    </w:rPr>
                    <w:t>SQL命令的webshell检测提供webshell日志查询功能，可查看webshell攻击的时间、源IP、业务系统、webshell名称、webshell所在目录</w:t>
                  </w:r>
                  <w:r>
                    <w:rPr>
                      <w:b/>
                      <w:sz w:val="21"/>
                    </w:rPr>
                    <w:t>（需提供印有采购项目编号的产品功能截图证明，并加盖制造商公章）。</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2</w:t>
                  </w:r>
                  <w:r>
                    <w:rPr>
                      <w:sz w:val="21"/>
                    </w:rPr>
                    <w:t>4</w:t>
                  </w:r>
                </w:p>
              </w:tc>
              <w:tc>
                <w:tcPr>
                  <w:tcW w:type="dxa" w:w="745"/>
                  <w:vMerge w:val="restart"/>
                  <w:tcBorders>
                    <w:top w:val="none" w:color="000000" w:sz="4"/>
                    <w:left w:val="none" w:color="000000" w:sz="4"/>
                    <w:bottom w:val="single" w:color="000000" w:sz="4"/>
                    <w:right w:val="single" w:color="000000" w:sz="4"/>
                  </w:tcBorders>
                  <w:vAlign w:val="top"/>
                </w:tcPr>
                <w:p>
                  <w:pPr>
                    <w:jc w:val="both"/>
                  </w:pPr>
                  <w:r>
                    <w:rPr>
                      <w:sz w:val="21"/>
                    </w:rPr>
                    <w:t>堡垒机</w:t>
                  </w:r>
                </w:p>
              </w:tc>
              <w:tc>
                <w:tcPr>
                  <w:tcW w:type="dxa" w:w="4130"/>
                  <w:tcBorders>
                    <w:top w:val="none" w:color="000000" w:sz="4"/>
                    <w:left w:val="none" w:color="000000" w:sz="4"/>
                    <w:bottom w:val="single" w:color="000000" w:sz="4"/>
                    <w:right w:val="single" w:color="000000" w:sz="4"/>
                  </w:tcBorders>
                  <w:vAlign w:val="top"/>
                </w:tcPr>
                <w:p>
                  <w:pPr>
                    <w:jc w:val="both"/>
                  </w:pPr>
                  <w:r>
                    <w:rPr>
                      <w:b/>
                      <w:sz w:val="21"/>
                    </w:rPr>
                    <w:t>★CPU≥2核，内存≥8G，资产授权数量≥200；</w:t>
                  </w:r>
                </w:p>
                <w:p>
                  <w:pPr>
                    <w:jc w:val="both"/>
                  </w:pPr>
                  <w:r>
                    <w:rPr>
                      <w:b/>
                      <w:sz w:val="21"/>
                    </w:rPr>
                    <w:t>要求提供</w:t>
                  </w:r>
                  <w:r>
                    <w:rPr>
                      <w:b/>
                      <w:sz w:val="21"/>
                    </w:rPr>
                    <w:t>3年技术支持服务及软件升级服务</w:t>
                  </w:r>
                  <w:r>
                    <w:rPr>
                      <w:b/>
                      <w:color w:val="000000"/>
                      <w:sz w:val="21"/>
                    </w:rPr>
                    <w:t>（需提供服务承诺函并加盖投标人公章）。</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2</w:t>
                  </w:r>
                  <w:r>
                    <w:rPr>
                      <w:sz w:val="21"/>
                    </w:rPr>
                    <w:t>5</w:t>
                  </w:r>
                </w:p>
              </w:tc>
              <w:tc>
                <w:tcPr>
                  <w:tcW w:type="dxa" w:w="745"/>
                  <w:vMerge/>
                  <w:tcBorders>
                    <w:top w:val="none" w:color="000000" w:sz="4"/>
                    <w:left w:val="none" w:color="000000" w:sz="4"/>
                    <w:bottom w:val="single" w:color="000000" w:sz="4"/>
                    <w:right w:val="single" w:color="000000" w:sz="4"/>
                  </w:tcBorders>
                </w:tcPr>
                <w:p/>
              </w:tc>
              <w:tc>
                <w:tcPr>
                  <w:tcW w:type="dxa" w:w="4130"/>
                  <w:tcBorders>
                    <w:top w:val="none" w:color="000000" w:sz="4"/>
                    <w:left w:val="none" w:color="000000" w:sz="4"/>
                    <w:bottom w:val="single" w:color="000000" w:sz="4"/>
                    <w:right w:val="single" w:color="000000" w:sz="4"/>
                  </w:tcBorders>
                  <w:vAlign w:val="top"/>
                </w:tcPr>
                <w:p>
                  <w:pPr>
                    <w:jc w:val="both"/>
                  </w:pPr>
                  <w:r>
                    <w:rPr>
                      <w:sz w:val="21"/>
                    </w:rPr>
                    <w:t>▲运维审计支持以下协议：SSH(V1、V2)、TELNET、RLOGIN、AS400、RDP、VNC、X11、FTP、SFTP、ORACLE、MSSQL、Sybase、Mysql、DB2数据库远程访问协议审计。通过系统的Web页面控件直接访问服务器或通过WEB页面调用本地工具（含数据库官方客户端）直接访问服务器</w:t>
                  </w:r>
                  <w:r>
                    <w:rPr>
                      <w:b/>
                      <w:sz w:val="21"/>
                    </w:rPr>
                    <w:t>（需提供印有采购项目编号的产品功能截图证明，并加盖制造商公章）。</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2</w:t>
                  </w:r>
                  <w:r>
                    <w:rPr>
                      <w:sz w:val="21"/>
                    </w:rPr>
                    <w:t>6</w:t>
                  </w:r>
                </w:p>
              </w:tc>
              <w:tc>
                <w:tcPr>
                  <w:tcW w:type="dxa" w:w="745"/>
                  <w:vMerge/>
                  <w:tcBorders>
                    <w:top w:val="none" w:color="000000" w:sz="4"/>
                    <w:left w:val="none" w:color="000000" w:sz="4"/>
                    <w:bottom w:val="single" w:color="000000" w:sz="4"/>
                    <w:right w:val="single" w:color="000000" w:sz="4"/>
                  </w:tcBorders>
                </w:tcPr>
                <w:p/>
              </w:tc>
              <w:tc>
                <w:tcPr>
                  <w:tcW w:type="dxa" w:w="4130"/>
                  <w:tcBorders>
                    <w:top w:val="none" w:color="000000" w:sz="4"/>
                    <w:left w:val="none" w:color="000000" w:sz="4"/>
                    <w:bottom w:val="single" w:color="000000" w:sz="4"/>
                    <w:right w:val="single" w:color="000000" w:sz="4"/>
                  </w:tcBorders>
                  <w:vAlign w:val="top"/>
                </w:tcPr>
                <w:p>
                  <w:pPr>
                    <w:jc w:val="both"/>
                  </w:pPr>
                  <w:r>
                    <w:rPr>
                      <w:sz w:val="21"/>
                    </w:rPr>
                    <w:t>要求内置配置管理员、密码管理员、审计管理员、系统管理员、系统审计员、普通运维用户等管理角色。</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2</w:t>
                  </w:r>
                  <w:r>
                    <w:rPr>
                      <w:sz w:val="21"/>
                    </w:rPr>
                    <w:t>7</w:t>
                  </w:r>
                </w:p>
              </w:tc>
              <w:tc>
                <w:tcPr>
                  <w:tcW w:type="dxa" w:w="745"/>
                  <w:vMerge/>
                  <w:tcBorders>
                    <w:top w:val="none" w:color="000000" w:sz="4"/>
                    <w:left w:val="none" w:color="000000" w:sz="4"/>
                    <w:bottom w:val="single" w:color="000000" w:sz="4"/>
                    <w:right w:val="single" w:color="000000" w:sz="4"/>
                  </w:tcBorders>
                </w:tcPr>
                <w:p/>
              </w:tc>
              <w:tc>
                <w:tcPr>
                  <w:tcW w:type="dxa" w:w="4130"/>
                  <w:tcBorders>
                    <w:top w:val="none" w:color="000000" w:sz="4"/>
                    <w:left w:val="none" w:color="000000" w:sz="4"/>
                    <w:bottom w:val="single" w:color="000000" w:sz="4"/>
                    <w:right w:val="single" w:color="000000" w:sz="4"/>
                  </w:tcBorders>
                  <w:vAlign w:val="top"/>
                </w:tcPr>
                <w:p>
                  <w:pPr>
                    <w:jc w:val="both"/>
                  </w:pPr>
                  <w:r>
                    <w:rPr>
                      <w:sz w:val="21"/>
                    </w:rPr>
                    <w:t>能够记录</w:t>
                  </w:r>
                  <w:r>
                    <w:rPr>
                      <w:sz w:val="21"/>
                    </w:rPr>
                    <w:t>RDP协议中的活动窗口名称等动作，并能记录RDP会话中的键盘输入信息。</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2</w:t>
                  </w:r>
                  <w:r>
                    <w:rPr>
                      <w:sz w:val="21"/>
                    </w:rPr>
                    <w:t>8</w:t>
                  </w:r>
                </w:p>
              </w:tc>
              <w:tc>
                <w:tcPr>
                  <w:tcW w:type="dxa" w:w="745"/>
                  <w:vMerge w:val="restart"/>
                  <w:tcBorders>
                    <w:top w:val="none" w:color="000000" w:sz="4"/>
                    <w:left w:val="none" w:color="000000" w:sz="4"/>
                    <w:bottom w:val="single" w:color="000000" w:sz="4"/>
                    <w:right w:val="single" w:color="000000" w:sz="4"/>
                  </w:tcBorders>
                  <w:vAlign w:val="top"/>
                </w:tcPr>
                <w:p>
                  <w:pPr>
                    <w:jc w:val="both"/>
                  </w:pPr>
                  <w:r>
                    <w:rPr>
                      <w:sz w:val="21"/>
                    </w:rPr>
                    <w:t>日志审计</w:t>
                  </w:r>
                </w:p>
              </w:tc>
              <w:tc>
                <w:tcPr>
                  <w:tcW w:type="dxa" w:w="4130"/>
                  <w:tcBorders>
                    <w:top w:val="none" w:color="000000" w:sz="4"/>
                    <w:left w:val="none" w:color="000000" w:sz="4"/>
                    <w:bottom w:val="single" w:color="000000" w:sz="4"/>
                    <w:right w:val="single" w:color="000000" w:sz="4"/>
                  </w:tcBorders>
                  <w:vAlign w:val="top"/>
                </w:tcPr>
                <w:p>
                  <w:pPr>
                    <w:jc w:val="both"/>
                  </w:pPr>
                  <w:r>
                    <w:rPr>
                      <w:b/>
                      <w:sz w:val="21"/>
                    </w:rPr>
                    <w:t>★CPU≥12核，内存≥16G，资产授权数量≥300</w:t>
                  </w:r>
                  <w:r>
                    <w:rPr>
                      <w:b/>
                      <w:color w:val="000000"/>
                      <w:sz w:val="21"/>
                    </w:rPr>
                    <w:t>；</w:t>
                  </w:r>
                </w:p>
                <w:p>
                  <w:pPr>
                    <w:jc w:val="both"/>
                  </w:pPr>
                  <w:r>
                    <w:rPr>
                      <w:b/>
                      <w:sz w:val="21"/>
                    </w:rPr>
                    <w:t>要求提供</w:t>
                  </w:r>
                  <w:r>
                    <w:rPr>
                      <w:b/>
                      <w:sz w:val="21"/>
                    </w:rPr>
                    <w:t>3年技术支持服务及软件升级服务</w:t>
                  </w:r>
                  <w:r>
                    <w:rPr>
                      <w:b/>
                      <w:color w:val="000000"/>
                      <w:sz w:val="21"/>
                    </w:rPr>
                    <w:t>（需提供服务承诺函并加盖投标人公章）。</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2</w:t>
                  </w:r>
                  <w:r>
                    <w:rPr>
                      <w:sz w:val="21"/>
                    </w:rPr>
                    <w:t>9</w:t>
                  </w:r>
                </w:p>
              </w:tc>
              <w:tc>
                <w:tcPr>
                  <w:tcW w:type="dxa" w:w="745"/>
                  <w:vMerge/>
                  <w:tcBorders>
                    <w:top w:val="none" w:color="000000" w:sz="4"/>
                    <w:left w:val="none" w:color="000000" w:sz="4"/>
                    <w:bottom w:val="single" w:color="000000" w:sz="4"/>
                    <w:right w:val="single" w:color="000000" w:sz="4"/>
                  </w:tcBorders>
                </w:tcPr>
                <w:p/>
              </w:tc>
              <w:tc>
                <w:tcPr>
                  <w:tcW w:type="dxa" w:w="4130"/>
                  <w:tcBorders>
                    <w:top w:val="none" w:color="000000" w:sz="4"/>
                    <w:left w:val="none" w:color="000000" w:sz="4"/>
                    <w:bottom w:val="single" w:color="000000" w:sz="4"/>
                    <w:right w:val="single" w:color="000000" w:sz="4"/>
                  </w:tcBorders>
                  <w:vAlign w:val="top"/>
                </w:tcPr>
                <w:p>
                  <w:pPr>
                    <w:jc w:val="both"/>
                  </w:pPr>
                  <w:r>
                    <w:rPr>
                      <w:sz w:val="21"/>
                    </w:rPr>
                    <w:t>系统从不同设备或系统中所获得的各类日志、事件中抽取相关片段准确和完整地映射至安全事件的标准字段。</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745"/>
                  <w:vMerge/>
                  <w:tcBorders>
                    <w:top w:val="none" w:color="000000" w:sz="4"/>
                    <w:left w:val="none" w:color="000000" w:sz="4"/>
                    <w:bottom w:val="single" w:color="000000" w:sz="4"/>
                    <w:right w:val="single" w:color="000000" w:sz="4"/>
                  </w:tcBorders>
                </w:tcPr>
                <w:p/>
              </w:tc>
              <w:tc>
                <w:tcPr>
                  <w:tcW w:type="dxa" w:w="4130"/>
                  <w:tcBorders>
                    <w:top w:val="none" w:color="000000" w:sz="4"/>
                    <w:left w:val="none" w:color="000000" w:sz="4"/>
                    <w:bottom w:val="single" w:color="000000" w:sz="4"/>
                    <w:right w:val="single" w:color="000000" w:sz="4"/>
                  </w:tcBorders>
                  <w:vAlign w:val="top"/>
                </w:tcPr>
                <w:p>
                  <w:pPr>
                    <w:jc w:val="both"/>
                  </w:pPr>
                  <w:r>
                    <w:rPr>
                      <w:sz w:val="21"/>
                    </w:rPr>
                    <w:t>对安全事件重新定级。能根据统一的安全策略，按照安全设备识别名、事件类别、事件级别等所有可能的条件及各种条件的组合对事件严重级别进行重定义。</w:t>
                  </w:r>
                </w:p>
              </w:tc>
            </w:tr>
            <w:tr>
              <w:tc>
                <w:tcPr>
                  <w:tcW w:type="dxa" w:w="723"/>
                  <w:tcBorders>
                    <w:top w:val="none" w:color="000000" w:sz="4"/>
                    <w:left w:val="single" w:color="000000" w:sz="4"/>
                    <w:bottom w:val="single" w:color="000000" w:sz="4"/>
                    <w:right w:val="single" w:color="000000" w:sz="4"/>
                  </w:tcBorders>
                  <w:vAlign w:val="top"/>
                </w:tcPr>
                <w:p>
                  <w:pPr>
                    <w:jc w:val="center"/>
                  </w:pPr>
                  <w:r>
                    <w:rPr>
                      <w:sz w:val="21"/>
                    </w:rPr>
                    <w:t>3</w:t>
                  </w:r>
                  <w:r>
                    <w:rPr>
                      <w:sz w:val="21"/>
                    </w:rPr>
                    <w:t>1</w:t>
                  </w:r>
                </w:p>
              </w:tc>
              <w:tc>
                <w:tcPr>
                  <w:tcW w:type="dxa" w:w="745"/>
                  <w:vMerge/>
                  <w:tcBorders>
                    <w:top w:val="none" w:color="000000" w:sz="4"/>
                    <w:left w:val="none" w:color="000000" w:sz="4"/>
                    <w:bottom w:val="single" w:color="000000" w:sz="4"/>
                    <w:right w:val="single" w:color="000000" w:sz="4"/>
                  </w:tcBorders>
                </w:tcPr>
                <w:p/>
              </w:tc>
              <w:tc>
                <w:tcPr>
                  <w:tcW w:type="dxa" w:w="4130"/>
                  <w:tcBorders>
                    <w:top w:val="none" w:color="000000" w:sz="4"/>
                    <w:left w:val="none" w:color="000000" w:sz="4"/>
                    <w:bottom w:val="single" w:color="000000" w:sz="4"/>
                    <w:right w:val="single" w:color="000000" w:sz="4"/>
                  </w:tcBorders>
                  <w:vAlign w:val="top"/>
                </w:tcPr>
                <w:p>
                  <w:pPr>
                    <w:jc w:val="both"/>
                  </w:pPr>
                  <w:r>
                    <w:rPr>
                      <w:sz w:val="21"/>
                    </w:rPr>
                    <w:t>要求系统既可以完全收集采集对象上的日志信息，也支持在安全事件收集引擎上设置过滤条件，可过滤出无关安全事件，满足根据实际业务需求减少采集对象发送到核心服务器的安全事件数，从而减少对网络带宽和数据库存储空间地占用</w:t>
                  </w:r>
                  <w:r>
                    <w:rPr>
                      <w:b/>
                      <w:sz w:val="21"/>
                    </w:rPr>
                    <w:t>（需提供印有采购项目编号的产品功能截图证明，并加盖制造商公章）。</w:t>
                  </w:r>
                </w:p>
              </w:tc>
            </w:tr>
          </w:tbl>
          <w:p>
            <w:r>
              <w:rPr/>
              <w:t xml:space="preserve"> </w:t>
            </w:r>
          </w:p>
          <w:p>
            <w:r>
              <w:rPr>
                <w:sz w:val="21"/>
              </w:rPr>
              <w:t>7、</w:t>
            </w:r>
            <w:r>
              <w:rPr>
                <w:sz w:val="21"/>
              </w:rPr>
              <w:t>潜伏威胁探针系统</w:t>
            </w:r>
          </w:p>
          <w:tbl>
            <w:tblPr>
              <w:tblBorders>
                <w:top w:val="none" w:color="000000" w:sz="4"/>
                <w:left w:val="none" w:color="000000" w:sz="4"/>
                <w:bottom w:val="none" w:color="000000" w:sz="4"/>
                <w:right w:val="none" w:color="000000" w:sz="4"/>
                <w:insideH w:val="none"/>
                <w:insideV w:val="none"/>
              </w:tblBorders>
            </w:tblPr>
            <w:tblGrid>
              <w:gridCol w:w="755"/>
              <w:gridCol w:w="4843"/>
            </w:tblGrid>
            <w:tr>
              <w:tc>
                <w:tcPr>
                  <w:tcW w:type="dxa" w:w="755"/>
                  <w:tcBorders>
                    <w:top w:val="single" w:color="000000" w:sz="4"/>
                    <w:left w:val="single" w:color="000000" w:sz="4"/>
                    <w:bottom w:val="single" w:color="000000" w:sz="4"/>
                    <w:right w:val="single" w:color="000000" w:sz="4"/>
                  </w:tcBorders>
                  <w:vAlign w:val="top"/>
                </w:tcPr>
                <w:p>
                  <w:pPr>
                    <w:jc w:val="center"/>
                  </w:pPr>
                  <w:r>
                    <w:rPr>
                      <w:b/>
                      <w:sz w:val="21"/>
                    </w:rPr>
                    <w:t>功能指标</w:t>
                  </w:r>
                </w:p>
              </w:tc>
              <w:tc>
                <w:tcPr>
                  <w:tcW w:type="dxa" w:w="4843"/>
                  <w:tcBorders>
                    <w:top w:val="single" w:color="000000" w:sz="4"/>
                    <w:left w:val="none" w:color="000000" w:sz="4"/>
                    <w:bottom w:val="single" w:color="000000" w:sz="4"/>
                    <w:right w:val="single" w:color="000000" w:sz="4"/>
                  </w:tcBorders>
                  <w:vAlign w:val="top"/>
                </w:tcPr>
                <w:p>
                  <w:pPr>
                    <w:jc w:val="center"/>
                  </w:pPr>
                  <w:r>
                    <w:rPr>
                      <w:b/>
                      <w:sz w:val="21"/>
                    </w:rPr>
                    <w:t>参数要求</w:t>
                  </w:r>
                </w:p>
              </w:tc>
            </w:tr>
            <w:tr>
              <w:tc>
                <w:tcPr>
                  <w:tcW w:type="dxa" w:w="75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843"/>
                  <w:tcBorders>
                    <w:top w:val="none" w:color="000000" w:sz="4"/>
                    <w:left w:val="none" w:color="000000" w:sz="4"/>
                    <w:bottom w:val="single" w:color="000000" w:sz="4"/>
                    <w:right w:val="single" w:color="000000" w:sz="4"/>
                  </w:tcBorders>
                  <w:vAlign w:val="top"/>
                </w:tcPr>
                <w:p>
                  <w:pPr>
                    <w:jc w:val="both"/>
                  </w:pPr>
                  <w:r>
                    <w:rPr>
                      <w:b/>
                      <w:sz w:val="21"/>
                    </w:rPr>
                    <w:t>★1U网关型设备，内存大小≥8G，硬盘容量≥256GB SSD，接口≥6千兆电口+2千兆光口SFP；网络层吞吐量：≥1.5Gbps，应用层吞吐量：≥500Mbps</w:t>
                  </w:r>
                  <w:r>
                    <w:rPr>
                      <w:b/>
                      <w:color w:val="000000"/>
                      <w:sz w:val="21"/>
                    </w:rPr>
                    <w:t>；</w:t>
                  </w:r>
                </w:p>
                <w:p>
                  <w:pPr>
                    <w:jc w:val="both"/>
                  </w:pPr>
                  <w:r>
                    <w:rPr>
                      <w:b/>
                      <w:color w:val="000000"/>
                      <w:sz w:val="21"/>
                    </w:rPr>
                    <w:t>产品要求提供</w:t>
                  </w:r>
                  <w:r>
                    <w:rPr>
                      <w:b/>
                      <w:color w:val="000000"/>
                      <w:sz w:val="21"/>
                    </w:rPr>
                    <w:t>3年技术支持服务、硬件质保、软件升级及安全规则更新服务（需提供服务承诺函并加盖投标人公章）。</w:t>
                  </w:r>
                </w:p>
              </w:tc>
            </w:tr>
            <w:tr>
              <w:tc>
                <w:tcPr>
                  <w:tcW w:type="dxa" w:w="75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843"/>
                  <w:tcBorders>
                    <w:top w:val="none" w:color="000000" w:sz="4"/>
                    <w:left w:val="none" w:color="000000" w:sz="4"/>
                    <w:bottom w:val="single" w:color="000000" w:sz="4"/>
                    <w:right w:val="single" w:color="000000" w:sz="4"/>
                  </w:tcBorders>
                  <w:vAlign w:val="top"/>
                </w:tcPr>
                <w:p>
                  <w:pPr>
                    <w:jc w:val="both"/>
                  </w:pPr>
                  <w:r>
                    <w:rPr>
                      <w:sz w:val="21"/>
                    </w:rPr>
                    <w:t>具备主动发送少量探测报文，发现潜在的服务器（影子资产）以及学习服务器的基础信息，如：操作系统、开放的端口号等。</w:t>
                  </w:r>
                </w:p>
              </w:tc>
            </w:tr>
            <w:tr>
              <w:tc>
                <w:tcPr>
                  <w:tcW w:type="dxa" w:w="75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843"/>
                  <w:tcBorders>
                    <w:top w:val="none" w:color="000000" w:sz="4"/>
                    <w:left w:val="none" w:color="000000" w:sz="4"/>
                    <w:bottom w:val="single" w:color="000000" w:sz="4"/>
                    <w:right w:val="single" w:color="000000" w:sz="4"/>
                  </w:tcBorders>
                  <w:vAlign w:val="top"/>
                </w:tcPr>
                <w:p>
                  <w:pPr>
                    <w:jc w:val="both"/>
                  </w:pPr>
                  <w:r>
                    <w:rPr>
                      <w:sz w:val="21"/>
                    </w:rPr>
                    <w:t>具备报文检测引擎</w:t>
                  </w:r>
                  <w:r>
                    <w:rPr>
                      <w:sz w:val="21"/>
                    </w:rPr>
                    <w:t>,可实现IP碎片重组、TCP流重组、应用层协议识别与解析等；具备多种的入侵攻击模式或恶意UR监测模式，可完成模式匹配并生成事件，可提取URL记录和域名记录。</w:t>
                  </w:r>
                </w:p>
              </w:tc>
            </w:tr>
            <w:tr>
              <w:tc>
                <w:tcPr>
                  <w:tcW w:type="dxa" w:w="75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843"/>
                  <w:tcBorders>
                    <w:top w:val="none" w:color="000000" w:sz="4"/>
                    <w:left w:val="none" w:color="000000" w:sz="4"/>
                    <w:bottom w:val="single" w:color="000000" w:sz="4"/>
                    <w:right w:val="single" w:color="000000" w:sz="4"/>
                  </w:tcBorders>
                  <w:vAlign w:val="top"/>
                </w:tcPr>
                <w:p>
                  <w:pPr>
                    <w:jc w:val="both"/>
                  </w:pPr>
                  <w:r>
                    <w:rPr>
                      <w:sz w:val="21"/>
                    </w:rPr>
                    <w:t>支持</w:t>
                  </w:r>
                  <w:r>
                    <w:rPr>
                      <w:sz w:val="21"/>
                    </w:rPr>
                    <w:t>SQL注入、XSS攻击、网页木马、网站扫描、WEBSHELL、跨站请求伪造、系统命令注入、文件包含攻击、目录遍历攻击、信息泄露攻击、Web整站系统漏洞等网站攻击检测。</w:t>
                  </w:r>
                </w:p>
              </w:tc>
            </w:tr>
            <w:tr>
              <w:tc>
                <w:tcPr>
                  <w:tcW w:type="dxa" w:w="755"/>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843"/>
                  <w:tcBorders>
                    <w:top w:val="none" w:color="000000" w:sz="4"/>
                    <w:left w:val="none" w:color="000000" w:sz="4"/>
                    <w:bottom w:val="single" w:color="000000" w:sz="4"/>
                    <w:right w:val="single" w:color="000000" w:sz="4"/>
                  </w:tcBorders>
                  <w:vAlign w:val="top"/>
                </w:tcPr>
                <w:p>
                  <w:pPr>
                    <w:jc w:val="both"/>
                  </w:pPr>
                  <w:r>
                    <w:rPr>
                      <w:sz w:val="21"/>
                    </w:rPr>
                    <w:t>▲支持敏感数据泄密功能检测能力，可自定义敏感信息，支持根据文件类型和敏感关键字进行信息过滤</w:t>
                  </w:r>
                  <w:r>
                    <w:rPr>
                      <w:b/>
                      <w:sz w:val="21"/>
                    </w:rPr>
                    <w:t>（需提供印有采购项目编号的产品功能截图证明，并加盖制造商公章）。</w:t>
                  </w:r>
                </w:p>
              </w:tc>
            </w:tr>
            <w:tr>
              <w:tc>
                <w:tcPr>
                  <w:tcW w:type="dxa" w:w="755"/>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843"/>
                  <w:tcBorders>
                    <w:top w:val="none" w:color="000000" w:sz="4"/>
                    <w:left w:val="none" w:color="000000" w:sz="4"/>
                    <w:bottom w:val="single" w:color="000000" w:sz="4"/>
                    <w:right w:val="single" w:color="000000" w:sz="4"/>
                  </w:tcBorders>
                  <w:vAlign w:val="top"/>
                </w:tcPr>
                <w:p>
                  <w:pPr>
                    <w:jc w:val="both"/>
                  </w:pPr>
                  <w:r>
                    <w:rPr>
                      <w:sz w:val="21"/>
                    </w:rPr>
                    <w:t>▲支持标准端口运行非标准协议，非标准端口运行标准协议的异常流量检测，端口类型包括3389、53、80/8080、21、69、443、25、110、143、22等</w:t>
                  </w:r>
                  <w:r>
                    <w:rPr>
                      <w:b/>
                      <w:sz w:val="21"/>
                    </w:rPr>
                    <w:t>（需提供印有采购项目编号的产品功能截图证明，并加盖制造商公章）。</w:t>
                  </w:r>
                </w:p>
              </w:tc>
            </w:tr>
            <w:tr>
              <w:tc>
                <w:tcPr>
                  <w:tcW w:type="dxa" w:w="755"/>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843"/>
                  <w:tcBorders>
                    <w:top w:val="none" w:color="000000" w:sz="4"/>
                    <w:left w:val="none" w:color="000000" w:sz="4"/>
                    <w:bottom w:val="single" w:color="000000" w:sz="4"/>
                    <w:right w:val="single" w:color="000000" w:sz="4"/>
                  </w:tcBorders>
                  <w:vAlign w:val="top"/>
                </w:tcPr>
                <w:p>
                  <w:pPr>
                    <w:jc w:val="both"/>
                  </w:pPr>
                  <w:r>
                    <w:rPr>
                      <w:sz w:val="21"/>
                    </w:rPr>
                    <w:t>支持</w:t>
                  </w:r>
                  <w:r>
                    <w:rPr>
                      <w:sz w:val="21"/>
                    </w:rPr>
                    <w:t>IP、IP组、服务、端口、访问时间等定义访问策略，主动建立针对性的业务和应用访问逻辑规则，包括白名单和黑名单方式。</w:t>
                  </w:r>
                </w:p>
              </w:tc>
            </w:tr>
            <w:tr>
              <w:tc>
                <w:tcPr>
                  <w:tcW w:type="dxa" w:w="755"/>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843"/>
                  <w:tcBorders>
                    <w:top w:val="none" w:color="000000" w:sz="4"/>
                    <w:left w:val="none" w:color="000000" w:sz="4"/>
                    <w:bottom w:val="single" w:color="000000" w:sz="4"/>
                    <w:right w:val="single" w:color="000000" w:sz="4"/>
                  </w:tcBorders>
                  <w:vAlign w:val="top"/>
                </w:tcPr>
                <w:p>
                  <w:pPr>
                    <w:jc w:val="both"/>
                  </w:pPr>
                  <w:r>
                    <w:rPr>
                      <w:sz w:val="21"/>
                    </w:rPr>
                    <w:t>支持流量抓包分析，可定义抓包数量、接口、</w:t>
                  </w:r>
                  <w:r>
                    <w:rPr>
                      <w:sz w:val="21"/>
                    </w:rPr>
                    <w:t>IP地址、端口或自定义过滤表达式。</w:t>
                  </w:r>
                </w:p>
              </w:tc>
            </w:tr>
            <w:tr>
              <w:tc>
                <w:tcPr>
                  <w:tcW w:type="dxa" w:w="755"/>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843"/>
                  <w:tcBorders>
                    <w:top w:val="none" w:color="000000" w:sz="4"/>
                    <w:left w:val="none" w:color="000000" w:sz="4"/>
                    <w:bottom w:val="single" w:color="000000" w:sz="4"/>
                    <w:right w:val="single" w:color="000000" w:sz="4"/>
                  </w:tcBorders>
                  <w:vAlign w:val="top"/>
                </w:tcPr>
                <w:p>
                  <w:pPr>
                    <w:jc w:val="both"/>
                  </w:pPr>
                  <w:r>
                    <w:rPr>
                      <w:sz w:val="21"/>
                    </w:rPr>
                    <w:t>支持设备内置简单命令行管理窗口，便于基础运维调试；可实时监控设备的</w:t>
                  </w:r>
                  <w:r>
                    <w:rPr>
                      <w:sz w:val="21"/>
                    </w:rPr>
                    <w:t>CPU、内存、存储空间使用情况，能够监控监听接口的实时流量情况。</w:t>
                  </w:r>
                </w:p>
              </w:tc>
            </w:tr>
            <w:tr>
              <w:tc>
                <w:tcPr>
                  <w:tcW w:type="dxa" w:w="755"/>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843"/>
                  <w:tcBorders>
                    <w:top w:val="none" w:color="000000" w:sz="4"/>
                    <w:left w:val="none" w:color="000000" w:sz="4"/>
                    <w:bottom w:val="single" w:color="000000" w:sz="4"/>
                    <w:right w:val="single" w:color="000000" w:sz="4"/>
                  </w:tcBorders>
                  <w:vAlign w:val="top"/>
                </w:tcPr>
                <w:p>
                  <w:pPr>
                    <w:jc w:val="both"/>
                  </w:pPr>
                  <w:r>
                    <w:rPr>
                      <w:sz w:val="21"/>
                    </w:rPr>
                    <w:t>支持多台采集器同时部署于客户网络不同位置并将数据传输到同一套分析平台。</w:t>
                  </w:r>
                </w:p>
              </w:tc>
            </w:tr>
          </w:tbl>
          <w:p>
            <w:r>
              <w:rPr/>
              <w:t xml:space="preserve"> </w:t>
            </w:r>
          </w:p>
          <w:p>
            <w:r>
              <w:rPr>
                <w:sz w:val="21"/>
              </w:rPr>
              <w:t>8、</w:t>
            </w:r>
            <w:r>
              <w:rPr>
                <w:sz w:val="21"/>
              </w:rPr>
              <w:t>安全感知管理平台</w:t>
            </w:r>
          </w:p>
          <w:tbl>
            <w:tblPr>
              <w:tblBorders>
                <w:top w:val="none" w:color="000000" w:sz="4"/>
                <w:left w:val="none" w:color="000000" w:sz="4"/>
                <w:bottom w:val="none" w:color="000000" w:sz="4"/>
                <w:right w:val="none" w:color="000000" w:sz="4"/>
                <w:insideH w:val="none"/>
                <w:insideV w:val="none"/>
              </w:tblBorders>
            </w:tblPr>
            <w:tblGrid>
              <w:gridCol w:w="892"/>
              <w:gridCol w:w="4706"/>
            </w:tblGrid>
            <w:tr>
              <w:tc>
                <w:tcPr>
                  <w:tcW w:type="dxa" w:w="892"/>
                  <w:tcBorders>
                    <w:top w:val="single" w:color="000000" w:sz="4"/>
                    <w:left w:val="single" w:color="000000" w:sz="4"/>
                    <w:bottom w:val="single" w:color="000000" w:sz="4"/>
                    <w:right w:val="single" w:color="000000" w:sz="4"/>
                  </w:tcBorders>
                  <w:vAlign w:val="top"/>
                </w:tcPr>
                <w:p>
                  <w:pPr>
                    <w:jc w:val="center"/>
                  </w:pPr>
                  <w:r>
                    <w:rPr>
                      <w:b/>
                      <w:sz w:val="21"/>
                    </w:rPr>
                    <w:t>功能指标</w:t>
                  </w:r>
                </w:p>
              </w:tc>
              <w:tc>
                <w:tcPr>
                  <w:tcW w:type="dxa" w:w="4706"/>
                  <w:tcBorders>
                    <w:top w:val="single" w:color="000000" w:sz="4"/>
                    <w:left w:val="none" w:color="000000" w:sz="4"/>
                    <w:bottom w:val="single" w:color="000000" w:sz="4"/>
                    <w:right w:val="single" w:color="000000" w:sz="4"/>
                  </w:tcBorders>
                  <w:vAlign w:val="top"/>
                </w:tcPr>
                <w:p>
                  <w:pPr>
                    <w:jc w:val="center"/>
                  </w:pPr>
                  <w:r>
                    <w:rPr>
                      <w:b/>
                      <w:color w:val="000000"/>
                      <w:sz w:val="21"/>
                    </w:rPr>
                    <w:t>参数要求</w:t>
                  </w:r>
                </w:p>
              </w:tc>
            </w:tr>
            <w:tr>
              <w:tc>
                <w:tcPr>
                  <w:tcW w:type="dxa" w:w="89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706"/>
                  <w:tcBorders>
                    <w:top w:val="none" w:color="000000" w:sz="4"/>
                    <w:left w:val="none" w:color="000000" w:sz="4"/>
                    <w:bottom w:val="single" w:color="000000" w:sz="4"/>
                    <w:right w:val="single" w:color="000000" w:sz="4"/>
                  </w:tcBorders>
                  <w:vAlign w:val="top"/>
                </w:tcPr>
                <w:p>
                  <w:pPr>
                    <w:jc w:val="both"/>
                  </w:pPr>
                  <w:r>
                    <w:rPr>
                      <w:b/>
                      <w:sz w:val="21"/>
                    </w:rPr>
                    <w:t>★2U机架式服务器，内存≥3*32GB DDR4 2933，系统盘≥1*240GB SATA SSD，数据盘≥6*4TB，标配盘位数≥8，电源为白金冗余电源，接口≥4千兆电口。存储容量≥14.4T，在带宽性能1Gbps时存储时长≥900天/1Gbps</w:t>
                  </w:r>
                  <w:r>
                    <w:rPr>
                      <w:b/>
                      <w:color w:val="000000"/>
                      <w:sz w:val="21"/>
                    </w:rPr>
                    <w:t>；</w:t>
                  </w:r>
                </w:p>
                <w:p>
                  <w:pPr>
                    <w:jc w:val="both"/>
                  </w:pPr>
                  <w:r>
                    <w:rPr>
                      <w:b/>
                      <w:color w:val="000000"/>
                      <w:sz w:val="21"/>
                    </w:rPr>
                    <w:t>产品要求提供</w:t>
                  </w:r>
                  <w:r>
                    <w:rPr>
                      <w:b/>
                      <w:color w:val="000000"/>
                      <w:sz w:val="21"/>
                    </w:rPr>
                    <w:t>3年技术支持服务、硬件质保、软件升级及安全规则更新服务（需提供服务承诺函并加盖投标人公章）。</w:t>
                  </w:r>
                </w:p>
              </w:tc>
            </w:tr>
            <w:tr>
              <w:tc>
                <w:tcPr>
                  <w:tcW w:type="dxa" w:w="89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706"/>
                  <w:tcBorders>
                    <w:top w:val="none" w:color="000000" w:sz="4"/>
                    <w:left w:val="none" w:color="000000" w:sz="4"/>
                    <w:bottom w:val="single" w:color="000000" w:sz="4"/>
                    <w:right w:val="single" w:color="000000" w:sz="4"/>
                  </w:tcBorders>
                  <w:vAlign w:val="top"/>
                </w:tcPr>
                <w:p>
                  <w:pPr>
                    <w:jc w:val="both"/>
                  </w:pPr>
                  <w:r>
                    <w:rPr>
                      <w:sz w:val="21"/>
                    </w:rPr>
                    <w:t>支持不同安全视角展示</w:t>
                  </w:r>
                  <w:r>
                    <w:rPr>
                      <w:sz w:val="21"/>
                    </w:rPr>
                    <w:t>16个独立的大屏展示功能 ，包括全网安全态势感知大屏、分支安全态势、安全事件态势、通报预警态势、资产态势大屏等。支持对安全事件、外部攻击者等维度进行自定义设置实现实时告警展示，支持大屏轮播，可在一个屏幕上自动切换轮播不同的大屏，所有大屏可自定义播放顺序。</w:t>
                  </w:r>
                </w:p>
              </w:tc>
            </w:tr>
            <w:tr>
              <w:tc>
                <w:tcPr>
                  <w:tcW w:type="dxa" w:w="89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706"/>
                  <w:tcBorders>
                    <w:top w:val="none" w:color="000000" w:sz="4"/>
                    <w:left w:val="none" w:color="000000" w:sz="4"/>
                    <w:bottom w:val="single" w:color="000000" w:sz="4"/>
                    <w:right w:val="single" w:color="000000" w:sz="4"/>
                  </w:tcBorders>
                  <w:vAlign w:val="top"/>
                </w:tcPr>
                <w:p>
                  <w:pPr>
                    <w:jc w:val="both"/>
                  </w:pPr>
                  <w:r>
                    <w:rPr>
                      <w:sz w:val="21"/>
                    </w:rPr>
                    <w:t>▲支持资产属性重新识别，当发现资产数据不准确时，可清空该资产属性，如主机名、备注、操作系统、标签、地理位置、硬件信息、应用软件信息、账号信息、责任人信息、端口信息等，重新发起识别后，平台会自动补齐资产属性，可批量操作</w:t>
                  </w:r>
                  <w:r>
                    <w:rPr>
                      <w:b/>
                      <w:sz w:val="21"/>
                    </w:rPr>
                    <w:t>（需提供印有采购项目编号的产品功能截图证明，并加盖制造商公章）。</w:t>
                  </w:r>
                </w:p>
              </w:tc>
            </w:tr>
            <w:tr>
              <w:tc>
                <w:tcPr>
                  <w:tcW w:type="dxa" w:w="89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706"/>
                  <w:tcBorders>
                    <w:top w:val="none" w:color="000000" w:sz="4"/>
                    <w:left w:val="none" w:color="000000" w:sz="4"/>
                    <w:bottom w:val="single" w:color="000000" w:sz="4"/>
                    <w:right w:val="single" w:color="000000" w:sz="4"/>
                  </w:tcBorders>
                  <w:vAlign w:val="top"/>
                </w:tcPr>
                <w:p>
                  <w:pPr>
                    <w:jc w:val="both"/>
                  </w:pPr>
                  <w:r>
                    <w:rPr>
                      <w:sz w:val="21"/>
                    </w:rPr>
                    <w:t>支持跨三层取</w:t>
                  </w:r>
                  <w:r>
                    <w:rPr>
                      <w:sz w:val="21"/>
                    </w:rPr>
                    <w:t>mac地址，识别资产mac地址，并能够解决不同资产IP冲突问题，以及DHCP场景IP变更的问题。</w:t>
                  </w:r>
                </w:p>
              </w:tc>
            </w:tr>
            <w:tr>
              <w:tc>
                <w:tcPr>
                  <w:tcW w:type="dxa" w:w="892"/>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706"/>
                  <w:tcBorders>
                    <w:top w:val="none" w:color="000000" w:sz="4"/>
                    <w:left w:val="none" w:color="000000" w:sz="4"/>
                    <w:bottom w:val="single" w:color="000000" w:sz="4"/>
                    <w:right w:val="single" w:color="000000" w:sz="4"/>
                  </w:tcBorders>
                  <w:vAlign w:val="top"/>
                </w:tcPr>
                <w:p>
                  <w:pPr>
                    <w:jc w:val="both"/>
                  </w:pPr>
                  <w:r>
                    <w:rPr>
                      <w:sz w:val="21"/>
                    </w:rPr>
                    <w:t>支持自定义配置资产指纹识别规则，可基于流量行为细化资产类型，支持资产类型识别规则自定义和属性指纹特征自定义。</w:t>
                  </w:r>
                </w:p>
              </w:tc>
            </w:tr>
            <w:tr>
              <w:tc>
                <w:tcPr>
                  <w:tcW w:type="dxa" w:w="892"/>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706"/>
                  <w:tcBorders>
                    <w:top w:val="none" w:color="000000" w:sz="4"/>
                    <w:left w:val="none" w:color="000000" w:sz="4"/>
                    <w:bottom w:val="single" w:color="000000" w:sz="4"/>
                    <w:right w:val="single" w:color="000000" w:sz="4"/>
                  </w:tcBorders>
                  <w:vAlign w:val="top"/>
                </w:tcPr>
                <w:p>
                  <w:pPr>
                    <w:jc w:val="both"/>
                  </w:pPr>
                  <w:r>
                    <w:rPr>
                      <w:sz w:val="21"/>
                    </w:rPr>
                    <w:t>支持通报预警，支持新增加签功能（短信或邮件通知），可邀请指定管理员研判评论，双方评论回复均可视。</w:t>
                  </w:r>
                </w:p>
              </w:tc>
            </w:tr>
            <w:tr>
              <w:tc>
                <w:tcPr>
                  <w:tcW w:type="dxa" w:w="892"/>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706"/>
                  <w:tcBorders>
                    <w:top w:val="none" w:color="000000" w:sz="4"/>
                    <w:left w:val="none" w:color="000000" w:sz="4"/>
                    <w:bottom w:val="single" w:color="000000" w:sz="4"/>
                    <w:right w:val="single" w:color="000000" w:sz="4"/>
                  </w:tcBorders>
                  <w:vAlign w:val="top"/>
                </w:tcPr>
                <w:p>
                  <w:pPr>
                    <w:jc w:val="both"/>
                  </w:pPr>
                  <w:r>
                    <w:rPr>
                      <w:sz w:val="21"/>
                    </w:rPr>
                    <w:t>支持随机生成临时管理员用户名和密码，供外援安全人员进行使用：随机用户名为临时自动创建管理员，只具备指定资产对应的：处置中心、脆弱性、日志检索的查看和操作权限，具备处置、上传附件等下级管理处置的权限。</w:t>
                  </w:r>
                </w:p>
              </w:tc>
            </w:tr>
            <w:tr>
              <w:tc>
                <w:tcPr>
                  <w:tcW w:type="dxa" w:w="892"/>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706"/>
                  <w:tcBorders>
                    <w:top w:val="none" w:color="000000" w:sz="4"/>
                    <w:left w:val="none" w:color="000000" w:sz="4"/>
                    <w:bottom w:val="single" w:color="000000" w:sz="4"/>
                    <w:right w:val="single" w:color="000000" w:sz="4"/>
                  </w:tcBorders>
                  <w:vAlign w:val="top"/>
                </w:tcPr>
                <w:p>
                  <w:pPr>
                    <w:jc w:val="both"/>
                  </w:pPr>
                  <w:r>
                    <w:rPr>
                      <w:sz w:val="21"/>
                    </w:rPr>
                    <w:t>▲弱密码检测规则支持高度自定义，包括规则名称、生效域名、长度规则、字符规则、字典序、web空密码、账号白名单、密码白名单、txt文件格式导入</w:t>
                  </w:r>
                  <w:r>
                    <w:rPr>
                      <w:b/>
                      <w:sz w:val="21"/>
                    </w:rPr>
                    <w:t>（需提供印有采购项目编号的产品功能截图证明，并加盖制造商公章）。</w:t>
                  </w:r>
                </w:p>
              </w:tc>
            </w:tr>
            <w:tr>
              <w:tc>
                <w:tcPr>
                  <w:tcW w:type="dxa" w:w="892"/>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706"/>
                  <w:tcBorders>
                    <w:top w:val="none" w:color="000000" w:sz="4"/>
                    <w:left w:val="none" w:color="000000" w:sz="4"/>
                    <w:bottom w:val="single" w:color="000000" w:sz="4"/>
                    <w:right w:val="single" w:color="000000" w:sz="4"/>
                  </w:tcBorders>
                  <w:vAlign w:val="top"/>
                </w:tcPr>
                <w:p>
                  <w:pPr>
                    <w:jc w:val="both"/>
                  </w:pPr>
                  <w:r>
                    <w:rPr>
                      <w:sz w:val="21"/>
                    </w:rPr>
                    <w:t>具备元数据行为分析引擎：</w:t>
                  </w:r>
                  <w:r>
                    <w:rPr>
                      <w:sz w:val="21"/>
                    </w:rPr>
                    <w:t xml:space="preserve">httpflow、dnsflow、adflow、icmpflow、maillflow等, 通过异常行为分析，结合各类机器学习算法完成未知威胁检测。包括：内网穿透、代理、远控、隧道、反弹shell等事后检测场景。  </w:t>
                  </w:r>
                </w:p>
              </w:tc>
            </w:tr>
            <w:tr>
              <w:tc>
                <w:tcPr>
                  <w:tcW w:type="dxa" w:w="892"/>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706"/>
                  <w:tcBorders>
                    <w:top w:val="none" w:color="000000" w:sz="4"/>
                    <w:left w:val="none" w:color="000000" w:sz="4"/>
                    <w:bottom w:val="single" w:color="000000" w:sz="4"/>
                    <w:right w:val="single" w:color="000000" w:sz="4"/>
                  </w:tcBorders>
                  <w:vAlign w:val="top"/>
                </w:tcPr>
                <w:p>
                  <w:pPr>
                    <w:jc w:val="both"/>
                  </w:pPr>
                  <w:r>
                    <w:rPr>
                      <w:sz w:val="21"/>
                    </w:rPr>
                    <w:t>支持挖矿专项检测页面，具备挖矿攻击事前、事中和事后全链路的检测分析能力、综合运用威胁情报、</w:t>
                  </w:r>
                  <w:r>
                    <w:rPr>
                      <w:sz w:val="21"/>
                    </w:rPr>
                    <w:t>IPS特征规则和行为关联分析技术，如检测发现文件传输（上传下载）阶段的异常，对挖矿早期的准备动作即告警。</w:t>
                  </w:r>
                </w:p>
              </w:tc>
            </w:tr>
            <w:tr>
              <w:tc>
                <w:tcPr>
                  <w:tcW w:type="dxa" w:w="892"/>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706"/>
                  <w:tcBorders>
                    <w:top w:val="none" w:color="000000" w:sz="4"/>
                    <w:left w:val="none" w:color="000000" w:sz="4"/>
                    <w:bottom w:val="single" w:color="000000" w:sz="4"/>
                    <w:right w:val="single" w:color="000000" w:sz="4"/>
                  </w:tcBorders>
                  <w:vAlign w:val="top"/>
                </w:tcPr>
                <w:p>
                  <w:pPr>
                    <w:jc w:val="both"/>
                  </w:pPr>
                  <w:r>
                    <w:rPr>
                      <w:sz w:val="21"/>
                    </w:rPr>
                    <w:t>▲支持文件、邮件、勒索、挖矿相关安全事件专项页面展示，且所有专项告警支持直接进行联动处置，联动处置支持自动调用内置处置策略模板，也支持自动化编排的自定义处置流程策略</w:t>
                  </w:r>
                  <w:r>
                    <w:rPr>
                      <w:b/>
                      <w:sz w:val="21"/>
                    </w:rPr>
                    <w:t>（需提供印有采购项目编号的产品功能截图证明，并加盖制造商公章）。</w:t>
                  </w:r>
                </w:p>
              </w:tc>
            </w:tr>
            <w:tr>
              <w:tc>
                <w:tcPr>
                  <w:tcW w:type="dxa" w:w="892"/>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4706"/>
                  <w:tcBorders>
                    <w:top w:val="none" w:color="000000" w:sz="4"/>
                    <w:left w:val="none" w:color="000000" w:sz="4"/>
                    <w:bottom w:val="single" w:color="000000" w:sz="4"/>
                    <w:right w:val="single" w:color="000000" w:sz="4"/>
                  </w:tcBorders>
                  <w:vAlign w:val="top"/>
                </w:tcPr>
                <w:p>
                  <w:pPr>
                    <w:jc w:val="both"/>
                  </w:pPr>
                  <w:r>
                    <w:rPr>
                      <w:sz w:val="21"/>
                    </w:rPr>
                    <w:t>同时支持自动化编排的自定义处置流程策略的设置、灵活剧本设置、融入事件自动处置流程，节省运维处置时间，根据采购人实际需要对接所需同品牌或者第三方品牌安全设备进行安全事件处置。</w:t>
                  </w:r>
                </w:p>
              </w:tc>
            </w:tr>
            <w:tr>
              <w:tc>
                <w:tcPr>
                  <w:tcW w:type="dxa" w:w="892"/>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4706"/>
                  <w:tcBorders>
                    <w:top w:val="none" w:color="000000" w:sz="4"/>
                    <w:left w:val="none" w:color="000000" w:sz="4"/>
                    <w:bottom w:val="single" w:color="000000" w:sz="4"/>
                    <w:right w:val="single" w:color="000000" w:sz="4"/>
                  </w:tcBorders>
                  <w:vAlign w:val="top"/>
                </w:tcPr>
                <w:p>
                  <w:pPr>
                    <w:jc w:val="both"/>
                  </w:pPr>
                  <w:r>
                    <w:rPr>
                      <w:sz w:val="21"/>
                    </w:rPr>
                    <w:t>支持通过主动发送微量包的扫描方式探测潜在的服务器（影子资产）以及学习服务器的基础信息，资产指纹信息包括资产类型、端口、操作系统、</w:t>
                  </w:r>
                  <w:r>
                    <w:rPr>
                      <w:sz w:val="21"/>
                    </w:rPr>
                    <w:t>mac地址、主机名等</w:t>
                  </w:r>
                  <w:r>
                    <w:rPr>
                      <w:b/>
                      <w:sz w:val="21"/>
                    </w:rPr>
                    <w:t>（需提供印有采购项目编号的产品功能截图证明，并加盖制造商公章）。</w:t>
                  </w:r>
                </w:p>
              </w:tc>
            </w:tr>
            <w:tr>
              <w:tc>
                <w:tcPr>
                  <w:tcW w:type="dxa" w:w="892"/>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4706"/>
                  <w:tcBorders>
                    <w:top w:val="none" w:color="000000" w:sz="4"/>
                    <w:left w:val="none" w:color="000000" w:sz="4"/>
                    <w:bottom w:val="single" w:color="000000" w:sz="4"/>
                    <w:right w:val="single" w:color="000000" w:sz="4"/>
                  </w:tcBorders>
                  <w:vAlign w:val="top"/>
                </w:tcPr>
                <w:p>
                  <w:pPr>
                    <w:jc w:val="both"/>
                  </w:pPr>
                  <w:r>
                    <w:rPr>
                      <w:sz w:val="21"/>
                    </w:rPr>
                    <w:t>可快速生成月度、季度、年度</w:t>
                  </w:r>
                  <w:r>
                    <w:rPr>
                      <w:sz w:val="21"/>
                    </w:rPr>
                    <w:t>PPT报表，包含网络安全整体解读、网络安全风险详情、告警及事件响应盘点等</w:t>
                  </w:r>
                  <w:r>
                    <w:rPr>
                      <w:sz w:val="21"/>
                    </w:rPr>
                    <w:t>。</w:t>
                  </w:r>
                  <w:r>
                    <w:rPr>
                      <w:sz w:val="21"/>
                    </w:rPr>
                    <w:t xml:space="preserve"> </w:t>
                  </w:r>
                </w:p>
              </w:tc>
            </w:tr>
            <w:tr>
              <w:tc>
                <w:tcPr>
                  <w:tcW w:type="dxa" w:w="892"/>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4706"/>
                  <w:tcBorders>
                    <w:top w:val="none" w:color="000000" w:sz="4"/>
                    <w:left w:val="none" w:color="000000" w:sz="4"/>
                    <w:bottom w:val="single" w:color="000000" w:sz="4"/>
                    <w:right w:val="single" w:color="000000" w:sz="4"/>
                  </w:tcBorders>
                  <w:vAlign w:val="top"/>
                </w:tcPr>
                <w:p>
                  <w:pPr>
                    <w:jc w:val="both"/>
                  </w:pPr>
                  <w:r>
                    <w:rPr>
                      <w:sz w:val="21"/>
                    </w:rPr>
                    <w:t>▲支持与上网行为管理、防火墙等设备联动，包含便捷地进行联动封锁、访问控制、上网提醒、冻结账号、一键查杀</w:t>
                  </w:r>
                  <w:r>
                    <w:rPr>
                      <w:b/>
                      <w:sz w:val="21"/>
                    </w:rPr>
                    <w:t>（需提供印有采购项目编号的产品功能截图证明，并加盖制造商公章）。</w:t>
                  </w:r>
                </w:p>
              </w:tc>
            </w:tr>
          </w:tbl>
          <w:p>
            <w:r>
              <w:rPr/>
              <w:t xml:space="preserve"> </w:t>
            </w:r>
          </w:p>
          <w:p>
            <w:r>
              <w:rPr>
                <w:sz w:val="21"/>
              </w:rPr>
              <w:t>9、</w:t>
            </w:r>
            <w:r>
              <w:rPr>
                <w:sz w:val="21"/>
              </w:rPr>
              <w:t>零信任综合网关</w:t>
            </w:r>
          </w:p>
          <w:tbl>
            <w:tblPr>
              <w:tblBorders>
                <w:top w:val="none" w:color="000000" w:sz="4"/>
                <w:left w:val="none" w:color="000000" w:sz="4"/>
                <w:bottom w:val="none" w:color="000000" w:sz="4"/>
                <w:right w:val="none" w:color="000000" w:sz="4"/>
                <w:insideH w:val="none"/>
                <w:insideV w:val="none"/>
              </w:tblBorders>
            </w:tblPr>
            <w:tblGrid>
              <w:gridCol w:w="696"/>
              <w:gridCol w:w="4902"/>
            </w:tblGrid>
            <w:tr>
              <w:tc>
                <w:tcPr>
                  <w:tcW w:type="dxa" w:w="696"/>
                  <w:tcBorders>
                    <w:top w:val="single" w:color="000000" w:sz="4"/>
                    <w:left w:val="single" w:color="000000" w:sz="4"/>
                    <w:bottom w:val="single" w:color="000000" w:sz="4"/>
                    <w:right w:val="single" w:color="000000" w:sz="4"/>
                  </w:tcBorders>
                  <w:vAlign w:val="top"/>
                </w:tcPr>
                <w:p>
                  <w:pPr>
                    <w:jc w:val="center"/>
                  </w:pPr>
                  <w:r>
                    <w:rPr>
                      <w:b/>
                      <w:sz w:val="21"/>
                    </w:rPr>
                    <w:t>功能指标</w:t>
                  </w:r>
                </w:p>
              </w:tc>
              <w:tc>
                <w:tcPr>
                  <w:tcW w:type="dxa" w:w="4902"/>
                  <w:tcBorders>
                    <w:top w:val="single" w:color="000000" w:sz="4"/>
                    <w:left w:val="none" w:color="000000" w:sz="4"/>
                    <w:bottom w:val="single" w:color="000000" w:sz="4"/>
                    <w:right w:val="single" w:color="000000" w:sz="4"/>
                  </w:tcBorders>
                  <w:vAlign w:val="top"/>
                </w:tcPr>
                <w:p>
                  <w:pPr>
                    <w:jc w:val="center"/>
                  </w:pPr>
                  <w:r>
                    <w:rPr>
                      <w:b/>
                      <w:color w:val="000000"/>
                      <w:sz w:val="21"/>
                    </w:rPr>
                    <w:t>参数要求</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902"/>
                  <w:tcBorders>
                    <w:top w:val="none" w:color="000000" w:sz="4"/>
                    <w:left w:val="none" w:color="000000" w:sz="4"/>
                    <w:bottom w:val="single" w:color="000000" w:sz="4"/>
                    <w:right w:val="single" w:color="000000" w:sz="4"/>
                  </w:tcBorders>
                  <w:vAlign w:val="top"/>
                </w:tcPr>
                <w:p>
                  <w:pPr>
                    <w:jc w:val="both"/>
                  </w:pPr>
                  <w:r>
                    <w:rPr>
                      <w:b/>
                      <w:sz w:val="21"/>
                    </w:rPr>
                    <w:t>★1U网关型设备，内存大小≥16G，硬盘容量≥128G SSD，电源≥冗余电源，接口≥6千兆电口+4千兆光口SFP。最大理论加密流量（Mbps）≥600，最大理论并发用户数≥1200，最大理论https并发连接数（个）≥60000，理论https新建连接数（个/秒）≥240</w:t>
                  </w:r>
                  <w:r>
                    <w:rPr>
                      <w:b/>
                      <w:color w:val="000000"/>
                      <w:sz w:val="21"/>
                    </w:rPr>
                    <w:t>；</w:t>
                  </w:r>
                </w:p>
                <w:p>
                  <w:pPr>
                    <w:jc w:val="both"/>
                  </w:pPr>
                  <w:r>
                    <w:rPr>
                      <w:b/>
                      <w:color w:val="000000"/>
                      <w:sz w:val="21"/>
                    </w:rPr>
                    <w:t>提供</w:t>
                  </w:r>
                  <w:r>
                    <w:rPr>
                      <w:b/>
                      <w:color w:val="000000"/>
                      <w:sz w:val="21"/>
                    </w:rPr>
                    <w:t>3年技术支持服务、硬件质保、软件升级及安全规则更新服务（需提供服务承诺函并加盖投标人公章）。</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902"/>
                  <w:tcBorders>
                    <w:top w:val="none" w:color="000000" w:sz="4"/>
                    <w:left w:val="none" w:color="000000" w:sz="4"/>
                    <w:bottom w:val="single" w:color="000000" w:sz="4"/>
                    <w:right w:val="single" w:color="000000" w:sz="4"/>
                  </w:tcBorders>
                  <w:vAlign w:val="top"/>
                </w:tcPr>
                <w:p>
                  <w:pPr>
                    <w:jc w:val="both"/>
                  </w:pPr>
                  <w:r>
                    <w:rPr>
                      <w:sz w:val="21"/>
                    </w:rPr>
                    <w:t>为了满足灵活部署的要求，综合网关应支持单臂模式、路由模式部署。</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902"/>
                  <w:tcBorders>
                    <w:top w:val="none" w:color="000000" w:sz="4"/>
                    <w:left w:val="none" w:color="000000" w:sz="4"/>
                    <w:bottom w:val="single" w:color="000000" w:sz="4"/>
                    <w:right w:val="single" w:color="000000" w:sz="4"/>
                  </w:tcBorders>
                  <w:vAlign w:val="top"/>
                </w:tcPr>
                <w:p>
                  <w:pPr>
                    <w:jc w:val="both"/>
                  </w:pPr>
                  <w:r>
                    <w:rPr>
                      <w:sz w:val="21"/>
                    </w:rPr>
                    <w:t>应支持跨平台免插件访问，支持多资源（</w:t>
                  </w:r>
                  <w:r>
                    <w:rPr>
                      <w:sz w:val="21"/>
                    </w:rPr>
                    <w:t>http/https/websocket等）免客户端接入。</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902"/>
                  <w:tcBorders>
                    <w:top w:val="none" w:color="000000" w:sz="4"/>
                    <w:left w:val="none" w:color="000000" w:sz="4"/>
                    <w:bottom w:val="single" w:color="000000" w:sz="4"/>
                    <w:right w:val="single" w:color="000000" w:sz="4"/>
                  </w:tcBorders>
                  <w:vAlign w:val="top"/>
                </w:tcPr>
                <w:p>
                  <w:pPr>
                    <w:jc w:val="both"/>
                  </w:pPr>
                  <w:r>
                    <w:rPr>
                      <w:sz w:val="21"/>
                    </w:rPr>
                    <w:t>支持发布</w:t>
                  </w:r>
                  <w:r>
                    <w:rPr>
                      <w:sz w:val="21"/>
                    </w:rPr>
                    <w:t>TCP协议资源（包括FTP、TELNET、RDP、SMTP/POP3邮箱及其他常规C/S应用），支持发布UDP协议资源（包括DNS、TFTP、SMB、SIP等常规C/S应用）。</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902"/>
                  <w:tcBorders>
                    <w:top w:val="none" w:color="000000" w:sz="4"/>
                    <w:left w:val="none" w:color="000000" w:sz="4"/>
                    <w:bottom w:val="single" w:color="000000" w:sz="4"/>
                    <w:right w:val="single" w:color="000000" w:sz="4"/>
                  </w:tcBorders>
                  <w:vAlign w:val="top"/>
                </w:tcPr>
                <w:p>
                  <w:pPr>
                    <w:jc w:val="both"/>
                  </w:pPr>
                  <w:r>
                    <w:rPr>
                      <w:sz w:val="21"/>
                    </w:rPr>
                    <w:t>为简化资源发布配置，应支持同一个资源发布多个</w:t>
                  </w:r>
                  <w:r>
                    <w:rPr>
                      <w:sz w:val="21"/>
                    </w:rPr>
                    <w:t>IP或网段。</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902"/>
                  <w:tcBorders>
                    <w:top w:val="none" w:color="000000" w:sz="4"/>
                    <w:left w:val="none" w:color="000000" w:sz="4"/>
                    <w:bottom w:val="single" w:color="000000" w:sz="4"/>
                    <w:right w:val="single" w:color="000000" w:sz="4"/>
                  </w:tcBorders>
                  <w:vAlign w:val="top"/>
                </w:tcPr>
                <w:p>
                  <w:pPr>
                    <w:jc w:val="both"/>
                  </w:pPr>
                  <w:r>
                    <w:rPr>
                      <w:sz w:val="21"/>
                    </w:rPr>
                    <w:t>为有效抵御恶意软件和有针对性的攻击，应支持</w:t>
                  </w:r>
                  <w:r>
                    <w:rPr>
                      <w:sz w:val="21"/>
                    </w:rPr>
                    <w:t>WEB资源配置URL黑白名单，且URL黑白名单支持通配符配置。</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902"/>
                  <w:tcBorders>
                    <w:top w:val="none" w:color="000000" w:sz="4"/>
                    <w:left w:val="none" w:color="000000" w:sz="4"/>
                    <w:bottom w:val="single" w:color="000000" w:sz="4"/>
                    <w:right w:val="single" w:color="000000" w:sz="4"/>
                  </w:tcBorders>
                  <w:vAlign w:val="top"/>
                </w:tcPr>
                <w:p>
                  <w:pPr>
                    <w:jc w:val="both"/>
                  </w:pPr>
                  <w:r>
                    <w:rPr>
                      <w:sz w:val="21"/>
                    </w:rPr>
                    <w:t>为减少配置难度，应支持以通配符方式发布单位内部</w:t>
                  </w:r>
                  <w:r>
                    <w:rPr>
                      <w:sz w:val="21"/>
                    </w:rPr>
                    <w:t>WEB系统，避免配置多次资源（如发布一条*.sun.com资源即可访问oa.sun.com和crm.sun.com及其他域名资源)。</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902"/>
                  <w:tcBorders>
                    <w:top w:val="none" w:color="000000" w:sz="4"/>
                    <w:left w:val="none" w:color="000000" w:sz="4"/>
                    <w:bottom w:val="single" w:color="000000" w:sz="4"/>
                    <w:right w:val="single" w:color="000000" w:sz="4"/>
                  </w:tcBorders>
                  <w:vAlign w:val="top"/>
                </w:tcPr>
                <w:p>
                  <w:pPr>
                    <w:jc w:val="both"/>
                  </w:pPr>
                  <w:r>
                    <w:rPr>
                      <w:sz w:val="21"/>
                    </w:rPr>
                    <w:t>为简化授权和管理，应支持将</w:t>
                  </w:r>
                  <w:r>
                    <w:rPr>
                      <w:sz w:val="21"/>
                    </w:rPr>
                    <w:t>WEB主站点的多个依赖站点资源，全部配置在一条资源中。</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902"/>
                  <w:tcBorders>
                    <w:top w:val="none" w:color="000000" w:sz="4"/>
                    <w:left w:val="none" w:color="000000" w:sz="4"/>
                    <w:bottom w:val="single" w:color="000000" w:sz="4"/>
                    <w:right w:val="single" w:color="000000" w:sz="4"/>
                  </w:tcBorders>
                  <w:vAlign w:val="top"/>
                </w:tcPr>
                <w:p>
                  <w:pPr>
                    <w:jc w:val="both"/>
                  </w:pPr>
                  <w:r>
                    <w:rPr>
                      <w:sz w:val="21"/>
                    </w:rPr>
                    <w:t>▲为满足采购人多样化安全便捷认证需求，要求在不需要额外搭建认证平台、认证组件的情况下便可支持以下认证方式：本地账号密码认证、LDAP/AD认证、OAuth2.0标准协议的票据认证、CAS标准协议的票据认证、证书认证、HTTP(S)短信认证、腾讯云短信网关、阿里云短信网关、标准Radius令牌认证、本地OTP动态令牌认证等认证方式，并可与企业微信、阿里钉钉、飞书结合实现扫码认证，支持飞书用户或个人微信企业号通过H5接入</w:t>
                  </w:r>
                  <w:r>
                    <w:rPr>
                      <w:b/>
                      <w:sz w:val="21"/>
                    </w:rPr>
                    <w:t>（需提供印有采购项目编号的产品功能截图证明，并加盖制造商公章）。</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902"/>
                  <w:tcBorders>
                    <w:top w:val="none" w:color="000000" w:sz="4"/>
                    <w:left w:val="none" w:color="000000" w:sz="4"/>
                    <w:bottom w:val="single" w:color="000000" w:sz="4"/>
                    <w:right w:val="single" w:color="000000" w:sz="4"/>
                  </w:tcBorders>
                  <w:vAlign w:val="top"/>
                </w:tcPr>
                <w:p>
                  <w:pPr>
                    <w:jc w:val="both"/>
                  </w:pPr>
                  <w:r>
                    <w:rPr>
                      <w:sz w:val="21"/>
                    </w:rPr>
                    <w:t>支持第三方对接认证，支持对接</w:t>
                  </w:r>
                  <w:r>
                    <w:rPr>
                      <w:sz w:val="21"/>
                    </w:rPr>
                    <w:t>OAuth2.0、CAS、LDAP、Radius、HTTPS、企业微信、钉钉等第三方认证服务器。</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902"/>
                  <w:tcBorders>
                    <w:top w:val="none" w:color="000000" w:sz="4"/>
                    <w:left w:val="none" w:color="000000" w:sz="4"/>
                    <w:bottom w:val="single" w:color="000000" w:sz="4"/>
                    <w:right w:val="single" w:color="000000" w:sz="4"/>
                  </w:tcBorders>
                  <w:vAlign w:val="top"/>
                </w:tcPr>
                <w:p>
                  <w:pPr>
                    <w:jc w:val="both"/>
                  </w:pPr>
                  <w:r>
                    <w:rPr>
                      <w:sz w:val="21"/>
                    </w:rPr>
                    <w:t>仅允许信任进程访问资源，有效防止木马入侵系统后攻击服务器。</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4902"/>
                  <w:tcBorders>
                    <w:top w:val="none" w:color="000000" w:sz="4"/>
                    <w:left w:val="none" w:color="000000" w:sz="4"/>
                    <w:bottom w:val="single" w:color="000000" w:sz="4"/>
                    <w:right w:val="single" w:color="000000" w:sz="4"/>
                  </w:tcBorders>
                  <w:vAlign w:val="top"/>
                </w:tcPr>
                <w:p>
                  <w:pPr>
                    <w:jc w:val="both"/>
                  </w:pPr>
                  <w:r>
                    <w:rPr>
                      <w:sz w:val="21"/>
                    </w:rPr>
                    <w:t>支持对所有访问隧道应用的进程进行采集，采集信息包括：进程名、描述、系统平台、数字签名等基本信息，支持对各采集进程的使用人数进行统计。</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4902"/>
                  <w:tcBorders>
                    <w:top w:val="none" w:color="000000" w:sz="4"/>
                    <w:left w:val="none" w:color="000000" w:sz="4"/>
                    <w:bottom w:val="single" w:color="000000" w:sz="4"/>
                    <w:right w:val="single" w:color="000000" w:sz="4"/>
                  </w:tcBorders>
                  <w:vAlign w:val="top"/>
                </w:tcPr>
                <w:p>
                  <w:pPr>
                    <w:jc w:val="both"/>
                  </w:pPr>
                  <w:r>
                    <w:rPr>
                      <w:sz w:val="21"/>
                    </w:rPr>
                    <w:t>支持基于进程是否有合法数字签名、使用人数对进程的风险状态进行评估，以便于管理员基于风险状态判断进程是否可信。</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4902"/>
                  <w:tcBorders>
                    <w:top w:val="none" w:color="000000" w:sz="4"/>
                    <w:left w:val="none" w:color="000000" w:sz="4"/>
                    <w:bottom w:val="single" w:color="000000" w:sz="4"/>
                    <w:right w:val="single" w:color="000000" w:sz="4"/>
                  </w:tcBorders>
                  <w:vAlign w:val="top"/>
                </w:tcPr>
                <w:p>
                  <w:pPr>
                    <w:jc w:val="both"/>
                  </w:pPr>
                  <w:r>
                    <w:rPr>
                      <w:sz w:val="21"/>
                    </w:rPr>
                    <w:t>管理员可根据采集到的进程信息选择信任</w:t>
                  </w:r>
                  <w:r>
                    <w:rPr>
                      <w:sz w:val="21"/>
                    </w:rPr>
                    <w:t>/不信任。</w:t>
                  </w:r>
                </w:p>
              </w:tc>
            </w:tr>
            <w:tr>
              <w:tc>
                <w:tcPr>
                  <w:tcW w:type="dxa" w:w="696"/>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4902"/>
                  <w:tcBorders>
                    <w:top w:val="none" w:color="000000" w:sz="4"/>
                    <w:left w:val="none" w:color="000000" w:sz="4"/>
                    <w:bottom w:val="single" w:color="000000" w:sz="4"/>
                    <w:right w:val="single" w:color="000000" w:sz="4"/>
                  </w:tcBorders>
                  <w:vAlign w:val="top"/>
                </w:tcPr>
                <w:p>
                  <w:pPr>
                    <w:jc w:val="both"/>
                  </w:pPr>
                  <w:r>
                    <w:rPr>
                      <w:sz w:val="21"/>
                    </w:rPr>
                    <w:t>支持管理员自定义可信</w:t>
                  </w:r>
                  <w:r>
                    <w:rPr>
                      <w:sz w:val="21"/>
                    </w:rPr>
                    <w:t>/不可信的进程。</w:t>
                  </w:r>
                </w:p>
              </w:tc>
            </w:tr>
          </w:tbl>
          <w:p>
            <w:r>
              <w:rPr/>
              <w:t xml:space="preserve"> </w:t>
            </w:r>
          </w:p>
          <w:p>
            <w:r>
              <w:rPr>
                <w:sz w:val="21"/>
              </w:rPr>
              <w:t>10、</w:t>
            </w:r>
            <w:r>
              <w:rPr>
                <w:sz w:val="21"/>
              </w:rPr>
              <w:t>网络安全服务</w:t>
            </w:r>
          </w:p>
          <w:tbl>
            <w:tblPr>
              <w:tblBorders>
                <w:top w:val="none" w:color="000000" w:sz="4"/>
                <w:left w:val="none" w:color="000000" w:sz="4"/>
                <w:bottom w:val="none" w:color="000000" w:sz="4"/>
                <w:right w:val="none" w:color="000000" w:sz="4"/>
                <w:insideH w:val="none"/>
                <w:insideV w:val="none"/>
              </w:tblBorders>
            </w:tblPr>
            <w:tblGrid>
              <w:gridCol w:w="810"/>
              <w:gridCol w:w="4788"/>
            </w:tblGrid>
            <w:tr>
              <w:tc>
                <w:tcPr>
                  <w:tcW w:type="dxa" w:w="810"/>
                  <w:tcBorders>
                    <w:top w:val="single" w:color="000000" w:sz="4"/>
                    <w:left w:val="single" w:color="000000" w:sz="4"/>
                    <w:bottom w:val="single" w:color="000000" w:sz="4"/>
                    <w:right w:val="single" w:color="000000" w:sz="4"/>
                  </w:tcBorders>
                  <w:vAlign w:val="top"/>
                </w:tcPr>
                <w:p>
                  <w:pPr>
                    <w:jc w:val="center"/>
                  </w:pPr>
                  <w:r>
                    <w:rPr>
                      <w:b/>
                      <w:color w:val="000000"/>
                      <w:sz w:val="21"/>
                    </w:rPr>
                    <w:t>技术指标</w:t>
                  </w:r>
                </w:p>
              </w:tc>
              <w:tc>
                <w:tcPr>
                  <w:tcW w:type="dxa" w:w="4788"/>
                  <w:tcBorders>
                    <w:top w:val="single" w:color="000000" w:sz="4"/>
                    <w:left w:val="none" w:color="000000" w:sz="4"/>
                    <w:bottom w:val="single" w:color="000000" w:sz="4"/>
                    <w:right w:val="single" w:color="000000" w:sz="4"/>
                  </w:tcBorders>
                  <w:vAlign w:val="top"/>
                </w:tcPr>
                <w:p>
                  <w:pPr>
                    <w:jc w:val="center"/>
                  </w:pPr>
                  <w:r>
                    <w:rPr>
                      <w:b/>
                      <w:color w:val="000000"/>
                      <w:sz w:val="21"/>
                    </w:rPr>
                    <w:t>参数要求</w:t>
                  </w:r>
                </w:p>
              </w:tc>
            </w:tr>
            <w:tr>
              <w:tc>
                <w:tcPr>
                  <w:tcW w:type="dxa" w:w="81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4788"/>
                  <w:tcBorders>
                    <w:top w:val="none" w:color="000000" w:sz="4"/>
                    <w:left w:val="none" w:color="000000" w:sz="4"/>
                    <w:bottom w:val="single" w:color="000000" w:sz="4"/>
                    <w:right w:val="single" w:color="000000" w:sz="4"/>
                  </w:tcBorders>
                  <w:vAlign w:val="top"/>
                </w:tcPr>
                <w:p>
                  <w:pPr>
                    <w:jc w:val="left"/>
                  </w:pPr>
                  <w:r>
                    <w:rPr>
                      <w:b/>
                      <w:sz w:val="21"/>
                    </w:rPr>
                    <w:t>★针对医院信息系统进行全面的安全服务，周期一年；一年内针对核心业务系统提供7*24小时持续的安全专家服务，能够在网端对核心业务系统提供安全检测服务，并为采购人提供CISP培训及考试认证3人次；</w:t>
                  </w:r>
                  <w:r>
                    <w:rPr>
                      <w:b/>
                      <w:color w:val="000000"/>
                      <w:sz w:val="21"/>
                    </w:rPr>
                    <w:t>（需提供服务承诺函并加盖投标人公章）。</w:t>
                  </w:r>
                </w:p>
              </w:tc>
            </w:tr>
            <w:tr>
              <w:tc>
                <w:tcPr>
                  <w:tcW w:type="dxa" w:w="81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788"/>
                  <w:tcBorders>
                    <w:top w:val="none" w:color="000000" w:sz="4"/>
                    <w:left w:val="none" w:color="000000" w:sz="4"/>
                    <w:bottom w:val="single" w:color="000000" w:sz="4"/>
                    <w:right w:val="single" w:color="000000" w:sz="4"/>
                  </w:tcBorders>
                  <w:vAlign w:val="top"/>
                </w:tcPr>
                <w:p>
                  <w:pPr>
                    <w:jc w:val="both"/>
                  </w:pPr>
                  <w:r>
                    <w:rPr>
                      <w:sz w:val="21"/>
                    </w:rPr>
                    <w:t>中标人需借助安全工具对采购人资产进行识别和梳理，并在后续服务过程中根据识别的资产变化情况触发资产变更等相关服务流程，确保资产信息的准确性和全面性。</w:t>
                  </w:r>
                </w:p>
              </w:tc>
            </w:tr>
            <w:tr>
              <w:tc>
                <w:tcPr>
                  <w:tcW w:type="dxa" w:w="81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788"/>
                  <w:tcBorders>
                    <w:top w:val="none" w:color="000000" w:sz="4"/>
                    <w:left w:val="none" w:color="000000" w:sz="4"/>
                    <w:bottom w:val="single" w:color="000000" w:sz="4"/>
                    <w:right w:val="single" w:color="000000" w:sz="4"/>
                  </w:tcBorders>
                  <w:vAlign w:val="top"/>
                </w:tcPr>
                <w:p>
                  <w:pPr>
                    <w:jc w:val="both"/>
                  </w:pPr>
                  <w:r>
                    <w:rPr>
                      <w:sz w:val="21"/>
                    </w:rPr>
                    <w:t>中标人需结合安全工具发现的资产信息，首次进行服务范围内资产的全面梳理（梳理的信息包含支撑业务系统运转的操作系统、数据库、中间件、应用系统的版本、类型、</w:t>
                  </w:r>
                  <w:r>
                    <w:rPr>
                      <w:sz w:val="21"/>
                    </w:rPr>
                    <w:t>IP地址；应用开放协议和端口；应用系统管理方式、资产的重要性以及网络拓扑），并将信息录入到安全运营平台中进行管理；当资产发生变更时，安全专家对变更信息进行确认与更新。</w:t>
                  </w:r>
                </w:p>
              </w:tc>
            </w:tr>
            <w:tr>
              <w:tc>
                <w:tcPr>
                  <w:tcW w:type="dxa" w:w="81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788"/>
                  <w:tcBorders>
                    <w:top w:val="none" w:color="000000" w:sz="4"/>
                    <w:left w:val="none" w:color="000000" w:sz="4"/>
                    <w:bottom w:val="single" w:color="000000" w:sz="4"/>
                    <w:right w:val="single" w:color="000000" w:sz="4"/>
                  </w:tcBorders>
                  <w:vAlign w:val="top"/>
                </w:tcPr>
                <w:p>
                  <w:pPr>
                    <w:jc w:val="both"/>
                  </w:pPr>
                  <w:r>
                    <w:rPr>
                      <w:sz w:val="21"/>
                    </w:rPr>
                    <w:t>系统与</w:t>
                  </w:r>
                  <w:r>
                    <w:rPr>
                      <w:sz w:val="21"/>
                    </w:rPr>
                    <w:t>Web漏洞扫描：对操作系统、数据库、常见应用/协议、Web通用漏洞与常规漏洞进行漏洞扫描。</w:t>
                  </w:r>
                </w:p>
              </w:tc>
            </w:tr>
            <w:tr>
              <w:tc>
                <w:tcPr>
                  <w:tcW w:type="dxa" w:w="81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788"/>
                  <w:tcBorders>
                    <w:top w:val="none" w:color="000000" w:sz="4"/>
                    <w:left w:val="none" w:color="000000" w:sz="4"/>
                    <w:bottom w:val="single" w:color="000000" w:sz="4"/>
                    <w:right w:val="single" w:color="000000" w:sz="4"/>
                  </w:tcBorders>
                  <w:vAlign w:val="top"/>
                </w:tcPr>
                <w:p>
                  <w:pPr>
                    <w:jc w:val="both"/>
                  </w:pPr>
                  <w:r>
                    <w:rPr>
                      <w:sz w:val="21"/>
                    </w:rPr>
                    <w:t>弱口令扫描：实现信息化资产不同应用弱口令猜解检测，如：</w:t>
                  </w:r>
                  <w:r>
                    <w:rPr>
                      <w:sz w:val="21"/>
                    </w:rPr>
                    <w:t>SMB、Mssql、Mysql、Oracle、smtp、VNC、ftp、telnet、ssh、mysql、tomcat等。</w:t>
                  </w:r>
                </w:p>
              </w:tc>
            </w:tr>
            <w:tr>
              <w:tc>
                <w:tcPr>
                  <w:tcW w:type="dxa" w:w="81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788"/>
                  <w:tcBorders>
                    <w:top w:val="none" w:color="000000" w:sz="4"/>
                    <w:left w:val="none" w:color="000000" w:sz="4"/>
                    <w:bottom w:val="single" w:color="000000" w:sz="4"/>
                    <w:right w:val="single" w:color="000000" w:sz="4"/>
                  </w:tcBorders>
                  <w:vAlign w:val="top"/>
                </w:tcPr>
                <w:p>
                  <w:pPr>
                    <w:jc w:val="both"/>
                  </w:pPr>
                  <w:r>
                    <w:rPr>
                      <w:sz w:val="21"/>
                    </w:rPr>
                    <w:t>基线配置核查：检查支撑信息化业务的主机操作系统、数据库、中间件的基线配置情况，确保达到相应的安全防护要求。检查项包含但不限于帐号和口令管理、认证、授权策略、网络与服务、进程和启动、文件系统权限、访问控制等配置情况。</w:t>
                  </w:r>
                </w:p>
              </w:tc>
            </w:tr>
            <w:tr>
              <w:tc>
                <w:tcPr>
                  <w:tcW w:type="dxa" w:w="810"/>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788"/>
                  <w:tcBorders>
                    <w:top w:val="none" w:color="000000" w:sz="4"/>
                    <w:left w:val="none" w:color="000000" w:sz="4"/>
                    <w:bottom w:val="single" w:color="000000" w:sz="4"/>
                    <w:right w:val="single" w:color="000000" w:sz="4"/>
                  </w:tcBorders>
                  <w:vAlign w:val="top"/>
                </w:tcPr>
                <w:p>
                  <w:pPr>
                    <w:jc w:val="both"/>
                  </w:pPr>
                  <w:r>
                    <w:rPr>
                      <w:sz w:val="21"/>
                    </w:rPr>
                    <w:t>提供脆弱性验证服务，针对发现的脆弱性问题进行验证，验证脆弱性在已有的安全体系发生的风险及分析发生后可造成的危害。针对已经验证的脆弱性，自动生成工单，安全专家跟进修复状态，各个处理进度透明，方便采购人清晰了解当前脆弱性的处置状态，将脆弱性处理工作可视化</w:t>
                  </w:r>
                  <w:r>
                    <w:rPr>
                      <w:b/>
                      <w:sz w:val="21"/>
                    </w:rPr>
                    <w:t>（需提供印有采购项目编号的产品功能截图证明，并加盖制造商公章）。</w:t>
                  </w:r>
                </w:p>
              </w:tc>
            </w:tr>
            <w:tr>
              <w:tc>
                <w:tcPr>
                  <w:tcW w:type="dxa" w:w="810"/>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788"/>
                  <w:tcBorders>
                    <w:top w:val="none" w:color="000000" w:sz="4"/>
                    <w:left w:val="none" w:color="000000" w:sz="4"/>
                    <w:bottom w:val="single" w:color="000000" w:sz="4"/>
                    <w:right w:val="single" w:color="000000" w:sz="4"/>
                  </w:tcBorders>
                  <w:vAlign w:val="top"/>
                </w:tcPr>
                <w:p>
                  <w:pPr>
                    <w:jc w:val="both"/>
                  </w:pPr>
                  <w:r>
                    <w:rPr>
                      <w:sz w:val="21"/>
                    </w:rPr>
                    <w:t>需提供脆弱性复测措施，及时检验脆弱性真实修复情况。支持采购人可按需针对指定脆弱性问题，指定资产等小范围进行，降低脆弱性复测时的潜在影响范围</w:t>
                  </w:r>
                  <w:r>
                    <w:rPr>
                      <w:b/>
                      <w:sz w:val="21"/>
                    </w:rPr>
                    <w:t>（需提供印有采购项目编号的产品功能截图证明，并加盖制造商公章）。</w:t>
                  </w:r>
                </w:p>
              </w:tc>
            </w:tr>
            <w:tr>
              <w:tc>
                <w:tcPr>
                  <w:tcW w:type="dxa" w:w="810"/>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788"/>
                  <w:tcBorders>
                    <w:top w:val="none" w:color="000000" w:sz="4"/>
                    <w:left w:val="none" w:color="000000" w:sz="4"/>
                    <w:bottom w:val="single" w:color="000000" w:sz="4"/>
                    <w:right w:val="single" w:color="000000" w:sz="4"/>
                  </w:tcBorders>
                  <w:vAlign w:val="top"/>
                </w:tcPr>
                <w:p>
                  <w:pPr>
                    <w:jc w:val="both"/>
                  </w:pPr>
                  <w:r>
                    <w:rPr>
                      <w:sz w:val="21"/>
                    </w:rPr>
                    <w:t>中标人需每月主动分析病毒类的安全事件：提供病毒处置工具，并针对服务范围内的业务资产使用病毒处置工具进行病毒查杀，对于服务范围外的业务资产，安全专家协助用户查杀病毒。</w:t>
                  </w:r>
                </w:p>
              </w:tc>
            </w:tr>
            <w:tr>
              <w:tc>
                <w:tcPr>
                  <w:tcW w:type="dxa" w:w="810"/>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788"/>
                  <w:tcBorders>
                    <w:top w:val="none" w:color="000000" w:sz="4"/>
                    <w:left w:val="none" w:color="000000" w:sz="4"/>
                    <w:bottom w:val="single" w:color="000000" w:sz="4"/>
                    <w:right w:val="single" w:color="000000" w:sz="4"/>
                  </w:tcBorders>
                  <w:vAlign w:val="top"/>
                </w:tcPr>
                <w:p>
                  <w:pPr>
                    <w:jc w:val="both"/>
                  </w:pPr>
                  <w:r>
                    <w:rPr>
                      <w:sz w:val="21"/>
                    </w:rPr>
                    <w:t>中标人需每月主动分析攻击类的安全事件：通过攻击日志分析，发现持续性攻击，立即采取行动实时对抗，当用户无防御措施时，提供攻击类安全事件的处置建议。</w:t>
                  </w:r>
                </w:p>
              </w:tc>
            </w:tr>
          </w:tbl>
          <w:p>
            <w:r>
              <w:rPr/>
              <w:t xml:space="preserve"> </w:t>
            </w:r>
          </w:p>
          <w:p>
            <w:r>
              <w:rPr/>
              <w:t xml:space="preserve"> </w:t>
            </w:r>
          </w:p>
          <w:p>
            <w:r>
              <w:rPr/>
              <w:t xml:space="preserve"> </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中山市博爱医院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采购机构代理服务收费标准：参照国家发展计划委员会颁发的[2002]1980号文《招标代理服务收费管理暂行办法》及发改价[2011]534号文的规定下浮20%收取。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请在汇款单上写明本项目的项目名称+中标服务费）：开户银行：中国银行股份有限公司中山中山五路支行，帐号：695172408489，收款人：智林招标（广东）有限公司。</w:t>
            </w:r>
          </w:p>
          <w:p>
            <w:pPr>
              <w:jc w:val="left"/>
            </w:pPr>
            <w:r>
              <w:rPr/>
              <w:t>二、需落实的政府采购政策，1）《政府采购促进中小企业发展管理办法》（财库〔2020〕46号）；2）《关于政府采购支持监狱企业发展有关问题》（财库〔2014〕68号）；3）《关于促进残疾人就业政府采购政策的通知》（财库〔2017〕141号）；4）《关于印发环境标志产品政府 采购品目清单的通知》（财库〔2019〕18号）；5）《关于印发节能产品政府采购品目清单的通知》（财库〔2019〕19号）；6）《关于建立政府强制采购节能产品制度的通知》（国办发〔2007〕51号）；7）《关于运用政府采购政策支持脱贫攻坚的通知》（财库[2019]27号）。</w:t>
            </w:r>
          </w:p>
          <w:p>
            <w:pPr>
              <w:jc w:val="left"/>
            </w:pPr>
            <w:r>
              <w:rPr/>
              <w:t>三、采购标的对应的中小企业划分标准所属行业，软件和信息技术服务业</w:t>
            </w:r>
          </w:p>
          <w:p>
            <w:pPr>
              <w:jc w:val="left"/>
            </w:pPr>
            <w:r>
              <w:rPr/>
              <w:t>四、关于贯彻落实《中国人民银行中山市中心支行 中山市财政局 中山市经济和信息化局 中山市人民政府金融工作局关于印发的通知》的告知，1、根据《中国人民银行中山市中心支行 中山市 财政局 中山市经济和信息化局 中山市人民政府金融工作局关于印发的通知》（中人银发【2017 】82号）规定，凡通过政府采购法定程序取得我市政府采购合同的中小微企业，均可向辖区内开 展政府采购质押融资业务的银行机构申请办理融资业务。2、截至当前，辖区内开展政府采购质押融资业务的银行机构报备的联系方式如下：政府采购质押融资业务的银行机构联系人名单 序号 银行机构 经办部门 联系人 联系方式 1 中国农业发展银行中山市分行 客 户业务部邹可仕 188025 98981 信贷与风险管理部 陈小龙 15889891688 2 中国工商 银行中山分行普惠金融事业部 陈炳 菁 18928108782 普惠金融事业部 杨培鹏 15900085352 3 中国农业银行中山分行 普惠金融事 业部 赖思韵 22644682 4 广发银行中山分行 普惠 金融部 林光宇 888 62643 5 中国邮政储蓄银 行中山市分行 小企业金融部 黄嘉霖138247207 41 6 中山农村商业银 行 总行公司业务部 杜保 森 88884181 7 平安银行中山分行 普惠金融部 林晓冰 13823931817 8 兴业银行中山分行 企 业金融部 刘中芳 0760-88368666-203172 9 招商银行中山分行公司金融事业部 唐庆颖 13924 998608 10 中国光大银行中山分行 公司业 务管理部 张梓颖 076 0-88858067 11 广州银行中 山分行 公司金融部 杨顺龙 88776919 12 中信银行中山分行 普惠金融部 陈廷忠 15113386853 普惠金融部 余超贤 15918291829 13 渤海银行中山分行 公司金融部 李建夏 13631124024、0 760-87911816 分行营业部 徐艺 13928142042、0760-87911808 14 华夏银行中山分行 营 销管理部 叶怡 28137 855 15 东莞银行中山分行 业务部赵荣耀 13042854636/86939959 16 东亚银行（中国）有限公司中山支行 中山支行 王涛89986282/18926998881 17 浦发银行中山 分行 交易银行部 付涛 0760-89982303 3、中小微企业有融资需求的，可通过应收账款融资服务 平台（网址： www.crcrfsp.com）和中山市社会征信和金融服务一体化系统（网址：www.zsyt hxt.zs.gov.cn）向辖区内特定或非特定银行机构咨询并提出融资申请。4、采购人应当及时在应收账款融资服务平台（网址：www.crcrf sp.com）确认债权债务关系，支持中小微企业融资。5、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黄先生</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博爱医院网络安全等级保护整改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采购包1（中山市博爱医院网络安全等级保护整改项目）：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采购包1（中山市博爱医院网络安全等级保护整改项目）：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采购包1（中山市博爱医院网络安全等级保护整改项目）：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投标函及投标有效期</w:t>
            </w:r>
          </w:p>
        </w:tc>
        <w:tc>
          <w:tcPr>
            <w:tcW w:type="dxa" w:w="4238"/>
          </w:tcPr>
          <w:p>
            <w:r>
              <w:rPr/>
              <w:t>投标函及投标有效期符合要求（90天）。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商务要求响应情况</w:t>
            </w:r>
          </w:p>
        </w:tc>
        <w:tc>
          <w:tcPr>
            <w:tcW w:type="dxa" w:w="4238"/>
          </w:tcPr>
          <w:p>
            <w:r>
              <w:rPr/>
              <w:t>商务条款是否完全响应且无偏离。</w:t>
            </w:r>
          </w:p>
        </w:tc>
      </w:tr>
      <w:tr>
        <w:tc>
          <w:tcPr>
            <w:tcW w:type="dxa" w:w="890"/>
          </w:tcPr>
          <w:p>
            <w:r>
              <w:rPr/>
              <w:t>7</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采购包1中山市博爱医院网络安全等级保护整改项目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商务部分11.0分</w:t>
            </w:r>
          </w:p>
          <w:p>
            <w:r>
              <w:rPr/>
              <w:t>技术部分59.0分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中“具体技术(参数)要求”条款的响应情况 (45.0分)</w:t>
            </w:r>
          </w:p>
        </w:tc>
        <w:tc>
          <w:tcPr>
            <w:tcW w:type="dxa" w:w="5076"/>
          </w:tcPr>
          <w:p>
            <w:pPr>
              <w:jc w:val="left"/>
            </w:pPr>
            <w:r>
              <w:rPr/>
              <w:t>考核投标人对招标文件第二章《采购需求》中附表一“具体技术(参数)要求”中所有条款的响应程度（每条条款最小一级序号均以一项计算）： 1.完全响应技术要求的得45分； 2.“▲”条款参数每负偏离一项扣3分，本项共30分，扣完为止； 3.非“▲”条款每负偏离一项扣1分，本项共15分，扣完为止。  注：1.评审依据以投标人投标文件中《技术与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安装、检测、验收、培训计划 (4.0分)</w:t>
            </w:r>
            <w:r>
              <w:rPr/>
              <w:t>，（等次分值选择：</w:t>
            </w:r>
            <w:r>
              <w:rPr/>
              <w:t>0.0;</w:t>
            </w:r>
            <w:r>
              <w:rPr/>
              <w:t>2.0;</w:t>
            </w:r>
            <w:r>
              <w:rPr/>
              <w:t>3.0;</w:t>
            </w:r>
            <w:r>
              <w:rPr/>
              <w:t>4.0;</w:t>
            </w:r>
            <w:r>
              <w:rPr/>
              <w:t>）</w:t>
            </w:r>
          </w:p>
        </w:tc>
        <w:tc>
          <w:tcPr>
            <w:tcW w:type="dxa" w:w="5076"/>
          </w:tcPr>
          <w:p>
            <w:pPr>
              <w:jc w:val="left"/>
            </w:pPr>
            <w:r>
              <w:rPr/>
              <w:t>评委对各投标人提供的安装、检测、验收、培训计划进行评审。  1.安装、检测、验收、培训计划条理清晰，脉络分明，操作性强，人性化，能体现服务至上的售后理念，得4分；  2.安装、检测、验收、培训计划条理一般，脉络一般，操作性一般，不能体现服务至上的售后理念，得3分； 3.安装、检测、验收、培训计划条理模糊，脉络不分明，操作性差，不能体现以人为本、服务至上的售后理念，得2分； 4.未提供相关计划得0分。</w:t>
            </w:r>
          </w:p>
        </w:tc>
      </w:tr>
      <w:tr>
        <w:tc>
          <w:tcPr>
            <w:tcW w:type="dxa" w:w="922"/>
            <w:gridSpan w:val="2"/>
            <w:vMerge/>
          </w:tcPr>
          <w:p/>
        </w:tc>
        <w:tc>
          <w:tcPr>
            <w:tcW w:type="dxa" w:w="2307"/>
          </w:tcPr>
          <w:p>
            <w:pPr>
              <w:jc w:val="left"/>
            </w:pPr>
            <w:r>
              <w:rPr/>
              <w:t>总体设计方案 (4.0分)</w:t>
            </w:r>
            <w:r>
              <w:rPr/>
              <w:t>，（等次分值选择：</w:t>
            </w:r>
            <w:r>
              <w:rPr/>
              <w:t>0.0;</w:t>
            </w:r>
            <w:r>
              <w:rPr/>
              <w:t>2.0;</w:t>
            </w:r>
            <w:r>
              <w:rPr/>
              <w:t>3.0;</w:t>
            </w:r>
            <w:r>
              <w:rPr/>
              <w:t>4.0;</w:t>
            </w:r>
            <w:r>
              <w:rPr/>
              <w:t>）</w:t>
            </w:r>
          </w:p>
        </w:tc>
        <w:tc>
          <w:tcPr>
            <w:tcW w:type="dxa" w:w="5076"/>
          </w:tcPr>
          <w:p>
            <w:pPr>
              <w:jc w:val="left"/>
            </w:pPr>
            <w:r>
              <w:rPr/>
              <w:t>评委对各投标人提供的总体设计方案进行评审。 1.根据本次采购的产品，结合采购人现有的现状，提出整体规划、体系建设技术要求，整体设计方案描述清晰、方案符合或优于设计要求，得4分； 2.根据本次采购的产品，结合采购人现有的现状，提出建议方案，整体设计方案描述基本清晰、基本满足要求，得3分； 3.根据本次采购的产品，结合采购人现有的现状，提出建议方案，整体设计方案内容不够完整，设计一般、方案不能完全满足招标需求或有偏离用户的要求，得2分； 4.未提供方案得0分。</w:t>
            </w:r>
          </w:p>
        </w:tc>
      </w:tr>
      <w:tr>
        <w:tc>
          <w:tcPr>
            <w:tcW w:type="dxa" w:w="922"/>
            <w:gridSpan w:val="2"/>
            <w:vMerge/>
          </w:tcPr>
          <w:p/>
        </w:tc>
        <w:tc>
          <w:tcPr>
            <w:tcW w:type="dxa" w:w="2307"/>
          </w:tcPr>
          <w:p>
            <w:pPr>
              <w:jc w:val="left"/>
            </w:pPr>
            <w:r>
              <w:rPr/>
              <w:t>售后服务及培训服务方案 (6.0分)</w:t>
            </w:r>
            <w:r>
              <w:rPr/>
              <w:t>，（等次分值选择：</w:t>
            </w:r>
            <w:r>
              <w:rPr/>
              <w:t>0.0;</w:t>
            </w:r>
            <w:r>
              <w:rPr/>
              <w:t>2.0;</w:t>
            </w:r>
            <w:r>
              <w:rPr/>
              <w:t>4.0;</w:t>
            </w:r>
            <w:r>
              <w:rPr/>
              <w:t>6.0;</w:t>
            </w:r>
            <w:r>
              <w:rPr/>
              <w:t>）</w:t>
            </w:r>
          </w:p>
        </w:tc>
        <w:tc>
          <w:tcPr>
            <w:tcW w:type="dxa" w:w="5076"/>
          </w:tcPr>
          <w:p>
            <w:pPr>
              <w:jc w:val="left"/>
            </w:pPr>
            <w:r>
              <w:rPr/>
              <w:t>评委对各投标人售后服务及培训服务方案（含售后服务响应时间、售后服务点、售后服务人员的安排、培训辅导、售后服务计划、维护承诺等）进行评审。 1.服务响应时间满足或优于招标文件要求；有详细具体可行的保修、维护、服务、技术支持措施计划和承诺，处理问题能力强，售后及保修期内的服务方案优；得 6 分； 2.服务响应时间满足招标文件要求；有较详细具体可行的保修、维护、服务、技术支持措施计划和承诺，处理问题能力较强，售后及保修期内的服务方案良好；得4分； 3.服务响应时间满足招标文件要求；保修、维护、服务、技术支持措施计划和承诺可行性一般，处理问题能力一般，售后及保修期内的服务方案一般；得2 分； 4.服务响应时间未能满足招标文件要求；保修、维护、服务、技术支持措施计划和承诺不太可行，处理问题能力差，售后及保修期内的服务方案不够具体或未提供方案得0 分。</w:t>
            </w:r>
          </w:p>
        </w:tc>
      </w:tr>
      <w:tr>
        <w:tc>
          <w:tcPr>
            <w:tcW w:type="dxa" w:w="922"/>
            <w:gridSpan w:val="2"/>
            <w:vMerge w:val="restart"/>
          </w:tcPr>
          <w:p>
            <w:pPr>
              <w:jc w:val="center"/>
            </w:pPr>
            <w:r>
              <w:rPr/>
              <w:t>商务部分</w:t>
            </w:r>
          </w:p>
        </w:tc>
        <w:tc>
          <w:tcPr>
            <w:tcW w:type="dxa" w:w="2307"/>
          </w:tcPr>
          <w:p>
            <w:pPr>
              <w:jc w:val="left"/>
            </w:pPr>
            <w:r>
              <w:rPr/>
              <w:t>企业认证 (2.0分)</w:t>
            </w:r>
          </w:p>
        </w:tc>
        <w:tc>
          <w:tcPr>
            <w:tcW w:type="dxa" w:w="5076"/>
          </w:tcPr>
          <w:p>
            <w:pPr>
              <w:jc w:val="left"/>
            </w:pPr>
            <w:r>
              <w:rPr/>
              <w:t>1.投标人具有有效的信息安全管理体系认证，得1分； 2.投标人具有有效的信息安全服务资质认证（三级或三级以上资质），得1分。 注：须提供相关证书复印件或扫描件并加盖公章，不提供不得分。</w:t>
            </w:r>
          </w:p>
        </w:tc>
      </w:tr>
      <w:tr>
        <w:tc>
          <w:tcPr>
            <w:tcW w:type="dxa" w:w="922"/>
            <w:gridSpan w:val="2"/>
            <w:vMerge/>
          </w:tcPr>
          <w:p/>
        </w:tc>
        <w:tc>
          <w:tcPr>
            <w:tcW w:type="dxa" w:w="2307"/>
          </w:tcPr>
          <w:p>
            <w:pPr>
              <w:jc w:val="left"/>
            </w:pPr>
            <w:r>
              <w:rPr/>
              <w:t>投标人技术实力 (7.0分)</w:t>
            </w:r>
          </w:p>
        </w:tc>
        <w:tc>
          <w:tcPr>
            <w:tcW w:type="dxa" w:w="5076"/>
          </w:tcPr>
          <w:p>
            <w:pPr>
              <w:jc w:val="left"/>
            </w:pPr>
            <w:r>
              <w:rPr/>
              <w:t>1.拟投入本项目的技术人员具有所投核心产品厂家的相关技术认证，每提供一人得1分，本项最多得3分； 2.拟投入本项目的技术人员具有所投产品厂家的安全服务认证资质，每提供一人得1分，本项最多得1分； 3.拟投入本项目的技术人员具有国家信息安全认证中心颁发的信息安全保障人员CISAW认证证书，每提供一人得1分，本项最多得2分； 4.拟投入本项目的技术人员具有注册信息安全工程师CISP认证证书，每提供一人得0.5分，本项最多得1分。 注：1.提供上述证书复印件或扫描件、证书持有人身份证复印件或扫描件。 2.同一人员提供多个不相同类型证书的可分别根据对应项得分。 3.投标人提供为其购买2022年1月至开标当月任意一个月的参保证明复印件或扫描件或承诺中标后满足参保要求。 4.未按要求提供的不得分。</w:t>
            </w:r>
          </w:p>
        </w:tc>
      </w:tr>
      <w:tr>
        <w:tc>
          <w:tcPr>
            <w:tcW w:type="dxa" w:w="922"/>
            <w:gridSpan w:val="2"/>
            <w:vMerge/>
          </w:tcPr>
          <w:p/>
        </w:tc>
        <w:tc>
          <w:tcPr>
            <w:tcW w:type="dxa" w:w="2307"/>
          </w:tcPr>
          <w:p>
            <w:pPr>
              <w:jc w:val="left"/>
            </w:pPr>
            <w:r>
              <w:rPr/>
              <w:t>用户评价 (2.0分)</w:t>
            </w:r>
          </w:p>
        </w:tc>
        <w:tc>
          <w:tcPr>
            <w:tcW w:type="dxa" w:w="5076"/>
          </w:tcPr>
          <w:p>
            <w:pPr>
              <w:jc w:val="left"/>
            </w:pPr>
            <w:r>
              <w:rPr/>
              <w:t>根据投标人2019年1月1日后有效同类项目业绩情况，每提供一项评价结果为“优”或“满意”或同等级别的评价证明材料，得0.5分，本项最高2分。  注：1.提供对应项目的服务评价证明材料复印件或扫描件（需客户单位盖章）逐一附在以上业绩合同后作为评审依据。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rPr>
          <w:b/>
          <w:sz w:val="24"/>
        </w:rPr>
        <w:t>（仅供参考，双方在签订合同时可根据实际情况作相应修改）</w:t>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jc w:val="both"/>
      </w:pPr>
      <w:r>
        <w:rPr>
          <w:b/>
          <w:sz w:val="27"/>
        </w:rPr>
        <w:t>一、</w:t>
      </w:r>
      <w:r>
        <w:rPr>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sz w:val="24"/>
              </w:rPr>
              <w:t>名称</w:t>
            </w:r>
          </w:p>
        </w:tc>
        <w:tc>
          <w:tcPr>
            <w:tcW w:type="dxa" w:w="3516"/>
            <w:tcBorders>
              <w:top w:val="single" w:color="CCCCCC" w:sz="4"/>
              <w:bottom w:val="single" w:color="CCCCCC" w:sz="8"/>
              <w:right w:val="single" w:color="CCCCCC" w:sz="4"/>
            </w:tcBorders>
            <w:vAlign w:val="center"/>
          </w:tcPr>
          <w:p>
            <w:pPr>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vAlign w:val="center"/>
          </w:tcPr>
          <w:p>
            <w:pPr>
              <w:jc w:val="both"/>
            </w:pPr>
            <w:r>
              <w:rPr>
                <w:sz w:val="24"/>
              </w:rPr>
              <w:t>产地</w:t>
            </w:r>
          </w:p>
        </w:tc>
        <w:tc>
          <w:tcPr>
            <w:tcW w:type="dxa" w:w="470"/>
            <w:tcBorders>
              <w:top w:val="single" w:color="CCCCCC" w:sz="4"/>
              <w:bottom w:val="single" w:color="CCCCCC" w:sz="8"/>
              <w:right w:val="single" w:color="CCCCCC" w:sz="4"/>
            </w:tcBorders>
            <w:vAlign w:val="center"/>
          </w:tcPr>
          <w:p>
            <w:pPr>
              <w:jc w:val="center"/>
            </w:pPr>
            <w:r>
              <w:rPr>
                <w:sz w:val="24"/>
              </w:rPr>
              <w:t>数量</w:t>
            </w:r>
          </w:p>
        </w:tc>
        <w:tc>
          <w:tcPr>
            <w:tcW w:type="dxa" w:w="470"/>
            <w:tcBorders>
              <w:top w:val="single" w:color="CCCCCC" w:sz="4"/>
              <w:bottom w:val="single" w:color="CCCCCC" w:sz="8"/>
              <w:right w:val="single" w:color="CCCCCC" w:sz="4"/>
            </w:tcBorders>
            <w:vAlign w:val="center"/>
          </w:tcPr>
          <w:p>
            <w:pPr>
              <w:jc w:val="center"/>
            </w:pPr>
            <w:r>
              <w:rPr>
                <w:sz w:val="24"/>
              </w:rPr>
              <w:t>单位</w:t>
            </w:r>
          </w:p>
        </w:tc>
        <w:tc>
          <w:tcPr>
            <w:tcW w:type="dxa" w:w="705"/>
            <w:tcBorders>
              <w:top w:val="single" w:color="CCCCCC" w:sz="4"/>
              <w:bottom w:val="single" w:color="CCCCCC" w:sz="8"/>
              <w:right w:val="single" w:color="CCCCCC" w:sz="4"/>
            </w:tcBorders>
            <w:vAlign w:val="center"/>
          </w:tcPr>
          <w:p>
            <w:pPr>
              <w:jc w:val="center"/>
            </w:pPr>
            <w:r>
              <w:rPr>
                <w:sz w:val="24"/>
              </w:rPr>
              <w:t>单价</w:t>
            </w:r>
          </w:p>
          <w:p>
            <w:pPr>
              <w:jc w:val="center"/>
            </w:pPr>
            <w:r>
              <w:rPr>
                <w:sz w:val="24"/>
              </w:rPr>
              <w:t>（元）</w:t>
            </w:r>
          </w:p>
        </w:tc>
        <w:tc>
          <w:tcPr>
            <w:tcW w:type="dxa" w:w="705"/>
            <w:tcBorders>
              <w:top w:val="single" w:color="CCCCCC" w:sz="4"/>
              <w:bottom w:val="single" w:color="CCCCCC" w:sz="8"/>
              <w:right w:val="single" w:color="CCCCCC" w:sz="4"/>
            </w:tcBorders>
            <w:vAlign w:val="center"/>
          </w:tcPr>
          <w:p>
            <w:pPr>
              <w:jc w:val="center"/>
            </w:pPr>
            <w:r>
              <w:rPr>
                <w:sz w:val="24"/>
              </w:rPr>
              <w:t>金额</w:t>
            </w:r>
          </w:p>
          <w:p>
            <w:pPr>
              <w:jc w:val="center"/>
            </w:pPr>
            <w:r>
              <w:rPr>
                <w:sz w:val="24"/>
              </w:rPr>
              <w:t>（元）</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r>
              <w:rPr>
                <w:sz w:val="24"/>
              </w:rPr>
              <w:t>**</w:t>
            </w:r>
          </w:p>
        </w:tc>
        <w:tc>
          <w:tcPr>
            <w:tcW w:type="dxa" w:w="3516"/>
            <w:tcBorders>
              <w:bottom w:val="single" w:color="CCCCCC" w:sz="4"/>
              <w:right w:val="single" w:color="CCCCCC" w:sz="4"/>
            </w:tcBorders>
            <w:vAlign w:val="center"/>
          </w:tcPr>
          <w:p>
            <w:pPr>
              <w:jc w:val="center"/>
            </w:pPr>
            <w:r>
              <w:rPr>
                <w:sz w:val="24"/>
              </w:rPr>
              <w:t>**</w:t>
            </w:r>
            <w:r>
              <w:rPr>
                <w:sz w:val="24"/>
              </w:rPr>
              <w:t xml:space="preserve"> </w:t>
            </w:r>
          </w:p>
        </w:tc>
        <w:tc>
          <w:tcPr>
            <w:tcW w:type="dxa" w:w="696"/>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r>
              <w:rPr>
                <w:sz w:val="24"/>
              </w:rPr>
              <w:t>**</w:t>
            </w:r>
          </w:p>
        </w:tc>
        <w:tc>
          <w:tcPr>
            <w:tcW w:type="dxa" w:w="705"/>
            <w:tcBorders>
              <w:bottom w:val="single" w:color="CCCCCC" w:sz="4"/>
              <w:right w:val="single" w:color="CCCCCC" w:sz="4"/>
            </w:tcBorders>
            <w:vAlign w:val="center"/>
          </w:tcPr>
          <w:p>
            <w:pPr>
              <w:jc w:val="center"/>
            </w:pPr>
            <w:r>
              <w:rPr>
                <w:sz w:val="24"/>
              </w:rPr>
              <w:t>**</w:t>
            </w: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sz w:val="24"/>
              </w:rPr>
              <w:t>合计：人民币大写：**元整</w:t>
            </w:r>
          </w:p>
        </w:tc>
        <w:tc>
          <w:tcPr>
            <w:tcW w:type="dxa" w:w="705"/>
            <w:tcBorders>
              <w:bottom w:val="single" w:color="CCCCCC" w:sz="4"/>
              <w:right w:val="single" w:color="CCCCCC" w:sz="4"/>
            </w:tcBorders>
            <w:vAlign w:val="center"/>
          </w:tcPr>
          <w:p>
            <w:pPr>
              <w:jc w:val="center"/>
            </w:pPr>
            <w:r>
              <w:rPr>
                <w:sz w:val="24"/>
              </w:rPr>
              <w:t>￥：**</w:t>
            </w:r>
          </w:p>
        </w:tc>
      </w:tr>
      <w:tr>
        <w:tc>
          <w:tcPr>
            <w:tcW w:type="dxa" w:w="696"/>
            <w:tcBorders>
              <w:top w:val="none" w:color="000000" w:sz="4"/>
              <w:left w:val="none" w:color="000000" w:sz="4"/>
              <w:bottom w:val="none" w:color="000000" w:sz="4"/>
              <w:right w:val="none" w:color="000000" w:sz="4"/>
            </w:tcBorders>
          </w:tcPr>
          <w:p>
            <w:r>
              <w:rPr/>
              <w:t xml:space="preserve"> </w:t>
            </w:r>
          </w:p>
        </w:tc>
        <w:tc>
          <w:tcPr>
            <w:tcW w:type="dxa" w:w="3516"/>
            <w:tcBorders>
              <w:top w:val="none" w:color="000000" w:sz="4"/>
              <w:left w:val="none" w:color="000000" w:sz="4"/>
              <w:bottom w:val="none" w:color="000000" w:sz="4"/>
              <w:right w:val="none" w:color="000000" w:sz="4"/>
            </w:tcBorders>
          </w:tcPr>
          <w:p>
            <w:r>
              <w:rPr/>
              <w:t xml:space="preserve"> </w:t>
            </w:r>
          </w:p>
        </w:tc>
        <w:tc>
          <w:tcPr>
            <w:tcW w:type="dxa" w:w="696"/>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r>
    </w:tbl>
    <w:p>
      <w:pPr>
        <w:jc w:val="both"/>
      </w:pPr>
      <w:r>
        <w:rPr>
          <w:sz w:val="32"/>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w:t>
      </w:r>
      <w:r>
        <w:rPr>
          <w:b/>
          <w:sz w:val="27"/>
        </w:rPr>
        <w:t>合同金额</w:t>
      </w:r>
    </w:p>
    <w:p>
      <w:pPr>
        <w:jc w:val="both"/>
      </w:pPr>
      <w:r>
        <w:rPr>
          <w:sz w:val="27"/>
        </w:rPr>
        <w:t>合同金额为（大写）：_________________元（￥_______________元）人民币。</w:t>
      </w:r>
    </w:p>
    <w:p>
      <w:pPr>
        <w:jc w:val="both"/>
      </w:pPr>
      <w:r>
        <w:rPr>
          <w:b/>
          <w:sz w:val="27"/>
        </w:rPr>
        <w:t>三、</w:t>
      </w:r>
      <w:r>
        <w:rPr>
          <w:b/>
          <w:sz w:val="27"/>
        </w:rPr>
        <w:t>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w:t>
      </w:r>
      <w:r>
        <w:rPr>
          <w:b/>
          <w:sz w:val="27"/>
        </w:rPr>
        <w:t>交货期、交货方式及交货地点</w:t>
      </w:r>
    </w:p>
    <w:p>
      <w:pPr>
        <w:jc w:val="both"/>
      </w:pPr>
      <w:r>
        <w:rPr>
          <w:sz w:val="27"/>
        </w:rPr>
        <w:t xml:space="preserve">       </w:t>
      </w:r>
      <w:r>
        <w:rPr>
          <w:sz w:val="27"/>
        </w:rPr>
        <w:t>1.</w:t>
      </w:r>
      <w:r>
        <w:rPr>
          <w:sz w:val="27"/>
        </w:rPr>
        <w:t>交货期：</w:t>
      </w:r>
    </w:p>
    <w:p>
      <w:pPr>
        <w:jc w:val="both"/>
      </w:pPr>
      <w:r>
        <w:rPr>
          <w:sz w:val="27"/>
        </w:rPr>
        <w:t xml:space="preserve">       </w:t>
      </w:r>
      <w:r>
        <w:rPr>
          <w:sz w:val="27"/>
        </w:rPr>
        <w:t>2.</w:t>
      </w:r>
      <w:r>
        <w:rPr>
          <w:sz w:val="27"/>
        </w:rPr>
        <w:t>交货方式：</w:t>
      </w:r>
    </w:p>
    <w:p>
      <w:pPr>
        <w:jc w:val="both"/>
      </w:pPr>
      <w:r>
        <w:rPr>
          <w:sz w:val="27"/>
        </w:rPr>
        <w:t xml:space="preserve">       </w:t>
      </w:r>
      <w:r>
        <w:rPr>
          <w:sz w:val="27"/>
        </w:rPr>
        <w:t>3.</w:t>
      </w:r>
      <w:r>
        <w:rPr>
          <w:sz w:val="27"/>
        </w:rPr>
        <w:t>交货地点：</w:t>
      </w:r>
    </w:p>
    <w:p>
      <w:pPr>
        <w:jc w:val="both"/>
      </w:pPr>
      <w:r>
        <w:rPr>
          <w:b/>
          <w:sz w:val="27"/>
        </w:rPr>
        <w:t>五、</w:t>
      </w:r>
      <w:r>
        <w:rPr>
          <w:b/>
          <w:sz w:val="27"/>
        </w:rPr>
        <w:t>付款方式</w:t>
      </w:r>
    </w:p>
    <w:p>
      <w:pPr>
        <w:jc w:val="both"/>
      </w:pPr>
    </w:p>
    <w:p>
      <w:r>
        <w:rPr>
          <w:sz w:val="27"/>
        </w:rPr>
        <w:t xml:space="preserve">1.       </w:t>
      </w:r>
      <w:r>
        <w:rPr>
          <w:sz w:val="27"/>
        </w:rPr>
        <w:t>合同设备到</w:t>
      </w:r>
      <w:r>
        <w:rPr>
          <w:sz w:val="27"/>
        </w:rPr>
        <w:t>甲方</w:t>
      </w:r>
      <w:r>
        <w:rPr>
          <w:sz w:val="27"/>
        </w:rPr>
        <w:t>指定地点交付，</w:t>
      </w:r>
      <w:r>
        <w:rPr>
          <w:sz w:val="27"/>
        </w:rPr>
        <w:t>甲方</w:t>
      </w:r>
      <w:r>
        <w:rPr>
          <w:sz w:val="27"/>
        </w:rPr>
        <w:t>收到</w:t>
      </w:r>
      <w:r>
        <w:rPr>
          <w:sz w:val="27"/>
        </w:rPr>
        <w:t>乙方</w:t>
      </w:r>
      <w:r>
        <w:rPr>
          <w:sz w:val="27"/>
        </w:rPr>
        <w:t>提交的付款申请资料后，一个月内支付合同总金额的</w:t>
      </w:r>
      <w:r>
        <w:rPr>
          <w:sz w:val="27"/>
        </w:rPr>
        <w:t>40%</w:t>
      </w:r>
      <w:r>
        <w:rPr>
          <w:sz w:val="27"/>
        </w:rPr>
        <w:t>。</w:t>
      </w:r>
    </w:p>
    <w:p>
      <w:r>
        <w:rPr>
          <w:sz w:val="27"/>
        </w:rPr>
        <w:t xml:space="preserve">2.        </w:t>
      </w:r>
      <w:r>
        <w:rPr>
          <w:sz w:val="27"/>
        </w:rPr>
        <w:t>合同设备完成安装、调试，项目最终合格，</w:t>
      </w:r>
      <w:r>
        <w:rPr>
          <w:sz w:val="27"/>
        </w:rPr>
        <w:t>甲方</w:t>
      </w:r>
      <w:r>
        <w:rPr>
          <w:sz w:val="27"/>
        </w:rPr>
        <w:t>收到</w:t>
      </w:r>
      <w:r>
        <w:rPr>
          <w:sz w:val="27"/>
        </w:rPr>
        <w:t>乙方</w:t>
      </w:r>
      <w:r>
        <w:rPr>
          <w:sz w:val="27"/>
        </w:rPr>
        <w:t>提交的付款申请资料后，六个月内支付合同总金额的</w:t>
      </w:r>
      <w:r>
        <w:rPr>
          <w:sz w:val="27"/>
        </w:rPr>
        <w:t>50%</w:t>
      </w:r>
      <w:r>
        <w:rPr>
          <w:sz w:val="27"/>
        </w:rPr>
        <w:t>。</w:t>
      </w:r>
    </w:p>
    <w:p>
      <w:r>
        <w:rPr>
          <w:sz w:val="27"/>
        </w:rPr>
        <w:t xml:space="preserve">3.         </w:t>
      </w:r>
      <w:r>
        <w:rPr>
          <w:sz w:val="27"/>
        </w:rPr>
        <w:t>本项目硬件验收一年后，</w:t>
      </w:r>
      <w:r>
        <w:rPr>
          <w:sz w:val="27"/>
        </w:rPr>
        <w:t>乙方</w:t>
      </w:r>
      <w:r>
        <w:rPr>
          <w:sz w:val="27"/>
        </w:rPr>
        <w:t>完成一年的网络安全服务，</w:t>
      </w:r>
      <w:r>
        <w:rPr>
          <w:sz w:val="27"/>
        </w:rPr>
        <w:t>甲方</w:t>
      </w:r>
      <w:r>
        <w:rPr>
          <w:sz w:val="27"/>
        </w:rPr>
        <w:t>收到</w:t>
      </w:r>
      <w:r>
        <w:rPr>
          <w:sz w:val="27"/>
        </w:rPr>
        <w:t>乙方</w:t>
      </w:r>
      <w:r>
        <w:rPr>
          <w:sz w:val="27"/>
        </w:rPr>
        <w:t>提交的付款申请资料后，一个月内支付合同总金额的</w:t>
      </w:r>
      <w:r>
        <w:rPr>
          <w:sz w:val="27"/>
        </w:rPr>
        <w:t>10%</w:t>
      </w:r>
      <w:r>
        <w:rPr>
          <w:sz w:val="27"/>
        </w:rPr>
        <w:t>。</w:t>
      </w:r>
    </w:p>
    <w:p>
      <w:r>
        <w:rPr>
          <w:sz w:val="27"/>
        </w:rPr>
        <w:t>说明：</w:t>
      </w:r>
      <w:r>
        <w:rPr>
          <w:sz w:val="27"/>
        </w:rPr>
        <w:t>甲方</w:t>
      </w:r>
      <w:r>
        <w:rPr>
          <w:sz w:val="27"/>
        </w:rPr>
        <w:t>凭以下有效文件采用转账方式向</w:t>
      </w:r>
      <w:r>
        <w:rPr>
          <w:sz w:val="27"/>
        </w:rPr>
        <w:t>乙方</w:t>
      </w:r>
      <w:r>
        <w:rPr>
          <w:sz w:val="27"/>
        </w:rPr>
        <w:t>支付：</w:t>
      </w:r>
      <w:r>
        <w:rPr>
          <w:sz w:val="27"/>
        </w:rPr>
        <w:t>(1)</w:t>
      </w:r>
      <w:r>
        <w:rPr>
          <w:sz w:val="27"/>
        </w:rPr>
        <w:t>中标通知书及合同；</w:t>
      </w:r>
      <w:r>
        <w:rPr>
          <w:sz w:val="27"/>
        </w:rPr>
        <w:t>(2)</w:t>
      </w:r>
      <w:r>
        <w:rPr>
          <w:sz w:val="27"/>
        </w:rPr>
        <w:t>验收合格报告</w:t>
      </w:r>
      <w:r>
        <w:rPr>
          <w:sz w:val="27"/>
        </w:rPr>
        <w:t>(</w:t>
      </w:r>
      <w:r>
        <w:rPr>
          <w:sz w:val="27"/>
        </w:rPr>
        <w:t>加盖</w:t>
      </w:r>
      <w:r>
        <w:rPr>
          <w:sz w:val="27"/>
        </w:rPr>
        <w:t>甲方</w:t>
      </w:r>
      <w:r>
        <w:rPr>
          <w:sz w:val="27"/>
        </w:rPr>
        <w:t>公章</w:t>
      </w:r>
      <w:r>
        <w:rPr>
          <w:sz w:val="27"/>
        </w:rPr>
        <w:t>)</w:t>
      </w:r>
      <w:r>
        <w:rPr>
          <w:sz w:val="27"/>
        </w:rPr>
        <w:t>；</w:t>
      </w:r>
      <w:r>
        <w:rPr>
          <w:sz w:val="27"/>
        </w:rPr>
        <w:t>(3)</w:t>
      </w:r>
      <w:r>
        <w:rPr>
          <w:sz w:val="27"/>
        </w:rPr>
        <w:t>乙方</w:t>
      </w:r>
      <w:r>
        <w:rPr>
          <w:sz w:val="27"/>
        </w:rPr>
        <w:t>开具的当次应收款项等额正式发票。</w:t>
      </w:r>
    </w:p>
    <w:p>
      <w:r>
        <w:rPr>
          <w:sz w:val="27"/>
        </w:rPr>
        <w:t>4.         履约保证金：</w:t>
      </w:r>
      <w:r>
        <w:rPr>
          <w:sz w:val="27"/>
        </w:rPr>
        <w:t>甲方</w:t>
      </w:r>
      <w:r>
        <w:rPr>
          <w:sz w:val="27"/>
        </w:rPr>
        <w:t>在支付货款前10个工作日内需收到乙方中标金额5%的履约保证金；3年免费运维服务期满后，经考核合格，履约保证金于30个工作日内无息退还。</w:t>
      </w:r>
    </w:p>
    <w:p>
      <w:pPr>
        <w:jc w:val="both"/>
      </w:pPr>
    </w:p>
    <w:p>
      <w:pPr>
        <w:jc w:val="both"/>
      </w:pPr>
      <w:r>
        <w:rPr>
          <w:b/>
          <w:sz w:val="27"/>
        </w:rPr>
        <w:t>六、</w:t>
      </w:r>
      <w:r>
        <w:rPr>
          <w:b/>
          <w:sz w:val="27"/>
        </w:rPr>
        <w:t>质保期及售后服务要求</w:t>
      </w:r>
    </w:p>
    <w:p>
      <w:pPr>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jc w:val="both"/>
      </w:pPr>
      <w:r>
        <w:rPr>
          <w:sz w:val="27"/>
        </w:rPr>
        <w:t>2.</w:t>
      </w:r>
      <w:r>
        <w:rPr>
          <w:sz w:val="27"/>
        </w:rPr>
        <w:t>质保期内，如设备或零部件因质量原因出现故障而造成短期停用时，则质保期和免费维修期相应顺延。如停用时间累计超过60天则质保期重新计算。</w:t>
      </w:r>
    </w:p>
    <w:p>
      <w:pPr>
        <w:jc w:val="both"/>
      </w:pPr>
      <w:r>
        <w:rPr>
          <w:sz w:val="27"/>
        </w:rPr>
        <w:t xml:space="preserve">3.     </w:t>
      </w:r>
      <w:r>
        <w:rPr>
          <w:sz w:val="27"/>
        </w:rPr>
        <w:t>乙方</w:t>
      </w:r>
      <w:r>
        <w:rPr>
          <w:sz w:val="27"/>
        </w:rPr>
        <w:t>须在30分钟内对</w:t>
      </w:r>
      <w:r>
        <w:rPr>
          <w:sz w:val="27"/>
        </w:rPr>
        <w:t>甲方</w:t>
      </w:r>
      <w:r>
        <w:rPr>
          <w:sz w:val="27"/>
        </w:rPr>
        <w:t>提出的需求做出响应，</w:t>
      </w:r>
      <w:r>
        <w:rPr>
          <w:sz w:val="27"/>
        </w:rPr>
        <w:t>乙方</w:t>
      </w:r>
      <w:r>
        <w:rPr>
          <w:sz w:val="27"/>
        </w:rPr>
        <w:t>承诺在接到</w:t>
      </w:r>
      <w:r>
        <w:rPr>
          <w:sz w:val="27"/>
        </w:rPr>
        <w:t>甲方</w:t>
      </w:r>
      <w:r>
        <w:rPr>
          <w:sz w:val="27"/>
        </w:rPr>
        <w:t>的故障通知后2小时内到达现场，4小时内处理完毕。若故障严重不能在现场处理需送到公司维修的，需提供备用设备；</w:t>
      </w:r>
    </w:p>
    <w:p>
      <w:pPr>
        <w:jc w:val="both"/>
      </w:pPr>
      <w:r>
        <w:rPr>
          <w:b/>
          <w:sz w:val="27"/>
        </w:rPr>
        <w:t>七、</w:t>
      </w:r>
      <w:r>
        <w:rPr>
          <w:b/>
          <w:sz w:val="27"/>
        </w:rPr>
        <w:t>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w:t>
      </w:r>
      <w:r>
        <w:rPr>
          <w:b/>
          <w:sz w:val="27"/>
        </w:rPr>
        <w:t>验收：</w:t>
      </w:r>
    </w:p>
    <w:p>
      <w:pPr>
        <w:jc w:val="both"/>
      </w:pPr>
      <w:r>
        <w:rPr>
          <w:sz w:val="27"/>
        </w:rPr>
        <w:t>1.     乙方应给出项目详细的验收方案，包括验收项目、验收标准，验收实施办法等；</w:t>
      </w:r>
    </w:p>
    <w:p>
      <w:pPr>
        <w:jc w:val="both"/>
      </w:pPr>
      <w:r>
        <w:rPr>
          <w:sz w:val="27"/>
        </w:rPr>
        <w:t>2.     设备交货及安装完工后由乙方和甲方共同验收，并出具验收报告, 乙方须为验收提 供必需的设备、工具及其他便利条件；</w:t>
      </w:r>
    </w:p>
    <w:p>
      <w:pPr>
        <w:jc w:val="both"/>
      </w:pPr>
      <w:r>
        <w:rPr>
          <w:sz w:val="27"/>
        </w:rPr>
        <w:t>3.     验收由甲方、乙方及相关人员依国家有关标准、合同及有关附件要求进行；</w:t>
      </w:r>
    </w:p>
    <w:p>
      <w:pPr>
        <w:jc w:val="both"/>
      </w:pPr>
      <w:r>
        <w:rPr>
          <w:sz w:val="27"/>
        </w:rPr>
        <w:t>4.     验收完毕由甲方及乙方在验收报告上签名。</w:t>
      </w:r>
    </w:p>
    <w:p>
      <w:pPr>
        <w:jc w:val="both"/>
      </w:pPr>
      <w:r>
        <w:rPr>
          <w:b/>
          <w:sz w:val="27"/>
        </w:rPr>
        <w:t>九、</w:t>
      </w:r>
      <w:r>
        <w:rPr>
          <w:b/>
          <w:sz w:val="27"/>
        </w:rPr>
        <w:t>违约责任与赔偿损失</w:t>
      </w:r>
    </w:p>
    <w:p>
      <w:pPr>
        <w:jc w:val="both"/>
      </w:pPr>
      <w:r>
        <w:rPr>
          <w:sz w:val="27"/>
        </w:rPr>
        <w:t>1.</w:t>
      </w:r>
      <w:r>
        <w:rPr>
          <w:sz w:val="27"/>
        </w:rPr>
        <w:t>乙方交付的货物、工程/提供的服务不符合本合同规定的，甲方有权拒收，并且乙方须向甲方支付本合同总价5%的违约金。</w:t>
      </w:r>
    </w:p>
    <w:p>
      <w:pPr>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7"/>
        </w:rPr>
        <w:t xml:space="preserve">       </w:t>
      </w:r>
      <w:r>
        <w:rPr>
          <w:sz w:val="27"/>
          <w:u w:val="single"/>
        </w:rPr>
        <w:t xml:space="preserve">                                                </w:t>
      </w:r>
    </w:p>
    <w:p>
      <w:pPr>
        <w:jc w:val="both"/>
      </w:pPr>
      <w:r>
        <w:rPr>
          <w:sz w:val="27"/>
        </w:rPr>
        <w:t>5.</w:t>
      </w:r>
      <w:r>
        <w:rPr>
          <w:sz w:val="27"/>
        </w:rPr>
        <w:t>其它违约责任按《中华人民</w:t>
      </w:r>
      <w:r>
        <w:rPr>
          <w:sz w:val="27"/>
        </w:rPr>
        <w:t>共和国民法典(合同编)》处理。</w:t>
      </w:r>
    </w:p>
    <w:p>
      <w:pPr>
        <w:jc w:val="both"/>
      </w:pPr>
      <w:r>
        <w:rPr>
          <w:b/>
          <w:sz w:val="27"/>
        </w:rPr>
        <w:t>十、</w:t>
      </w:r>
      <w:r>
        <w:rPr>
          <w:b/>
          <w:sz w:val="27"/>
        </w:rPr>
        <w:t>争议的解决</w:t>
      </w:r>
      <w:r>
        <w:rPr>
          <w:sz w:val="27"/>
        </w:rPr>
        <w:t xml:space="preserve">  合同执行过程中发生的任何争议，如双方不能通过友好协商解决，按相关法律法规处理。</w:t>
      </w:r>
    </w:p>
    <w:p>
      <w:pPr>
        <w:jc w:val="both"/>
      </w:pPr>
      <w:r>
        <w:rPr>
          <w:b/>
          <w:sz w:val="27"/>
        </w:rPr>
        <w:t>十一、不可抗力</w:t>
      </w:r>
    </w:p>
    <w:p>
      <w:pPr>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w:t>
      </w:r>
      <w:r>
        <w:rPr>
          <w:b/>
          <w:sz w:val="27"/>
        </w:rPr>
        <w:t>税费</w:t>
      </w:r>
    </w:p>
    <w:p>
      <w:pPr>
        <w:jc w:val="both"/>
      </w:pPr>
      <w:r>
        <w:rPr>
          <w:sz w:val="27"/>
        </w:rPr>
        <w:t>1.</w:t>
      </w:r>
      <w:r>
        <w:rPr>
          <w:sz w:val="27"/>
        </w:rPr>
        <w:t>在中国境内、外发生的与本合同执行有关的一切税费均由乙方负担。</w:t>
      </w:r>
    </w:p>
    <w:p>
      <w:pPr>
        <w:jc w:val="both"/>
      </w:pPr>
      <w:r>
        <w:rPr>
          <w:b/>
          <w:sz w:val="27"/>
        </w:rPr>
        <w:t>十三、</w:t>
      </w:r>
      <w:r>
        <w:rPr>
          <w:sz w:val="27"/>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sz w:val="27"/>
        </w:rPr>
        <w:t xml:space="preserve">     </w:t>
      </w:r>
      <w:r>
        <w:rPr>
          <w:b/>
          <w:sz w:val="27"/>
        </w:rPr>
        <w:t>合同生效</w:t>
      </w:r>
    </w:p>
    <w:p>
      <w:pPr>
        <w:jc w:val="both"/>
      </w:pPr>
    </w:p>
    <w:p>
      <w:pPr>
        <w:jc w:val="both"/>
      </w:pPr>
      <w:r>
        <w:rPr>
          <w:sz w:val="27"/>
        </w:rPr>
        <w:t xml:space="preserve">1.      </w:t>
      </w:r>
      <w:r>
        <w:rPr>
          <w:sz w:val="27"/>
        </w:rPr>
        <w:t>本合同正本</w:t>
      </w:r>
      <w:r>
        <w:rPr>
          <w:sz w:val="21"/>
          <w:u w:val="single"/>
        </w:rPr>
        <w:t xml:space="preserve">   </w:t>
      </w:r>
      <w:r>
        <w:rPr>
          <w:sz w:val="27"/>
        </w:rPr>
        <w:t>份，具有同等法律效力，甲方执</w:t>
      </w:r>
      <w:r>
        <w:rPr>
          <w:sz w:val="21"/>
          <w:u w:val="single"/>
        </w:rPr>
        <w:t xml:space="preserve">   </w:t>
      </w:r>
      <w:r>
        <w:rPr>
          <w:sz w:val="27"/>
        </w:rPr>
        <w:t xml:space="preserve"> </w:t>
      </w:r>
      <w:r>
        <w:rPr>
          <w:sz w:val="27"/>
        </w:rPr>
        <w:t>份、乙方执</w:t>
      </w:r>
      <w:r>
        <w:rPr>
          <w:sz w:val="21"/>
          <w:u w:val="single"/>
        </w:rPr>
        <w:t xml:space="preserve">   </w:t>
      </w:r>
      <w:r>
        <w:rPr>
          <w:sz w:val="27"/>
        </w:rPr>
        <w:t xml:space="preserve"> </w:t>
      </w:r>
      <w:r>
        <w:rPr>
          <w:sz w:val="27"/>
        </w:rPr>
        <w:t>份，招标代理机构</w:t>
      </w:r>
      <w:r>
        <w:rPr>
          <w:sz w:val="27"/>
        </w:rPr>
        <w:t>壹</w:t>
      </w:r>
      <w:r>
        <w:rPr>
          <w:sz w:val="27"/>
        </w:rPr>
        <w:t xml:space="preserve"> </w:t>
      </w:r>
      <w:r>
        <w:rPr>
          <w:sz w:val="27"/>
        </w:rPr>
        <w:t>份。合同自签字之日起即时生效。</w:t>
      </w:r>
    </w:p>
    <w:p>
      <w:pPr>
        <w:jc w:val="both"/>
      </w:pPr>
      <w:r>
        <w:rPr>
          <w:sz w:val="27"/>
        </w:rPr>
        <w:t xml:space="preserve">2.      </w:t>
      </w:r>
      <w:r>
        <w:rPr>
          <w:sz w:val="27"/>
        </w:rPr>
        <w:t>本合同未尽事宜，由双方协商处理。</w:t>
      </w:r>
    </w:p>
    <w:p>
      <w:pPr>
        <w:jc w:val="both"/>
      </w:pPr>
    </w:p>
    <w:p>
      <w:pPr>
        <w:jc w:val="both"/>
      </w:pPr>
      <w:r>
        <w:rPr>
          <w:sz w:val="27"/>
        </w:rPr>
        <w:t xml:space="preserve"> </w:t>
      </w:r>
    </w:p>
    <w:p>
      <w:pPr>
        <w:jc w:val="both"/>
      </w:pPr>
      <w:r>
        <w:rPr>
          <w:b/>
          <w:sz w:val="27"/>
        </w:rPr>
        <w:t>甲方（盖章）：</w:t>
      </w:r>
      <w:r>
        <w:rPr>
          <w:b/>
          <w:sz w:val="27"/>
        </w:rPr>
        <w:t>乙方（盖章）：</w:t>
      </w:r>
    </w:p>
    <w:p>
      <w:pPr>
        <w:jc w:val="both"/>
      </w:pPr>
      <w:r>
        <w:rPr>
          <w:b/>
          <w:sz w:val="27"/>
        </w:rPr>
        <w:t>代表：</w:t>
      </w:r>
      <w:r>
        <w:rPr>
          <w:b/>
          <w:sz w:val="27"/>
        </w:rPr>
        <w:t>代表：</w:t>
      </w:r>
    </w:p>
    <w:p>
      <w:pPr>
        <w:jc w:val="both"/>
      </w:pPr>
      <w:r>
        <w:rPr>
          <w:sz w:val="27"/>
        </w:rPr>
        <w:t>签定地点：</w:t>
      </w:r>
    </w:p>
    <w:p>
      <w:pPr>
        <w:jc w:val="both"/>
      </w:pPr>
      <w:r>
        <w:rPr>
          <w:sz w:val="27"/>
        </w:rPr>
        <w:t>签定日期：　　　年　　月　　日</w:t>
      </w:r>
      <w:r>
        <w:rPr>
          <w:sz w:val="27"/>
        </w:rPr>
        <w:t>签定日期：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442000-2022-05326</w:t>
      </w:r>
    </w:p>
    <w:p>
      <w:pPr>
        <w:jc w:val="center"/>
      </w:pPr>
      <w:r>
        <w:rPr>
          <w:b/>
          <w:sz w:val="24"/>
        </w:rPr>
        <w:t>采购项目编号：</w:t>
      </w:r>
      <w:r>
        <w:rPr>
          <w:b/>
          <w:sz w:val="24"/>
        </w:rPr>
        <w:t>442000-2022-05326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中山市博爱医院网络安全等级保护整改项目</w:t>
      </w:r>
      <w:r>
        <w:rPr/>
        <w:t>项目的招标[采购项目编号为：</w:t>
      </w:r>
      <w:r>
        <w:rPr>
          <w:u w:val="single"/>
        </w:rPr>
        <w:t>442000-2022-05326</w:t>
      </w:r>
      <w:r>
        <w:rPr/>
        <w:t>]，我方愿参与投标。</w:t>
      </w:r>
    </w:p>
    <w:p>
      <w:pPr>
        <w:ind w:firstLine="480"/>
      </w:pPr>
      <w:r>
        <w:rPr/>
        <w:t>我方确认收到贵方提供的</w:t>
      </w:r>
      <w:r>
        <w:rPr>
          <w:u w:val="single"/>
        </w:rPr>
        <w:t>中山市博爱医院网络安全等级保护整改项目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中山市博爱医院网络安全等级保护整改项目</w:t>
      </w:r>
      <w:r>
        <w:rPr/>
        <w:t>项目采购[采购项目编号为</w:t>
      </w:r>
      <w:r>
        <w:rPr/>
        <w:t>442000-2022-05326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中山市博爱医院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中山市博爱医院网络安全等级保护整改项目</w:t>
      </w:r>
      <w:r>
        <w:rPr/>
        <w:t>招标中获中标（采购项目编号：</w:t>
      </w:r>
      <w:r>
        <w:rPr/>
        <w:t>442000-2022-05326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中山市博爱医院网络安全等级保护整改项目</w:t>
      </w:r>
      <w:r>
        <w:rPr/>
        <w:t>项目（采购项目编号：</w:t>
      </w:r>
      <w:r>
        <w:rPr/>
        <w:t>442000-2022-05326</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