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442000-2023-01867</w:t>
      </w:r>
    </w:p>
    <w:p>
      <w:pPr>
        <w:jc w:val="center"/>
      </w:pPr>
      <w:r>
        <w:rPr>
          <w:b/>
          <w:sz w:val="24"/>
        </w:rPr>
        <w:t>采购项目编号：</w:t>
      </w:r>
      <w:r>
        <w:rPr>
          <w:b/>
          <w:sz w:val="24"/>
        </w:rPr>
        <w:t>442000-2023-01867</w:t>
      </w:r>
    </w:p>
    <w:p>
      <w:pPr>
        <w:jc w:val="center"/>
      </w:pPr>
      <w:r>
        <w:rPr>
          <w:b/>
          <w:sz w:val="24"/>
        </w:rPr>
        <w:t>项目名称：</w:t>
      </w:r>
      <w:r>
        <w:rPr>
          <w:b/>
          <w:sz w:val="24"/>
        </w:rPr>
        <w:t>中山市农业农村局2023年红火蚁防控物资采购和红火蚁监测普查服务项目(二次)</w:t>
      </w:r>
    </w:p>
    <w:p>
      <w:pPr>
        <w:jc w:val="center"/>
      </w:pPr>
      <w:r>
        <w:rPr>
          <w:b/>
          <w:sz w:val="24"/>
        </w:rPr>
        <w:t>采购人：</w:t>
      </w:r>
      <w:r>
        <w:rPr>
          <w:b/>
          <w:sz w:val="24"/>
        </w:rPr>
        <w:t>中山市农业农村局</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中山市农业农村局</w:t>
      </w:r>
      <w:r>
        <w:rPr/>
        <w:t>的委托，采用</w:t>
      </w:r>
      <w:r>
        <w:rPr/>
        <w:t>公开招标</w:t>
      </w:r>
      <w:r>
        <w:rPr/>
        <w:t>方式组织采购</w:t>
      </w:r>
      <w:r>
        <w:rPr/>
        <w:t>中山市农业农村局2023年红火蚁防控物资采购和红火蚁监测普查服务项目(二次)</w:t>
      </w:r>
      <w:r>
        <w:rPr/>
        <w:t>。欢迎符合资格条件的国内供应商参加投标。</w:t>
      </w:r>
    </w:p>
    <w:p>
      <w:r>
        <w:rPr>
          <w:b/>
          <w:sz w:val="28"/>
        </w:rPr>
        <w:t>一.项目概述</w:t>
      </w:r>
    </w:p>
    <w:p>
      <w:r>
        <w:rPr>
          <w:b/>
          <w:sz w:val="24"/>
        </w:rPr>
        <w:t>1.名称与编号</w:t>
      </w:r>
    </w:p>
    <w:p>
      <w:pPr>
        <w:ind w:firstLine="480"/>
      </w:pPr>
      <w:r>
        <w:rPr/>
        <w:t>项目名称：</w:t>
      </w:r>
      <w:r>
        <w:rPr/>
        <w:t>中山市农业农村局2023年红火蚁防控物资采购和红火蚁监测普查服务项目(二次)</w:t>
      </w:r>
    </w:p>
    <w:p>
      <w:pPr>
        <w:ind w:firstLine="480"/>
      </w:pPr>
      <w:r>
        <w:rPr/>
        <w:t>采购计划编号：</w:t>
      </w:r>
      <w:r>
        <w:rPr/>
        <w:t>442000-2023-01867</w:t>
      </w:r>
    </w:p>
    <w:p>
      <w:pPr>
        <w:ind w:firstLine="480"/>
      </w:pPr>
      <w:r>
        <w:rPr/>
        <w:t>采购项目编号：</w:t>
      </w:r>
      <w:r>
        <w:rPr/>
        <w:t>442000-2023-01867</w:t>
      </w:r>
    </w:p>
    <w:p>
      <w:pPr>
        <w:ind w:firstLine="480"/>
      </w:pPr>
      <w:r>
        <w:rPr/>
        <w:t>采购方式：</w:t>
      </w:r>
      <w:r>
        <w:rPr/>
        <w:t>公开招标</w:t>
      </w:r>
    </w:p>
    <w:p>
      <w:pPr>
        <w:ind w:firstLine="480"/>
      </w:pPr>
      <w:r>
        <w:rPr/>
        <w:t>预算金额：</w:t>
      </w:r>
      <w:r>
        <w:rPr/>
        <w:t>3,580,000.00</w:t>
      </w:r>
      <w:r>
        <w:rPr/>
        <w:t>元</w:t>
      </w:r>
    </w:p>
    <w:p>
      <w:r>
        <w:rPr>
          <w:b/>
          <w:sz w:val="24"/>
        </w:rPr>
        <w:t>2.项目内容及需求情况（采购项目技术规格、参数及要求）</w:t>
      </w:r>
    </w:p>
    <w:p>
      <w:pPr>
        <w:ind w:firstLine="480"/>
      </w:pPr>
    </w:p>
    <w:p/>
    <w:p>
      <w:r>
        <w:rPr/>
        <w:t>采购包1(中山市农业农村局2023年红火蚁防控物资采购项目（二次）):</w:t>
      </w:r>
    </w:p>
    <w:p>
      <w:r>
        <w:rPr/>
        <w:t>采购包预算金额：2,130,000.00元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化学农药</w:t>
            </w:r>
          </w:p>
        </w:tc>
        <w:tc>
          <w:tcPr>
            <w:tcW w:type="dxa" w:w="2052"/>
          </w:tcPr>
          <w:p>
            <w:r>
              <w:rPr/>
              <w:t>红火蚁防控药剂</w:t>
            </w:r>
          </w:p>
        </w:tc>
        <w:tc>
          <w:tcPr>
            <w:tcW w:type="dxa" w:w="977"/>
          </w:tcPr>
          <w:p>
            <w:r>
              <w:rPr/>
              <w:t>47000(千克)</w:t>
            </w:r>
          </w:p>
        </w:tc>
        <w:tc>
          <w:tcPr>
            <w:tcW w:type="dxa" w:w="977"/>
          </w:tcPr>
          <w:p>
            <w:r>
              <w:rPr/>
              <w:t>详见第二章</w:t>
            </w:r>
          </w:p>
        </w:tc>
        <w:tc>
          <w:tcPr>
            <w:tcW w:type="dxa" w:w="977"/>
          </w:tcPr>
          <w:p>
            <w:r>
              <w:rPr/>
              <w:t>2,021,000.00</w:t>
            </w:r>
          </w:p>
        </w:tc>
        <w:tc>
          <w:tcPr>
            <w:tcW w:type="dxa" w:w="977"/>
          </w:tcPr>
          <w:p>
            <w:r>
              <w:rPr/>
              <w:t>否</w:t>
            </w:r>
          </w:p>
        </w:tc>
      </w:tr>
      <w:tr>
        <w:tc>
          <w:tcPr>
            <w:tcW w:type="dxa" w:w="977"/>
          </w:tcPr>
          <w:p>
            <w:r>
              <w:rPr/>
              <w:t>1-2</w:t>
            </w:r>
          </w:p>
        </w:tc>
        <w:tc>
          <w:tcPr>
            <w:tcW w:type="dxa" w:w="1368"/>
          </w:tcPr>
          <w:p>
            <w:r>
              <w:rPr/>
              <w:t>其他环境污染防治设备</w:t>
            </w:r>
          </w:p>
        </w:tc>
        <w:tc>
          <w:tcPr>
            <w:tcW w:type="dxa" w:w="2052"/>
          </w:tcPr>
          <w:p>
            <w:r>
              <w:rPr/>
              <w:t>红火蚁药剂电动撒播器</w:t>
            </w:r>
          </w:p>
        </w:tc>
        <w:tc>
          <w:tcPr>
            <w:tcW w:type="dxa" w:w="977"/>
          </w:tcPr>
          <w:p>
            <w:r>
              <w:rPr/>
              <w:t>267(台)</w:t>
            </w:r>
          </w:p>
        </w:tc>
        <w:tc>
          <w:tcPr>
            <w:tcW w:type="dxa" w:w="977"/>
          </w:tcPr>
          <w:p>
            <w:r>
              <w:rPr/>
              <w:t>详见第二章</w:t>
            </w:r>
          </w:p>
        </w:tc>
        <w:tc>
          <w:tcPr>
            <w:tcW w:type="dxa" w:w="977"/>
          </w:tcPr>
          <w:p>
            <w:r>
              <w:rPr/>
              <w:t>66,750.00</w:t>
            </w:r>
          </w:p>
        </w:tc>
        <w:tc>
          <w:tcPr>
            <w:tcW w:type="dxa" w:w="977"/>
          </w:tcPr>
          <w:p>
            <w:r>
              <w:rPr/>
              <w:t>否</w:t>
            </w:r>
          </w:p>
        </w:tc>
      </w:tr>
      <w:tr>
        <w:tc>
          <w:tcPr>
            <w:tcW w:type="dxa" w:w="977"/>
          </w:tcPr>
          <w:p>
            <w:r>
              <w:rPr/>
              <w:t>1-3</w:t>
            </w:r>
          </w:p>
        </w:tc>
        <w:tc>
          <w:tcPr>
            <w:tcW w:type="dxa" w:w="1368"/>
          </w:tcPr>
          <w:p>
            <w:r>
              <w:rPr/>
              <w:t>其他环境污染防治设备</w:t>
            </w:r>
          </w:p>
        </w:tc>
        <w:tc>
          <w:tcPr>
            <w:tcW w:type="dxa" w:w="2052"/>
          </w:tcPr>
          <w:p>
            <w:r>
              <w:rPr/>
              <w:t>红火蚁监测瓶及诱饵</w:t>
            </w:r>
          </w:p>
        </w:tc>
        <w:tc>
          <w:tcPr>
            <w:tcW w:type="dxa" w:w="977"/>
          </w:tcPr>
          <w:p>
            <w:r>
              <w:rPr/>
              <w:t>3200(个)</w:t>
            </w:r>
          </w:p>
        </w:tc>
        <w:tc>
          <w:tcPr>
            <w:tcW w:type="dxa" w:w="977"/>
          </w:tcPr>
          <w:p>
            <w:r>
              <w:rPr/>
              <w:t>详见第二章</w:t>
            </w:r>
          </w:p>
        </w:tc>
        <w:tc>
          <w:tcPr>
            <w:tcW w:type="dxa" w:w="977"/>
          </w:tcPr>
          <w:p>
            <w:r>
              <w:rPr/>
              <w:t>5,440.00</w:t>
            </w:r>
          </w:p>
        </w:tc>
        <w:tc>
          <w:tcPr>
            <w:tcW w:type="dxa" w:w="977"/>
          </w:tcPr>
          <w:p>
            <w:r>
              <w:rPr/>
              <w:t>否</w:t>
            </w:r>
          </w:p>
        </w:tc>
      </w:tr>
      <w:tr>
        <w:tc>
          <w:tcPr>
            <w:tcW w:type="dxa" w:w="977"/>
          </w:tcPr>
          <w:p>
            <w:r>
              <w:rPr/>
              <w:t>1-4</w:t>
            </w:r>
          </w:p>
        </w:tc>
        <w:tc>
          <w:tcPr>
            <w:tcW w:type="dxa" w:w="1368"/>
          </w:tcPr>
          <w:p>
            <w:r>
              <w:rPr/>
              <w:t>其他环境污染防治设备</w:t>
            </w:r>
          </w:p>
        </w:tc>
        <w:tc>
          <w:tcPr>
            <w:tcW w:type="dxa" w:w="2052"/>
          </w:tcPr>
          <w:p>
            <w:r>
              <w:rPr/>
              <w:t>红火蚁监测旗</w:t>
            </w:r>
          </w:p>
        </w:tc>
        <w:tc>
          <w:tcPr>
            <w:tcW w:type="dxa" w:w="977"/>
          </w:tcPr>
          <w:p>
            <w:r>
              <w:rPr/>
              <w:t>20450(支)</w:t>
            </w:r>
          </w:p>
        </w:tc>
        <w:tc>
          <w:tcPr>
            <w:tcW w:type="dxa" w:w="977"/>
          </w:tcPr>
          <w:p>
            <w:r>
              <w:rPr/>
              <w:t>详见第二章</w:t>
            </w:r>
          </w:p>
        </w:tc>
        <w:tc>
          <w:tcPr>
            <w:tcW w:type="dxa" w:w="977"/>
          </w:tcPr>
          <w:p>
            <w:r>
              <w:rPr/>
              <w:t>36,810.00</w:t>
            </w:r>
          </w:p>
        </w:tc>
        <w:tc>
          <w:tcPr>
            <w:tcW w:type="dxa" w:w="977"/>
          </w:tcPr>
          <w:p>
            <w:r>
              <w:rPr/>
              <w:t>否</w:t>
            </w:r>
          </w:p>
        </w:tc>
      </w:tr>
    </w:tbl>
    <w:p/>
    <w:p>
      <w:r>
        <w:rPr/>
        <w:t>本采购包不接受联合体投标</w:t>
      </w:r>
    </w:p>
    <w:p/>
    <w:p>
      <w:r>
        <w:rPr/>
        <w:t>合同履行期限：项目按实结算，项目结算金额累计达到项目采购预算金额，合同终止。</w:t>
      </w:r>
    </w:p>
    <w:p/>
    <w:p>
      <w:r>
        <w:rPr/>
        <w:t>采购包2(中山市农业农村局2023年红火蚁监测普查服务项目（二次）):</w:t>
      </w:r>
    </w:p>
    <w:p>
      <w:r>
        <w:rPr/>
        <w:t>采购包预算金额：1,450,000.00元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2-1</w:t>
            </w:r>
          </w:p>
        </w:tc>
        <w:tc>
          <w:tcPr>
            <w:tcW w:type="dxa" w:w="1368"/>
          </w:tcPr>
          <w:p>
            <w:r>
              <w:rPr/>
              <w:t>农作物病虫害防治服务</w:t>
            </w:r>
          </w:p>
        </w:tc>
        <w:tc>
          <w:tcPr>
            <w:tcW w:type="dxa" w:w="2052"/>
          </w:tcPr>
          <w:p>
            <w:r>
              <w:rPr/>
              <w:t>中山市农业农村局2023年红火蚁疫情监测普查项目（二次）</w:t>
            </w:r>
          </w:p>
        </w:tc>
        <w:tc>
          <w:tcPr>
            <w:tcW w:type="dxa" w:w="977"/>
          </w:tcPr>
          <w:p>
            <w:r>
              <w:rPr/>
              <w:t>1(项)</w:t>
            </w:r>
          </w:p>
        </w:tc>
        <w:tc>
          <w:tcPr>
            <w:tcW w:type="dxa" w:w="977"/>
          </w:tcPr>
          <w:p>
            <w:r>
              <w:rPr/>
              <w:t>详见第二章</w:t>
            </w:r>
          </w:p>
        </w:tc>
        <w:tc>
          <w:tcPr>
            <w:tcW w:type="dxa" w:w="977"/>
          </w:tcPr>
          <w:p>
            <w:r>
              <w:rPr/>
              <w:t>1,450,000.00</w:t>
            </w:r>
          </w:p>
        </w:tc>
        <w:tc>
          <w:tcPr>
            <w:tcW w:type="dxa" w:w="977"/>
          </w:tcPr>
          <w:p>
            <w:r>
              <w:rPr/>
              <w:t>否</w:t>
            </w:r>
          </w:p>
        </w:tc>
      </w:tr>
    </w:tbl>
    <w:p/>
    <w:p>
      <w:r>
        <w:rPr/>
        <w:t>本采购包不接受联合体投标</w:t>
      </w:r>
    </w:p>
    <w:p/>
    <w:p>
      <w:r>
        <w:rPr/>
        <w:t>合同履行期限：自合同约定之日起至2023年12月10日</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如依法免税或不需要缴纳社会保障资金的，提供相应证明材料。</w:t>
      </w:r>
    </w:p>
    <w:p/>
    <w:p>
      <w:r>
        <w:rPr/>
        <w:t>3）具有良好的商业信誉和健全的财务会计制度：提供2021年或2022年度财务状况报告或投标截止日前12个月内任意1个月的财务报表复印件，财务报表须包含资产负债表、利润表或银行出具的资信证明材料复印件。</w:t>
      </w:r>
    </w:p>
    <w:p/>
    <w:p>
      <w:r>
        <w:rPr/>
        <w:t>4）履行合同所必需的设备和专业技术能力：请在投标文件里提供承诺书或说明书。</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采购包1（中山市农业农村局2023年红火蚁防控物资采购项目（二次））：</w:t>
      </w:r>
      <w:r>
        <w:rPr/>
        <w:t>本采购包不属于专门面向中小企业采购的项目。</w:t>
      </w:r>
    </w:p>
    <w:p>
      <w:pPr>
        <w:jc w:val="left"/>
      </w:pPr>
    </w:p>
    <w:p>
      <w:r>
        <w:rPr/>
        <w:t>采购包2（中山市农业农村局2023年红火蚁监测普查服务项目（二次））：</w:t>
      </w:r>
      <w:r>
        <w:rPr/>
        <w:t>本采购包专门面向中小企业采购，参与的供应商服务全部由符合政策要求的中小企业承接，①采购标的对应的中小企业划分标准所属行业为：农、林、牧、渔业。供应商须是符合本项目所属行业（农、林、牧、渔业）政策划分标准的中小微企业。监狱企业、残疾人福利单位视同小型、微型企业。注：中小企业以供应商填写的《中小企业声明函》为判定标准，残疾人福利性单位以供应商填写的《残疾人福利性单位声明函》为判定标准，监狱企业须提供由省级以上监狱管理局、戒毒管理局（含新疆生产建设兵团）出具的属于监狱企业的证明文件，否则不予认定。②《中小企业声明函》作为资格条件之一，须填写完整准确。</w:t>
      </w:r>
    </w:p>
    <w:p/>
    <w:p>
      <w:r>
        <w:rPr>
          <w:b/>
          <w:sz w:val="24"/>
        </w:rPr>
        <w:t>3.本项目特定的资格要求：</w:t>
      </w:r>
    </w:p>
    <w:p>
      <w:pPr>
        <w:ind w:firstLine="480"/>
      </w:pPr>
    </w:p>
    <w:p/>
    <w:p>
      <w:r>
        <w:rPr/>
        <w:t>采购包1（中山市农业农村局2023年红火蚁防控物资采购项目（二次））：</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
      <w:r>
        <w:rPr/>
        <w:t>采购包2（中山市农业农村局2023年红火蚁监测普查服务项目（二次））：</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中山市农业农村局</w:t>
      </w:r>
    </w:p>
    <w:p>
      <w:pPr>
        <w:ind w:firstLine="480"/>
      </w:pPr>
      <w:r>
        <w:rPr/>
        <w:t>地址：</w:t>
      </w:r>
      <w:r>
        <w:rPr/>
        <w:t>中山市中山三路26号</w:t>
      </w:r>
    </w:p>
    <w:p>
      <w:pPr>
        <w:ind w:firstLine="480"/>
      </w:pPr>
      <w:r>
        <w:rPr/>
        <w:t>联系方式：</w:t>
      </w:r>
      <w:r>
        <w:rPr/>
        <w:t>88221337</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1.</w:t>
      </w:r>
      <w:r>
        <w:rPr>
          <w:sz w:val="21"/>
        </w:rPr>
        <w:t>项目名称：</w:t>
      </w:r>
      <w:r>
        <w:rPr>
          <w:sz w:val="21"/>
        </w:rPr>
        <w:t>中山市农业农村局</w:t>
      </w:r>
      <w:r>
        <w:rPr>
          <w:sz w:val="21"/>
        </w:rPr>
        <w:t>2023</w:t>
      </w:r>
      <w:r>
        <w:rPr>
          <w:sz w:val="21"/>
        </w:rPr>
        <w:t>年红火蚁防控物资采购和红火蚁监测普查服务项目（二次）</w:t>
      </w:r>
    </w:p>
    <w:p>
      <w:pPr>
        <w:jc w:val="both"/>
      </w:pPr>
      <w:r>
        <w:rPr>
          <w:sz w:val="21"/>
        </w:rPr>
        <w:t>2.</w:t>
      </w:r>
      <w:r>
        <w:rPr>
          <w:sz w:val="21"/>
        </w:rPr>
        <w:t>采购计划编号：</w:t>
      </w:r>
      <w:r>
        <w:rPr>
          <w:sz w:val="21"/>
        </w:rPr>
        <w:t>442000-2023-01867</w:t>
      </w:r>
      <w:r>
        <w:rPr>
          <w:sz w:val="21"/>
        </w:rPr>
        <w:t xml:space="preserve">    </w:t>
      </w:r>
    </w:p>
    <w:p>
      <w:pPr>
        <w:jc w:val="both"/>
      </w:pPr>
      <w:r>
        <w:rPr>
          <w:sz w:val="21"/>
        </w:rPr>
        <w:t>3.</w:t>
      </w:r>
      <w:r>
        <w:rPr>
          <w:sz w:val="21"/>
        </w:rPr>
        <w:t>采购项目编号：</w:t>
      </w:r>
      <w:r>
        <w:rPr>
          <w:sz w:val="21"/>
        </w:rPr>
        <w:t>442000-2023-01867</w:t>
      </w:r>
    </w:p>
    <w:p>
      <w:pPr>
        <w:jc w:val="both"/>
      </w:pPr>
      <w:r>
        <w:rPr>
          <w:sz w:val="21"/>
        </w:rPr>
        <w:t>4.</w:t>
      </w:r>
      <w:r>
        <w:rPr>
          <w:sz w:val="21"/>
        </w:rPr>
        <w:t>采购方式：公开招标</w:t>
      </w:r>
    </w:p>
    <w:p>
      <w:pPr>
        <w:jc w:val="both"/>
      </w:pPr>
      <w:r>
        <w:rPr>
          <w:sz w:val="21"/>
        </w:rPr>
        <w:t>5.</w:t>
      </w:r>
      <w:r>
        <w:rPr>
          <w:sz w:val="21"/>
        </w:rPr>
        <w:t>各包组采购内容及预算金额</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530"/>
        <w:gridCol w:w="3900"/>
        <w:gridCol w:w="2310"/>
        <w:gridCol w:w="3765"/>
        <w:gridCol w:w="4845"/>
      </w:tblGrid>
      <w:tr>
        <w:tc>
          <w:tcPr>
            <w:tcW w:type="dxa" w:w="1530"/>
            <w:tcBorders>
              <w:top w:val="single" w:color="000000" w:sz="4"/>
              <w:left w:val="single" w:color="000000" w:sz="4"/>
              <w:bottom w:val="single" w:color="000000" w:sz="4"/>
              <w:right w:val="single" w:color="000000" w:sz="4"/>
            </w:tcBorders>
            <w:vAlign w:val="top"/>
          </w:tcPr>
          <w:p>
            <w:pPr>
              <w:jc w:val="center"/>
            </w:pPr>
            <w:r>
              <w:rPr>
                <w:b/>
                <w:sz w:val="21"/>
              </w:rPr>
              <w:t>分包</w:t>
            </w:r>
          </w:p>
        </w:tc>
        <w:tc>
          <w:tcPr>
            <w:tcW w:type="dxa" w:w="3900"/>
            <w:tcBorders>
              <w:top w:val="single" w:color="000000" w:sz="4"/>
              <w:left w:val="none" w:color="000000" w:sz="4"/>
              <w:bottom w:val="single" w:color="000000" w:sz="4"/>
              <w:right w:val="single" w:color="000000" w:sz="4"/>
            </w:tcBorders>
            <w:vAlign w:val="top"/>
          </w:tcPr>
          <w:p>
            <w:pPr>
              <w:jc w:val="center"/>
            </w:pPr>
            <w:r>
              <w:rPr>
                <w:b/>
                <w:sz w:val="21"/>
              </w:rPr>
              <w:t>包组名称</w:t>
            </w:r>
          </w:p>
        </w:tc>
        <w:tc>
          <w:tcPr>
            <w:tcW w:type="dxa" w:w="2310"/>
            <w:tcBorders>
              <w:top w:val="single" w:color="000000" w:sz="4"/>
              <w:left w:val="none" w:color="000000" w:sz="4"/>
              <w:bottom w:val="single" w:color="000000" w:sz="4"/>
              <w:right w:val="single" w:color="000000" w:sz="4"/>
            </w:tcBorders>
            <w:vAlign w:val="top"/>
          </w:tcPr>
          <w:p>
            <w:pPr>
              <w:jc w:val="center"/>
            </w:pPr>
            <w:r>
              <w:rPr>
                <w:b/>
                <w:sz w:val="21"/>
              </w:rPr>
              <w:t>数量</w:t>
            </w:r>
          </w:p>
          <w:p>
            <w:pPr>
              <w:jc w:val="center"/>
            </w:pPr>
            <w:r>
              <w:rPr>
                <w:b/>
                <w:sz w:val="21"/>
              </w:rPr>
              <w:t>（单位）</w:t>
            </w:r>
          </w:p>
        </w:tc>
        <w:tc>
          <w:tcPr>
            <w:tcW w:type="dxa" w:w="3765"/>
            <w:tcBorders>
              <w:top w:val="single" w:color="000000" w:sz="4"/>
              <w:left w:val="none" w:color="000000" w:sz="4"/>
              <w:bottom w:val="single" w:color="000000" w:sz="4"/>
              <w:right w:val="single" w:color="000000" w:sz="4"/>
            </w:tcBorders>
            <w:vAlign w:val="top"/>
          </w:tcPr>
          <w:p>
            <w:pPr>
              <w:jc w:val="center"/>
            </w:pPr>
            <w:r>
              <w:rPr>
                <w:b/>
                <w:sz w:val="21"/>
              </w:rPr>
              <w:t>预算金额</w:t>
            </w:r>
            <w:r>
              <w:rPr>
                <w:b/>
                <w:sz w:val="21"/>
              </w:rPr>
              <w:t>（</w:t>
            </w:r>
            <w:r>
              <w:rPr>
                <w:b/>
                <w:sz w:val="21"/>
              </w:rPr>
              <w:t>元</w:t>
            </w:r>
            <w:r>
              <w:rPr>
                <w:b/>
                <w:sz w:val="21"/>
              </w:rPr>
              <w:t>）</w:t>
            </w:r>
          </w:p>
        </w:tc>
        <w:tc>
          <w:tcPr>
            <w:tcW w:type="dxa" w:w="4845"/>
            <w:tcBorders>
              <w:top w:val="single" w:color="000000" w:sz="4"/>
              <w:left w:val="none" w:color="000000" w:sz="4"/>
              <w:bottom w:val="single" w:color="000000" w:sz="4"/>
              <w:right w:val="single" w:color="000000" w:sz="4"/>
            </w:tcBorders>
            <w:vAlign w:val="top"/>
          </w:tcPr>
          <w:p>
            <w:pPr>
              <w:jc w:val="center"/>
            </w:pPr>
            <w:r>
              <w:rPr>
                <w:b/>
                <w:sz w:val="21"/>
              </w:rPr>
              <w:t>合同履行期限</w:t>
            </w:r>
          </w:p>
        </w:tc>
      </w:tr>
      <w:tr>
        <w:tc>
          <w:tcPr>
            <w:tcW w:type="dxa" w:w="1530"/>
            <w:tcBorders>
              <w:top w:val="none" w:color="000000" w:sz="4"/>
              <w:left w:val="single" w:color="000000" w:sz="4"/>
              <w:bottom w:val="single" w:color="000000" w:sz="4"/>
              <w:right w:val="single" w:color="000000" w:sz="4"/>
            </w:tcBorders>
            <w:vAlign w:val="top"/>
          </w:tcPr>
          <w:p>
            <w:pPr>
              <w:jc w:val="center"/>
            </w:pPr>
            <w:r>
              <w:rPr>
                <w:sz w:val="21"/>
              </w:rPr>
              <w:t>采购包</w:t>
            </w:r>
            <w:r>
              <w:rPr>
                <w:sz w:val="21"/>
              </w:rPr>
              <w:t>1</w:t>
            </w:r>
          </w:p>
        </w:tc>
        <w:tc>
          <w:tcPr>
            <w:tcW w:type="dxa" w:w="3900"/>
            <w:tcBorders>
              <w:top w:val="none" w:color="000000" w:sz="4"/>
              <w:left w:val="none" w:color="000000" w:sz="4"/>
              <w:bottom w:val="single" w:color="000000" w:sz="4"/>
              <w:right w:val="single" w:color="000000" w:sz="4"/>
            </w:tcBorders>
            <w:vAlign w:val="top"/>
          </w:tcPr>
          <w:p>
            <w:pPr>
              <w:jc w:val="center"/>
            </w:pPr>
            <w:r>
              <w:rPr>
                <w:sz w:val="21"/>
              </w:rPr>
              <w:t>中山市农业农村局2023</w:t>
            </w:r>
            <w:r>
              <w:rPr>
                <w:sz w:val="21"/>
              </w:rPr>
              <w:t>年</w:t>
            </w:r>
            <w:r>
              <w:rPr>
                <w:sz w:val="21"/>
              </w:rPr>
              <w:t>红火蚁防控物资采购项目（二次）</w:t>
            </w:r>
          </w:p>
        </w:tc>
        <w:tc>
          <w:tcPr>
            <w:tcW w:type="dxa" w:w="2310"/>
            <w:tcBorders>
              <w:top w:val="none" w:color="000000" w:sz="4"/>
              <w:left w:val="none" w:color="000000" w:sz="4"/>
              <w:bottom w:val="single" w:color="000000" w:sz="4"/>
              <w:right w:val="single" w:color="000000" w:sz="4"/>
            </w:tcBorders>
            <w:vAlign w:val="top"/>
          </w:tcPr>
          <w:p>
            <w:pPr>
              <w:jc w:val="center"/>
            </w:pPr>
            <w:r>
              <w:rPr>
                <w:sz w:val="21"/>
              </w:rPr>
              <w:t>1</w:t>
            </w:r>
            <w:r>
              <w:rPr>
                <w:sz w:val="21"/>
              </w:rPr>
              <w:t>批</w:t>
            </w:r>
          </w:p>
        </w:tc>
        <w:tc>
          <w:tcPr>
            <w:tcW w:type="dxa" w:w="3765"/>
            <w:tcBorders>
              <w:top w:val="none" w:color="000000" w:sz="4"/>
              <w:left w:val="none" w:color="000000" w:sz="4"/>
              <w:bottom w:val="single" w:color="000000" w:sz="4"/>
              <w:right w:val="single" w:color="000000" w:sz="4"/>
            </w:tcBorders>
            <w:vAlign w:val="top"/>
          </w:tcPr>
          <w:p>
            <w:pPr>
              <w:jc w:val="center"/>
            </w:pPr>
            <w:r>
              <w:rPr>
                <w:color w:val="000000"/>
                <w:sz w:val="21"/>
              </w:rPr>
              <w:t>213</w:t>
            </w:r>
            <w:r>
              <w:rPr>
                <w:color w:val="000000"/>
                <w:sz w:val="21"/>
              </w:rPr>
              <w:t>0000.00</w:t>
            </w:r>
          </w:p>
        </w:tc>
        <w:tc>
          <w:tcPr>
            <w:tcW w:type="dxa" w:w="4845"/>
            <w:tcBorders>
              <w:top w:val="none" w:color="000000" w:sz="4"/>
              <w:left w:val="none" w:color="000000" w:sz="4"/>
              <w:bottom w:val="single" w:color="000000" w:sz="4"/>
              <w:right w:val="single" w:color="000000" w:sz="4"/>
            </w:tcBorders>
            <w:vAlign w:val="top"/>
          </w:tcPr>
          <w:p>
            <w:pPr>
              <w:jc w:val="center"/>
            </w:pPr>
            <w:r>
              <w:rPr>
                <w:sz w:val="21"/>
              </w:rPr>
              <w:t>项目按实结算，</w:t>
            </w:r>
            <w:r>
              <w:rPr>
                <w:color w:val="222222"/>
                <w:sz w:val="21"/>
              </w:rPr>
              <w:t>项目结算金额累计达到</w:t>
            </w:r>
            <w:r>
              <w:rPr>
                <w:sz w:val="21"/>
              </w:rPr>
              <w:t>项目</w:t>
            </w:r>
            <w:r>
              <w:rPr>
                <w:color w:val="222222"/>
                <w:sz w:val="21"/>
              </w:rPr>
              <w:t>采购预算金额</w:t>
            </w:r>
            <w:r>
              <w:rPr>
                <w:color w:val="222222"/>
                <w:sz w:val="21"/>
              </w:rPr>
              <w:t>，</w:t>
            </w:r>
            <w:r>
              <w:rPr>
                <w:sz w:val="21"/>
              </w:rPr>
              <w:t>合同</w:t>
            </w:r>
            <w:r>
              <w:rPr>
                <w:sz w:val="21"/>
              </w:rPr>
              <w:t>终</w:t>
            </w:r>
            <w:r>
              <w:rPr>
                <w:sz w:val="21"/>
              </w:rPr>
              <w:t>止。</w:t>
            </w:r>
          </w:p>
        </w:tc>
      </w:tr>
      <w:tr>
        <w:tc>
          <w:tcPr>
            <w:tcW w:type="dxa" w:w="1530"/>
            <w:tcBorders>
              <w:top w:val="none" w:color="000000" w:sz="4"/>
              <w:left w:val="single" w:color="000000" w:sz="4"/>
              <w:bottom w:val="single" w:color="000000" w:sz="4"/>
              <w:right w:val="single" w:color="000000" w:sz="4"/>
            </w:tcBorders>
            <w:vAlign w:val="top"/>
          </w:tcPr>
          <w:p>
            <w:pPr>
              <w:jc w:val="center"/>
            </w:pPr>
            <w:r>
              <w:rPr>
                <w:sz w:val="21"/>
              </w:rPr>
              <w:t>采购包</w:t>
            </w:r>
            <w:r>
              <w:rPr>
                <w:sz w:val="21"/>
              </w:rPr>
              <w:t>2</w:t>
            </w:r>
          </w:p>
        </w:tc>
        <w:tc>
          <w:tcPr>
            <w:tcW w:type="dxa" w:w="3900"/>
            <w:tcBorders>
              <w:top w:val="none" w:color="000000" w:sz="4"/>
              <w:left w:val="none" w:color="000000" w:sz="4"/>
              <w:bottom w:val="single" w:color="000000" w:sz="4"/>
              <w:right w:val="single" w:color="000000" w:sz="4"/>
            </w:tcBorders>
            <w:vAlign w:val="top"/>
          </w:tcPr>
          <w:p>
            <w:pPr>
              <w:jc w:val="center"/>
            </w:pPr>
            <w:r>
              <w:rPr>
                <w:sz w:val="21"/>
              </w:rPr>
              <w:t>中山市农业农村局2023</w:t>
            </w:r>
            <w:r>
              <w:rPr>
                <w:sz w:val="21"/>
              </w:rPr>
              <w:t>年</w:t>
            </w:r>
            <w:r>
              <w:rPr>
                <w:sz w:val="21"/>
              </w:rPr>
              <w:t>红火蚁监测普查服务项目</w:t>
            </w:r>
            <w:r>
              <w:rPr>
                <w:sz w:val="21"/>
              </w:rPr>
              <w:t>（二次）</w:t>
            </w:r>
          </w:p>
        </w:tc>
        <w:tc>
          <w:tcPr>
            <w:tcW w:type="dxa" w:w="2310"/>
            <w:tcBorders>
              <w:top w:val="none" w:color="000000" w:sz="4"/>
              <w:left w:val="none" w:color="000000" w:sz="4"/>
              <w:bottom w:val="single" w:color="000000" w:sz="4"/>
              <w:right w:val="single" w:color="000000" w:sz="4"/>
            </w:tcBorders>
            <w:vAlign w:val="top"/>
          </w:tcPr>
          <w:p>
            <w:pPr>
              <w:jc w:val="center"/>
            </w:pPr>
            <w:r>
              <w:rPr>
                <w:color w:val="000000"/>
                <w:sz w:val="21"/>
              </w:rPr>
              <w:t>1</w:t>
            </w:r>
            <w:r>
              <w:rPr>
                <w:color w:val="000000"/>
                <w:sz w:val="21"/>
              </w:rPr>
              <w:t>项</w:t>
            </w:r>
          </w:p>
        </w:tc>
        <w:tc>
          <w:tcPr>
            <w:tcW w:type="dxa" w:w="3765"/>
            <w:tcBorders>
              <w:top w:val="none" w:color="000000" w:sz="4"/>
              <w:left w:val="none" w:color="000000" w:sz="4"/>
              <w:bottom w:val="single" w:color="000000" w:sz="4"/>
              <w:right w:val="single" w:color="000000" w:sz="4"/>
            </w:tcBorders>
            <w:vAlign w:val="top"/>
          </w:tcPr>
          <w:p>
            <w:pPr>
              <w:jc w:val="center"/>
            </w:pPr>
            <w:r>
              <w:rPr>
                <w:color w:val="000000"/>
                <w:sz w:val="21"/>
              </w:rPr>
              <w:t>145</w:t>
            </w:r>
            <w:r>
              <w:rPr>
                <w:color w:val="000000"/>
                <w:sz w:val="21"/>
              </w:rPr>
              <w:t>0000.00</w:t>
            </w:r>
          </w:p>
        </w:tc>
        <w:tc>
          <w:tcPr>
            <w:tcW w:type="dxa" w:w="4845"/>
            <w:tcBorders>
              <w:top w:val="none" w:color="000000" w:sz="4"/>
              <w:left w:val="none" w:color="000000" w:sz="4"/>
              <w:bottom w:val="single" w:color="000000" w:sz="4"/>
              <w:right w:val="single" w:color="000000" w:sz="4"/>
            </w:tcBorders>
            <w:vAlign w:val="top"/>
          </w:tcPr>
          <w:p>
            <w:pPr>
              <w:jc w:val="center"/>
            </w:pPr>
            <w:r>
              <w:rPr>
                <w:sz w:val="21"/>
              </w:rPr>
              <w:t>自合同签订之日起至</w:t>
            </w:r>
            <w:r>
              <w:rPr>
                <w:sz w:val="21"/>
              </w:rPr>
              <w:t>2023</w:t>
            </w:r>
            <w:r>
              <w:rPr>
                <w:sz w:val="21"/>
              </w:rPr>
              <w:t>年</w:t>
            </w:r>
            <w:r>
              <w:rPr>
                <w:sz w:val="21"/>
              </w:rPr>
              <w:t>12</w:t>
            </w:r>
            <w:r>
              <w:rPr>
                <w:sz w:val="21"/>
              </w:rPr>
              <w:t>月</w:t>
            </w:r>
            <w:r>
              <w:rPr>
                <w:sz w:val="21"/>
              </w:rPr>
              <w:t>10</w:t>
            </w:r>
            <w:r>
              <w:rPr>
                <w:sz w:val="21"/>
              </w:rPr>
              <w:t>日止</w:t>
            </w:r>
          </w:p>
        </w:tc>
      </w:tr>
    </w:tbl>
    <w:p>
      <w:pPr>
        <w:jc w:val="both"/>
      </w:pPr>
      <w:r>
        <w:rPr>
          <w:sz w:val="21"/>
        </w:rPr>
        <w:t>6</w:t>
      </w:r>
      <w:r>
        <w:rPr>
          <w:sz w:val="21"/>
        </w:rPr>
        <w:t>.</w:t>
      </w:r>
      <w:r>
        <w:rPr>
          <w:sz w:val="21"/>
        </w:rPr>
        <w:t>采购包</w:t>
      </w:r>
      <w:r>
        <w:rPr>
          <w:sz w:val="21"/>
        </w:rPr>
        <w:t>1</w:t>
      </w:r>
      <w:r>
        <w:rPr>
          <w:sz w:val="21"/>
        </w:rPr>
        <w:t>不属于专门面向中小企业项目</w:t>
      </w:r>
      <w:r>
        <w:rPr>
          <w:sz w:val="21"/>
        </w:rPr>
        <w:t>，采购包</w:t>
      </w:r>
      <w:r>
        <w:rPr>
          <w:sz w:val="21"/>
        </w:rPr>
        <w:t>2</w:t>
      </w:r>
      <w:r>
        <w:rPr>
          <w:sz w:val="21"/>
        </w:rPr>
        <w:t>属于专门面向中小企业项目</w:t>
      </w:r>
      <w:r>
        <w:rPr>
          <w:sz w:val="21"/>
        </w:rPr>
        <w:t>。</w:t>
      </w:r>
    </w:p>
    <w:p>
      <w:pPr>
        <w:jc w:val="both"/>
      </w:pPr>
      <w:r>
        <w:rPr>
          <w:sz w:val="21"/>
        </w:rPr>
        <w:t>7</w:t>
      </w:r>
      <w:r>
        <w:rPr>
          <w:sz w:val="21"/>
        </w:rPr>
        <w:t>.</w:t>
      </w:r>
      <w:r>
        <w:rPr>
          <w:sz w:val="21"/>
        </w:rPr>
        <w:t>本</w:t>
      </w:r>
      <w:r>
        <w:rPr>
          <w:sz w:val="21"/>
        </w:rPr>
        <w:t>项目</w:t>
      </w:r>
      <w:r>
        <w:rPr>
          <w:sz w:val="21"/>
        </w:rPr>
        <w:t>不接受联合体投标。</w:t>
      </w:r>
    </w:p>
    <w:p>
      <w:pPr>
        <w:jc w:val="both"/>
      </w:pPr>
      <w:r>
        <w:rPr>
          <w:sz w:val="21"/>
        </w:rPr>
        <w:t>8.</w:t>
      </w:r>
      <w:r>
        <w:rPr>
          <w:sz w:val="21"/>
        </w:rPr>
        <w:t>中标人不得以任何方式转包本项目。</w:t>
      </w:r>
    </w:p>
    <w:p>
      <w:pPr>
        <w:jc w:val="left"/>
      </w:pPr>
      <w:r>
        <w:rPr>
          <w:b/>
          <w:sz w:val="21"/>
        </w:rPr>
        <w:t>9</w:t>
      </w:r>
      <w:r>
        <w:rPr>
          <w:b/>
          <w:sz w:val="21"/>
        </w:rPr>
        <w:t>.</w:t>
      </w:r>
      <w:r>
        <w:rPr>
          <w:b/>
          <w:sz w:val="21"/>
        </w:rPr>
        <w:t>招标文件中凡有</w:t>
      </w:r>
      <w:r>
        <w:rPr>
          <w:b/>
          <w:sz w:val="21"/>
        </w:rPr>
        <w:t>“★”</w:t>
      </w:r>
      <w:r>
        <w:rPr>
          <w:b/>
          <w:sz w:val="21"/>
        </w:rPr>
        <w:t>标识的内容条款为关键条款，投标供应商必须对此作出回答并完全满足这些要求不可以出现任何负偏离，对这些关键条款的任何负偏离将视为无效投标。加注</w:t>
      </w:r>
      <w:r>
        <w:rPr>
          <w:b/>
          <w:sz w:val="21"/>
        </w:rPr>
        <w:t>“▲”</w:t>
      </w:r>
      <w:r>
        <w:rPr>
          <w:b/>
          <w:sz w:val="21"/>
        </w:rPr>
        <w:t>的内容为重点评标项目，投标人必须对该标识项目按照要求进行真实应答描述。</w:t>
      </w:r>
    </w:p>
    <w:p>
      <w:pPr>
        <w:jc w:val="left"/>
      </w:pPr>
      <w:r>
        <w:rPr>
          <w:b/>
          <w:sz w:val="21"/>
        </w:rPr>
        <w:t>10</w:t>
      </w:r>
      <w:r>
        <w:rPr>
          <w:b/>
          <w:sz w:val="21"/>
        </w:rPr>
        <w:t>.</w:t>
      </w:r>
      <w:r>
        <w:rPr>
          <w:b/>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b/>
          <w:sz w:val="21"/>
        </w:rPr>
        <w:t>1</w:t>
      </w:r>
      <w:r>
        <w:rPr>
          <w:b/>
          <w:sz w:val="21"/>
        </w:rPr>
        <w:t>1</w:t>
      </w:r>
      <w:r>
        <w:rPr>
          <w:b/>
          <w:sz w:val="21"/>
        </w:rPr>
        <w:t>.</w:t>
      </w:r>
      <w:r>
        <w:rPr>
          <w:b/>
          <w:sz w:val="21"/>
        </w:rPr>
        <w:t>供应商必须对投标文件所提供的所有技术参数的真实性负责。采购人在验收货物时，有权要求中标人提供所投货物相应的官方有效的技术支持文件，一旦发现供应商</w:t>
      </w:r>
      <w:r>
        <w:rPr>
          <w:b/>
          <w:sz w:val="21"/>
        </w:rPr>
        <w:t>有提供虚假材料、虚假响应谋取中标、成交的情况，取消中标资格，采购人将上报财政监管部门按照法律法规进行处罚和追责。</w:t>
      </w:r>
    </w:p>
    <w:p>
      <w:pPr>
        <w:jc w:val="both"/>
      </w:pPr>
      <w:r>
        <w:rPr>
          <w:b/>
          <w:sz w:val="21"/>
        </w:rPr>
        <w:t>1</w:t>
      </w:r>
      <w:r>
        <w:rPr>
          <w:b/>
          <w:sz w:val="21"/>
        </w:rPr>
        <w:t>2</w:t>
      </w:r>
      <w:r>
        <w:rPr>
          <w:b/>
          <w:sz w:val="21"/>
        </w:rPr>
        <w:t>.</w:t>
      </w:r>
      <w:r>
        <w:rPr>
          <w:b/>
          <w:sz w:val="21"/>
        </w:rPr>
        <w:t>本项目星号条款汇总表：</w:t>
      </w:r>
    </w:p>
    <w:tbl>
      <w:tblPr>
        <w:tblW w:w="0" w:type="auto"/>
        <w:tblBorders>
          <w:top w:val="none" w:color="000000" w:sz="4"/>
          <w:left w:val="none" w:color="000000" w:sz="4"/>
          <w:bottom w:val="none" w:color="000000" w:sz="4"/>
          <w:right w:val="none" w:color="000000" w:sz="4"/>
          <w:insideH w:val="none"/>
          <w:insideV w:val="none"/>
        </w:tblBorders>
      </w:tblPr>
      <w:tblGrid>
        <w:gridCol w:w="1518"/>
        <w:gridCol w:w="2158"/>
        <w:gridCol w:w="4629"/>
      </w:tblGrid>
      <w:tr>
        <w:tc>
          <w:tcPr>
            <w:tcW w:type="dxa" w:w="1518"/>
            <w:tcBorders>
              <w:top w:val="single" w:color="000000" w:sz="4"/>
              <w:left w:val="single" w:color="000000" w:sz="4"/>
              <w:bottom w:val="single" w:color="000000" w:sz="4"/>
              <w:right w:val="single" w:color="000000" w:sz="4"/>
            </w:tcBorders>
            <w:vAlign w:val="top"/>
          </w:tcPr>
          <w:p>
            <w:pPr>
              <w:jc w:val="center"/>
            </w:pPr>
            <w:r>
              <w:rPr>
                <w:sz w:val="21"/>
              </w:rPr>
              <w:t>所属采购包</w:t>
            </w:r>
          </w:p>
        </w:tc>
        <w:tc>
          <w:tcPr>
            <w:tcW w:type="dxa" w:w="2158"/>
            <w:tcBorders>
              <w:top w:val="single" w:color="000000" w:sz="4"/>
              <w:left w:val="single" w:color="000000" w:sz="4"/>
              <w:bottom w:val="single" w:color="000000" w:sz="4"/>
              <w:right w:val="single" w:color="000000" w:sz="4"/>
            </w:tcBorders>
            <w:vAlign w:val="top"/>
          </w:tcPr>
          <w:p>
            <w:pPr>
              <w:jc w:val="center"/>
            </w:pPr>
            <w:r>
              <w:rPr>
                <w:sz w:val="21"/>
              </w:rPr>
              <w:t>所属部分</w:t>
            </w:r>
          </w:p>
        </w:tc>
        <w:tc>
          <w:tcPr>
            <w:tcW w:type="dxa" w:w="4629"/>
            <w:tcBorders>
              <w:top w:val="single" w:color="000000" w:sz="4"/>
              <w:left w:val="single" w:color="000000" w:sz="4"/>
              <w:bottom w:val="single" w:color="000000" w:sz="4"/>
              <w:right w:val="single" w:color="000000" w:sz="4"/>
            </w:tcBorders>
            <w:vAlign w:val="top"/>
          </w:tcPr>
          <w:p>
            <w:pPr>
              <w:jc w:val="center"/>
            </w:pPr>
            <w:r>
              <w:rPr>
                <w:sz w:val="21"/>
              </w:rPr>
              <w:t>内容</w:t>
            </w:r>
          </w:p>
        </w:tc>
      </w:tr>
      <w:tr>
        <w:tc>
          <w:tcPr>
            <w:tcW w:type="dxa" w:w="1518"/>
            <w:tcBorders>
              <w:top w:val="none" w:color="000000" w:sz="4"/>
              <w:left w:val="single" w:color="000000" w:sz="4"/>
              <w:bottom w:val="single" w:color="000000" w:sz="4"/>
              <w:right w:val="single" w:color="000000" w:sz="4"/>
            </w:tcBorders>
            <w:vAlign w:val="top"/>
          </w:tcPr>
          <w:p>
            <w:pPr>
              <w:jc w:val="center"/>
            </w:pPr>
            <w:r>
              <w:rPr>
                <w:sz w:val="21"/>
              </w:rPr>
              <w:t>采购包</w:t>
            </w:r>
            <w:r>
              <w:rPr>
                <w:sz w:val="21"/>
              </w:rPr>
              <w:t>1</w:t>
            </w:r>
          </w:p>
        </w:tc>
        <w:tc>
          <w:tcPr>
            <w:tcW w:type="dxa" w:w="2158"/>
            <w:tcBorders>
              <w:top w:val="none" w:color="000000" w:sz="4"/>
              <w:left w:val="single" w:color="000000" w:sz="4"/>
              <w:bottom w:val="single" w:color="000000" w:sz="4"/>
              <w:right w:val="single" w:color="000000" w:sz="4"/>
            </w:tcBorders>
            <w:vAlign w:val="top"/>
          </w:tcPr>
          <w:p>
            <w:pPr>
              <w:jc w:val="center"/>
            </w:pPr>
            <w:r>
              <w:rPr>
                <w:sz w:val="21"/>
              </w:rPr>
              <w:t>付款方式</w:t>
            </w:r>
          </w:p>
        </w:tc>
        <w:tc>
          <w:tcPr>
            <w:tcW w:type="dxa" w:w="4629"/>
            <w:tcBorders>
              <w:top w:val="none" w:color="000000" w:sz="4"/>
              <w:left w:val="single" w:color="000000" w:sz="4"/>
              <w:bottom w:val="single" w:color="000000" w:sz="4"/>
              <w:right w:val="single" w:color="000000" w:sz="4"/>
            </w:tcBorders>
            <w:vAlign w:val="top"/>
          </w:tcPr>
          <w:p>
            <w:pPr>
              <w:jc w:val="both"/>
            </w:pPr>
            <w:r>
              <w:rPr>
                <w:sz w:val="21"/>
              </w:rPr>
              <w:t>1期：支付比例50% ，★合同签订</w:t>
            </w:r>
            <w:r>
              <w:rPr>
                <w:sz w:val="21"/>
              </w:rPr>
              <w:t>后</w:t>
            </w:r>
            <w:r>
              <w:rPr>
                <w:sz w:val="21"/>
              </w:rPr>
              <w:t>，</w:t>
            </w:r>
            <w:r>
              <w:rPr>
                <w:sz w:val="21"/>
              </w:rPr>
              <w:t>中标人</w:t>
            </w:r>
            <w:r>
              <w:rPr>
                <w:sz w:val="21"/>
              </w:rPr>
              <w:t>接到采购人通知供完上半年药剂并且提供防效调查及评估报告后，采购人支付合同总价的</w:t>
            </w:r>
            <w:r>
              <w:rPr>
                <w:sz w:val="21"/>
              </w:rPr>
              <w:t>50%给中标人。说明：采购数量和总的结算金额按实结算，以投标单位报的单价为结算依据。</w:t>
            </w:r>
          </w:p>
          <w:p>
            <w:pPr>
              <w:jc w:val="both"/>
            </w:pPr>
            <w:r>
              <w:rPr>
                <w:sz w:val="21"/>
              </w:rPr>
              <w:t>2期：支付比例50% ，★中标人接到采购人通知供完下半年药剂并且提供防效调查及评估报告后， 采购人支付合同总价的50%给中标人。说明：采购数量和总的结算金额按实结算，以投标单位报的单价为结算依据。</w:t>
            </w:r>
          </w:p>
        </w:tc>
      </w:tr>
      <w:tr>
        <w:tc>
          <w:tcPr>
            <w:tcW w:type="dxa" w:w="1518"/>
            <w:tcBorders>
              <w:top w:val="none" w:color="000000" w:sz="4"/>
              <w:left w:val="single" w:color="000000" w:sz="4"/>
              <w:bottom w:val="single" w:color="000000" w:sz="4"/>
              <w:right w:val="single" w:color="000000" w:sz="4"/>
            </w:tcBorders>
            <w:vAlign w:val="top"/>
          </w:tcPr>
          <w:p>
            <w:pPr>
              <w:jc w:val="center"/>
            </w:pPr>
            <w:r>
              <w:rPr>
                <w:sz w:val="21"/>
              </w:rPr>
              <w:t>采购包</w:t>
            </w:r>
            <w:r>
              <w:rPr>
                <w:sz w:val="21"/>
              </w:rPr>
              <w:t>1</w:t>
            </w:r>
          </w:p>
        </w:tc>
        <w:tc>
          <w:tcPr>
            <w:tcW w:type="dxa" w:w="2158"/>
            <w:tcBorders>
              <w:top w:val="none" w:color="000000" w:sz="4"/>
              <w:left w:val="single" w:color="000000" w:sz="4"/>
              <w:bottom w:val="single" w:color="000000" w:sz="4"/>
              <w:right w:val="single" w:color="000000" w:sz="4"/>
            </w:tcBorders>
            <w:vAlign w:val="top"/>
          </w:tcPr>
          <w:p>
            <w:pPr>
              <w:jc w:val="center"/>
            </w:pPr>
            <w:r>
              <w:rPr>
                <w:sz w:val="21"/>
              </w:rPr>
              <w:t>报价要求</w:t>
            </w:r>
          </w:p>
        </w:tc>
        <w:tc>
          <w:tcPr>
            <w:tcW w:type="dxa" w:w="4629"/>
            <w:tcBorders>
              <w:top w:val="none" w:color="000000" w:sz="4"/>
              <w:left w:val="single" w:color="000000" w:sz="4"/>
              <w:bottom w:val="single" w:color="000000" w:sz="4"/>
              <w:right w:val="single" w:color="000000" w:sz="4"/>
            </w:tcBorders>
            <w:vAlign w:val="top"/>
          </w:tcPr>
          <w:p>
            <w:pPr>
              <w:jc w:val="left"/>
            </w:pPr>
            <w:r>
              <w:rPr>
                <w:sz w:val="21"/>
              </w:rPr>
              <w:t>★</w:t>
            </w:r>
            <w:r>
              <w:rPr>
                <w:sz w:val="21"/>
              </w:rPr>
              <w:t>1.1.按单价报价，报价不得超过项目单价最高限价；</w:t>
            </w:r>
            <w:r>
              <w:rPr>
                <w:sz w:val="21"/>
              </w:rPr>
              <w:t>投标报价应包括货物供货、运输、装卸费、仓储保管、交通费、培训、验收、售后、防效评估及相关服务等的全部费用，投标报价以人民币为货币单位，单价、小计应清楚表达。</w:t>
            </w:r>
          </w:p>
          <w:p>
            <w:pPr>
              <w:jc w:val="both"/>
            </w:pPr>
            <w:r>
              <w:rPr>
                <w:sz w:val="21"/>
              </w:rPr>
              <w:t>★</w:t>
            </w:r>
            <w:r>
              <w:rPr>
                <w:sz w:val="21"/>
              </w:rPr>
              <w:t>1.2.</w:t>
            </w:r>
            <w:r>
              <w:rPr>
                <w:color w:val="222222"/>
                <w:sz w:val="21"/>
              </w:rPr>
              <w:t>项目结算金额累计达到</w:t>
            </w:r>
            <w:r>
              <w:rPr>
                <w:sz w:val="21"/>
              </w:rPr>
              <w:t>项目</w:t>
            </w:r>
            <w:r>
              <w:rPr>
                <w:color w:val="222222"/>
                <w:sz w:val="21"/>
              </w:rPr>
              <w:t>采购预算金额</w:t>
            </w:r>
            <w:r>
              <w:rPr>
                <w:color w:val="222222"/>
                <w:sz w:val="21"/>
              </w:rPr>
              <w:t>，</w:t>
            </w:r>
            <w:r>
              <w:rPr>
                <w:sz w:val="21"/>
              </w:rPr>
              <w:t>合同</w:t>
            </w:r>
            <w:r>
              <w:rPr>
                <w:sz w:val="21"/>
              </w:rPr>
              <w:t>终</w:t>
            </w:r>
            <w:r>
              <w:rPr>
                <w:sz w:val="21"/>
              </w:rPr>
              <w:t>止。</w:t>
            </w:r>
          </w:p>
        </w:tc>
      </w:tr>
      <w:tr>
        <w:tc>
          <w:tcPr>
            <w:tcW w:type="dxa" w:w="1518"/>
            <w:tcBorders>
              <w:top w:val="none" w:color="000000" w:sz="4"/>
              <w:left w:val="single" w:color="000000" w:sz="4"/>
              <w:bottom w:val="single" w:color="000000" w:sz="4"/>
              <w:right w:val="single" w:color="000000" w:sz="4"/>
            </w:tcBorders>
            <w:vAlign w:val="top"/>
          </w:tcPr>
          <w:p>
            <w:pPr>
              <w:jc w:val="center"/>
            </w:pPr>
            <w:r>
              <w:rPr>
                <w:sz w:val="21"/>
              </w:rPr>
              <w:t>采购包</w:t>
            </w:r>
            <w:r>
              <w:rPr>
                <w:sz w:val="21"/>
              </w:rPr>
              <w:t>1</w:t>
            </w:r>
          </w:p>
        </w:tc>
        <w:tc>
          <w:tcPr>
            <w:tcW w:type="dxa" w:w="2158"/>
            <w:tcBorders>
              <w:top w:val="none" w:color="000000" w:sz="4"/>
              <w:left w:val="single" w:color="000000" w:sz="4"/>
              <w:bottom w:val="single" w:color="000000" w:sz="4"/>
              <w:right w:val="single" w:color="000000" w:sz="4"/>
            </w:tcBorders>
            <w:vAlign w:val="top"/>
          </w:tcPr>
          <w:p>
            <w:pPr>
              <w:jc w:val="center"/>
            </w:pPr>
            <w:r>
              <w:rPr>
                <w:sz w:val="21"/>
              </w:rPr>
              <w:t>供货要求</w:t>
            </w:r>
          </w:p>
        </w:tc>
        <w:tc>
          <w:tcPr>
            <w:tcW w:type="dxa" w:w="4629"/>
            <w:tcBorders>
              <w:top w:val="none" w:color="000000" w:sz="4"/>
              <w:left w:val="single" w:color="000000" w:sz="4"/>
              <w:bottom w:val="single" w:color="000000" w:sz="4"/>
              <w:right w:val="single" w:color="000000" w:sz="4"/>
            </w:tcBorders>
            <w:vAlign w:val="top"/>
          </w:tcPr>
          <w:p>
            <w:pPr>
              <w:jc w:val="left"/>
            </w:pPr>
            <w:r>
              <w:rPr>
                <w:color w:val="000000"/>
                <w:sz w:val="21"/>
              </w:rPr>
              <w:t>★</w:t>
            </w:r>
            <w:r>
              <w:rPr>
                <w:color w:val="000000"/>
                <w:sz w:val="21"/>
              </w:rPr>
              <w:t>2.3.中标人所供货物须为原厂包装，质量符合国家相关标准，包装均应有良好的防湿、防锈、防潮、防雨、防腐及防碰撞的措施。货物要求有包装材料保护运至现场。因包装不良造成的损失由中标人负责。</w:t>
            </w:r>
          </w:p>
        </w:tc>
      </w:tr>
      <w:tr>
        <w:tc>
          <w:tcPr>
            <w:tcW w:type="dxa" w:w="1518"/>
            <w:tcBorders>
              <w:top w:val="none" w:color="000000" w:sz="4"/>
              <w:left w:val="single" w:color="000000" w:sz="4"/>
              <w:bottom w:val="single" w:color="000000" w:sz="4"/>
              <w:right w:val="single" w:color="000000" w:sz="4"/>
            </w:tcBorders>
            <w:vAlign w:val="top"/>
          </w:tcPr>
          <w:p>
            <w:pPr>
              <w:jc w:val="center"/>
            </w:pPr>
            <w:r>
              <w:rPr>
                <w:sz w:val="21"/>
              </w:rPr>
              <w:t>采购包</w:t>
            </w:r>
            <w:r>
              <w:rPr>
                <w:sz w:val="21"/>
              </w:rPr>
              <w:t>1</w:t>
            </w:r>
          </w:p>
        </w:tc>
        <w:tc>
          <w:tcPr>
            <w:tcW w:type="dxa" w:w="2158"/>
            <w:tcBorders>
              <w:top w:val="none" w:color="000000" w:sz="4"/>
              <w:left w:val="single" w:color="000000" w:sz="4"/>
              <w:bottom w:val="single" w:color="000000" w:sz="4"/>
              <w:right w:val="single" w:color="000000" w:sz="4"/>
            </w:tcBorders>
            <w:vAlign w:val="top"/>
          </w:tcPr>
          <w:p>
            <w:pPr>
              <w:jc w:val="center"/>
            </w:pPr>
            <w:r>
              <w:rPr>
                <w:sz w:val="21"/>
              </w:rPr>
              <w:t>售后服务</w:t>
            </w:r>
          </w:p>
        </w:tc>
        <w:tc>
          <w:tcPr>
            <w:tcW w:type="dxa" w:w="4629"/>
            <w:tcBorders>
              <w:top w:val="none" w:color="000000" w:sz="4"/>
              <w:left w:val="single" w:color="000000" w:sz="4"/>
              <w:bottom w:val="single" w:color="000000" w:sz="4"/>
              <w:right w:val="single" w:color="000000" w:sz="4"/>
            </w:tcBorders>
            <w:vAlign w:val="top"/>
          </w:tcPr>
          <w:p>
            <w:pPr>
              <w:jc w:val="left"/>
            </w:pPr>
            <w:r>
              <w:rPr>
                <w:sz w:val="21"/>
              </w:rPr>
              <w:t>★</w:t>
            </w:r>
            <w:r>
              <w:rPr>
                <w:sz w:val="21"/>
              </w:rPr>
              <w:t>3.1.</w:t>
            </w:r>
            <w:r>
              <w:rPr>
                <w:sz w:val="21"/>
              </w:rPr>
              <w:t>春防、秋防结束后，中标人须按采购人要求，</w:t>
            </w:r>
            <w:r>
              <w:rPr>
                <w:sz w:val="21"/>
              </w:rPr>
              <w:t>对采购人指定的</w:t>
            </w:r>
            <w:r>
              <w:rPr>
                <w:sz w:val="21"/>
              </w:rPr>
              <w:t>23个镇街开展两次防效调查及评估工作，并撰写评估报告。评估报告包括但不限于疫情分布情况、疫情发生程度、防治效果分析等内容。</w:t>
            </w:r>
          </w:p>
          <w:p>
            <w:pPr>
              <w:jc w:val="left"/>
            </w:pPr>
            <w:r>
              <w:rPr>
                <w:color w:val="000000"/>
                <w:sz w:val="21"/>
              </w:rPr>
              <w:t>★3.2.</w:t>
            </w:r>
            <w:r>
              <w:rPr>
                <w:color w:val="000000"/>
                <w:sz w:val="21"/>
              </w:rPr>
              <w:t>中标人</w:t>
            </w:r>
            <w:r>
              <w:rPr>
                <w:color w:val="000000"/>
                <w:sz w:val="21"/>
              </w:rPr>
              <w:t>负责对全市接受物资的镇街或单位负责红火蚁防控人员提供培训服务，培训内容包括防控药剂使用方法、注意事项等。</w:t>
            </w:r>
          </w:p>
          <w:p>
            <w:pPr>
              <w:jc w:val="left"/>
            </w:pPr>
            <w:r>
              <w:rPr>
                <w:sz w:val="21"/>
              </w:rPr>
              <w:t>★</w:t>
            </w:r>
            <w:r>
              <w:rPr>
                <w:sz w:val="21"/>
              </w:rPr>
              <w:t>3.4.</w:t>
            </w:r>
            <w:r>
              <w:rPr>
                <w:sz w:val="21"/>
              </w:rPr>
              <w:t>撒播器主要部件及电池免费保修</w:t>
            </w:r>
            <w:r>
              <w:rPr>
                <w:sz w:val="21"/>
              </w:rPr>
              <w:t>1年</w:t>
            </w:r>
            <w:r>
              <w:rPr>
                <w:sz w:val="21"/>
              </w:rPr>
              <w:t>以上，保修期满后提供售后维修服务。</w:t>
            </w:r>
          </w:p>
          <w:p>
            <w:pPr>
              <w:jc w:val="both"/>
            </w:pPr>
            <w:r>
              <w:rPr>
                <w:sz w:val="21"/>
              </w:rPr>
              <w:t>★</w:t>
            </w:r>
            <w:r>
              <w:rPr>
                <w:sz w:val="21"/>
              </w:rPr>
              <w:t>3.5.</w:t>
            </w:r>
            <w:r>
              <w:rPr>
                <w:sz w:val="21"/>
              </w:rPr>
              <w:t>在药剂有效期内，中标人派代表参与采购人组织药剂防效验证</w:t>
            </w:r>
            <w:r>
              <w:rPr>
                <w:sz w:val="21"/>
              </w:rPr>
              <w:t>。</w:t>
            </w:r>
            <w:r>
              <w:rPr>
                <w:sz w:val="21"/>
              </w:rPr>
              <w:t>如</w:t>
            </w:r>
            <w:r>
              <w:rPr>
                <w:sz w:val="21"/>
              </w:rPr>
              <w:t>防效未达</w:t>
            </w:r>
            <w:r>
              <w:rPr>
                <w:sz w:val="21"/>
              </w:rPr>
              <w:t>合同约定标准</w:t>
            </w:r>
            <w:r>
              <w:rPr>
                <w:sz w:val="21"/>
              </w:rPr>
              <w:t>则视为不合格产品，中</w:t>
            </w:r>
            <w:r>
              <w:rPr>
                <w:sz w:val="21"/>
              </w:rPr>
              <w:t>标人必须无条件更换为合格产品，且承担所有更换合格产品的费用</w:t>
            </w:r>
            <w:r>
              <w:rPr>
                <w:sz w:val="21"/>
              </w:rPr>
              <w:t>，并扣除合同总价的</w:t>
            </w:r>
            <w:r>
              <w:rPr>
                <w:sz w:val="21"/>
              </w:rPr>
              <w:t>5%作为违约金。</w:t>
            </w:r>
          </w:p>
        </w:tc>
      </w:tr>
      <w:tr>
        <w:tc>
          <w:tcPr>
            <w:tcW w:type="dxa" w:w="1518"/>
            <w:tcBorders>
              <w:top w:val="none" w:color="000000" w:sz="4"/>
              <w:left w:val="single" w:color="000000" w:sz="4"/>
              <w:bottom w:val="single" w:color="000000" w:sz="4"/>
              <w:right w:val="single" w:color="000000" w:sz="4"/>
            </w:tcBorders>
            <w:vAlign w:val="top"/>
          </w:tcPr>
          <w:p>
            <w:pPr>
              <w:jc w:val="center"/>
            </w:pPr>
            <w:r>
              <w:rPr>
                <w:sz w:val="21"/>
              </w:rPr>
              <w:t>采购包</w:t>
            </w:r>
            <w:r>
              <w:rPr>
                <w:sz w:val="21"/>
              </w:rPr>
              <w:t>1</w:t>
            </w:r>
          </w:p>
        </w:tc>
        <w:tc>
          <w:tcPr>
            <w:tcW w:type="dxa" w:w="2158"/>
            <w:tcBorders>
              <w:top w:val="none" w:color="000000" w:sz="4"/>
              <w:left w:val="single" w:color="000000" w:sz="4"/>
              <w:bottom w:val="single" w:color="000000" w:sz="4"/>
              <w:right w:val="single" w:color="000000" w:sz="4"/>
            </w:tcBorders>
            <w:vAlign w:val="top"/>
          </w:tcPr>
          <w:p>
            <w:pPr>
              <w:jc w:val="center"/>
            </w:pPr>
            <w:r>
              <w:rPr>
                <w:sz w:val="21"/>
              </w:rPr>
              <w:t>附表一：具体技术</w:t>
            </w:r>
            <w:r>
              <w:rPr>
                <w:sz w:val="21"/>
              </w:rPr>
              <w:t>(参数)要求</w:t>
            </w:r>
          </w:p>
        </w:tc>
        <w:tc>
          <w:tcPr>
            <w:tcW w:type="dxa" w:w="4629"/>
            <w:tcBorders>
              <w:top w:val="none" w:color="000000" w:sz="4"/>
              <w:left w:val="single" w:color="000000" w:sz="4"/>
              <w:bottom w:val="single" w:color="000000" w:sz="4"/>
              <w:right w:val="single" w:color="000000" w:sz="4"/>
            </w:tcBorders>
            <w:vAlign w:val="top"/>
          </w:tcPr>
          <w:p>
            <w:pPr>
              <w:jc w:val="left"/>
            </w:pPr>
            <w:r>
              <w:rPr>
                <w:sz w:val="21"/>
              </w:rPr>
              <w:t>★</w:t>
            </w:r>
            <w:r>
              <w:rPr>
                <w:sz w:val="21"/>
              </w:rPr>
              <w:t>2.3.投标人所投产品须具有有效农药登记证（</w:t>
            </w:r>
            <w:r>
              <w:rPr>
                <w:sz w:val="21"/>
              </w:rPr>
              <w:t>登记的防治对象：红火蚁</w:t>
            </w:r>
            <w:r>
              <w:rPr>
                <w:sz w:val="21"/>
              </w:rPr>
              <w:t>）、</w:t>
            </w:r>
            <w:r>
              <w:rPr>
                <w:sz w:val="21"/>
              </w:rPr>
              <w:t>农药生产许可</w:t>
            </w:r>
            <w:r>
              <w:rPr>
                <w:sz w:val="21"/>
              </w:rPr>
              <w:t>证</w:t>
            </w:r>
            <w:r>
              <w:rPr>
                <w:sz w:val="21"/>
              </w:rPr>
              <w:t>、</w:t>
            </w:r>
            <w:r>
              <w:rPr>
                <w:sz w:val="21"/>
              </w:rPr>
              <w:t>农药标准证</w:t>
            </w:r>
            <w:r>
              <w:rPr>
                <w:sz w:val="21"/>
              </w:rPr>
              <w:t>；</w:t>
            </w:r>
            <w:r>
              <w:rPr>
                <w:b/>
                <w:sz w:val="21"/>
              </w:rPr>
              <w:t>（需提供证明材料并加盖投标人公章）</w:t>
            </w:r>
          </w:p>
        </w:tc>
      </w:tr>
      <w:tr>
        <w:tc>
          <w:tcPr>
            <w:tcW w:type="dxa" w:w="1518"/>
            <w:tcBorders>
              <w:top w:val="none" w:color="000000" w:sz="4"/>
              <w:left w:val="single" w:color="000000" w:sz="4"/>
              <w:bottom w:val="single" w:color="000000" w:sz="4"/>
              <w:right w:val="single" w:color="000000" w:sz="4"/>
            </w:tcBorders>
            <w:vAlign w:val="top"/>
          </w:tcPr>
          <w:p>
            <w:pPr>
              <w:jc w:val="center"/>
            </w:pPr>
            <w:r>
              <w:rPr>
                <w:sz w:val="21"/>
              </w:rPr>
              <w:t>采购包</w:t>
            </w:r>
            <w:r>
              <w:rPr>
                <w:sz w:val="21"/>
              </w:rPr>
              <w:t>2</w:t>
            </w:r>
          </w:p>
        </w:tc>
        <w:tc>
          <w:tcPr>
            <w:tcW w:type="dxa" w:w="2158"/>
            <w:tcBorders>
              <w:top w:val="none" w:color="000000" w:sz="4"/>
              <w:left w:val="single" w:color="000000" w:sz="4"/>
              <w:bottom w:val="single" w:color="000000" w:sz="4"/>
              <w:right w:val="single" w:color="000000" w:sz="4"/>
            </w:tcBorders>
            <w:vAlign w:val="top"/>
          </w:tcPr>
          <w:p>
            <w:pPr>
              <w:jc w:val="center"/>
            </w:pPr>
            <w:r>
              <w:rPr>
                <w:sz w:val="21"/>
              </w:rPr>
              <w:t>付款方式</w:t>
            </w:r>
          </w:p>
        </w:tc>
        <w:tc>
          <w:tcPr>
            <w:tcW w:type="dxa" w:w="4629"/>
            <w:tcBorders>
              <w:top w:val="none" w:color="000000" w:sz="4"/>
              <w:left w:val="single" w:color="000000" w:sz="4"/>
              <w:bottom w:val="single" w:color="000000" w:sz="4"/>
              <w:right w:val="single" w:color="000000" w:sz="4"/>
            </w:tcBorders>
            <w:vAlign w:val="top"/>
          </w:tcPr>
          <w:p>
            <w:pPr>
              <w:jc w:val="both"/>
            </w:pPr>
            <w:r>
              <w:rPr>
                <w:sz w:val="21"/>
              </w:rPr>
              <w:t>1期：</w:t>
            </w:r>
            <w:r>
              <w:rPr>
                <w:sz w:val="21"/>
              </w:rPr>
              <w:t>支付</w:t>
            </w:r>
            <w:r>
              <w:rPr>
                <w:sz w:val="21"/>
              </w:rPr>
              <w:t>比例</w:t>
            </w:r>
            <w:r>
              <w:rPr>
                <w:sz w:val="21"/>
              </w:rPr>
              <w:t>30%，</w:t>
            </w:r>
            <w:r>
              <w:rPr>
                <w:sz w:val="21"/>
              </w:rPr>
              <w:t>★合同签订后支付合同金额的30%</w:t>
            </w:r>
            <w:r>
              <w:rPr>
                <w:sz w:val="21"/>
              </w:rPr>
              <w:t>；</w:t>
            </w:r>
          </w:p>
          <w:p>
            <w:pPr>
              <w:jc w:val="both"/>
            </w:pPr>
            <w:r>
              <w:rPr>
                <w:sz w:val="21"/>
              </w:rPr>
              <w:t>2期：</w:t>
            </w:r>
            <w:r>
              <w:rPr>
                <w:sz w:val="21"/>
              </w:rPr>
              <w:t>支付</w:t>
            </w:r>
            <w:r>
              <w:rPr>
                <w:sz w:val="21"/>
              </w:rPr>
              <w:t>比例</w:t>
            </w:r>
            <w:r>
              <w:rPr>
                <w:sz w:val="21"/>
              </w:rPr>
              <w:t>30%，</w:t>
            </w:r>
            <w:r>
              <w:rPr>
                <w:sz w:val="21"/>
              </w:rPr>
              <w:t>★第</w:t>
            </w:r>
            <w:r>
              <w:rPr>
                <w:sz w:val="21"/>
              </w:rPr>
              <w:t>一</w:t>
            </w:r>
            <w:r>
              <w:rPr>
                <w:sz w:val="21"/>
              </w:rPr>
              <w:t>次</w:t>
            </w:r>
            <w:r>
              <w:rPr>
                <w:sz w:val="21"/>
              </w:rPr>
              <w:t>全域</w:t>
            </w:r>
            <w:r>
              <w:rPr>
                <w:sz w:val="21"/>
              </w:rPr>
              <w:t>监测完成并提交项目成果材料后</w:t>
            </w:r>
            <w:r>
              <w:rPr>
                <w:sz w:val="21"/>
              </w:rPr>
              <w:t>，</w:t>
            </w:r>
            <w:r>
              <w:rPr>
                <w:sz w:val="21"/>
              </w:rPr>
              <w:t>支付合同金额的</w:t>
            </w:r>
            <w:r>
              <w:rPr>
                <w:sz w:val="21"/>
              </w:rPr>
              <w:t>30%</w:t>
            </w:r>
            <w:r>
              <w:rPr>
                <w:sz w:val="21"/>
              </w:rPr>
              <w:t>；</w:t>
            </w:r>
          </w:p>
          <w:p>
            <w:pPr>
              <w:jc w:val="both"/>
            </w:pPr>
            <w:r>
              <w:rPr>
                <w:sz w:val="21"/>
              </w:rPr>
              <w:t>3期：</w:t>
            </w:r>
            <w:r>
              <w:rPr>
                <w:sz w:val="21"/>
              </w:rPr>
              <w:t>支付</w:t>
            </w:r>
            <w:r>
              <w:rPr>
                <w:sz w:val="21"/>
              </w:rPr>
              <w:t>比例</w:t>
            </w:r>
            <w:r>
              <w:rPr>
                <w:sz w:val="21"/>
              </w:rPr>
              <w:t>30%，</w:t>
            </w:r>
            <w:r>
              <w:rPr>
                <w:sz w:val="21"/>
              </w:rPr>
              <w:t>★第</w:t>
            </w:r>
            <w:r>
              <w:rPr>
                <w:sz w:val="21"/>
              </w:rPr>
              <w:t>二</w:t>
            </w:r>
            <w:r>
              <w:rPr>
                <w:sz w:val="21"/>
              </w:rPr>
              <w:t>次</w:t>
            </w:r>
            <w:r>
              <w:rPr>
                <w:sz w:val="21"/>
              </w:rPr>
              <w:t>全域</w:t>
            </w:r>
            <w:r>
              <w:rPr>
                <w:sz w:val="21"/>
              </w:rPr>
              <w:t>监测完成并提交项目成果材料后</w:t>
            </w:r>
            <w:r>
              <w:rPr>
                <w:sz w:val="21"/>
              </w:rPr>
              <w:t>,支付合同金额的30%,</w:t>
            </w:r>
          </w:p>
          <w:p>
            <w:pPr>
              <w:jc w:val="both"/>
            </w:pPr>
            <w:r>
              <w:rPr>
                <w:sz w:val="21"/>
              </w:rPr>
              <w:t>4期：</w:t>
            </w:r>
            <w:r>
              <w:rPr>
                <w:sz w:val="21"/>
              </w:rPr>
              <w:t>支付</w:t>
            </w:r>
            <w:r>
              <w:rPr>
                <w:sz w:val="21"/>
              </w:rPr>
              <w:t>比例</w:t>
            </w:r>
            <w:r>
              <w:rPr>
                <w:sz w:val="21"/>
              </w:rPr>
              <w:t>10%，</w:t>
            </w:r>
            <w:r>
              <w:rPr>
                <w:sz w:val="21"/>
              </w:rPr>
              <w:t>★余款在通过所有验收之后付清。</w:t>
            </w:r>
          </w:p>
        </w:tc>
      </w:tr>
      <w:tr>
        <w:tc>
          <w:tcPr>
            <w:tcW w:type="dxa" w:w="1518"/>
            <w:tcBorders>
              <w:top w:val="none" w:color="000000" w:sz="4"/>
              <w:left w:val="single" w:color="000000" w:sz="4"/>
              <w:bottom w:val="single" w:color="000000" w:sz="4"/>
              <w:right w:val="single" w:color="000000" w:sz="4"/>
            </w:tcBorders>
            <w:vAlign w:val="top"/>
          </w:tcPr>
          <w:p>
            <w:pPr>
              <w:jc w:val="center"/>
            </w:pPr>
            <w:r>
              <w:rPr>
                <w:sz w:val="21"/>
              </w:rPr>
              <w:t>采购包</w:t>
            </w:r>
            <w:r>
              <w:rPr>
                <w:sz w:val="21"/>
              </w:rPr>
              <w:t>2</w:t>
            </w:r>
          </w:p>
        </w:tc>
        <w:tc>
          <w:tcPr>
            <w:tcW w:type="dxa" w:w="2158"/>
            <w:tcBorders>
              <w:top w:val="none" w:color="000000" w:sz="4"/>
              <w:left w:val="single" w:color="000000" w:sz="4"/>
              <w:bottom w:val="single" w:color="000000" w:sz="4"/>
              <w:right w:val="single" w:color="000000" w:sz="4"/>
            </w:tcBorders>
            <w:vAlign w:val="top"/>
          </w:tcPr>
          <w:p>
            <w:pPr>
              <w:jc w:val="center"/>
            </w:pPr>
            <w:r>
              <w:rPr>
                <w:sz w:val="21"/>
              </w:rPr>
              <w:t>报价要求</w:t>
            </w:r>
          </w:p>
        </w:tc>
        <w:tc>
          <w:tcPr>
            <w:tcW w:type="dxa" w:w="4629"/>
            <w:tcBorders>
              <w:top w:val="none" w:color="000000" w:sz="4"/>
              <w:left w:val="single" w:color="000000" w:sz="4"/>
              <w:bottom w:val="single" w:color="000000" w:sz="4"/>
              <w:right w:val="single" w:color="000000" w:sz="4"/>
            </w:tcBorders>
            <w:vAlign w:val="top"/>
          </w:tcPr>
          <w:p>
            <w:pPr>
              <w:jc w:val="left"/>
            </w:pPr>
            <w:r>
              <w:rPr>
                <w:sz w:val="21"/>
              </w:rPr>
              <w:t>★</w:t>
            </w:r>
            <w:r>
              <w:rPr>
                <w:sz w:val="21"/>
              </w:rPr>
              <w:t>1.1.按总价报价，</w:t>
            </w:r>
            <w:r>
              <w:rPr>
                <w:sz w:val="21"/>
              </w:rPr>
              <w:t>投标报价应包括红火蚁监测调查服务全部费用，包括但不限于人工费、材料费、住宿费、交通费、保险费、资料费、专家技术费、软件使用及存储费、培训费、税费等的全部费用</w:t>
            </w:r>
            <w:r>
              <w:rPr>
                <w:sz w:val="21"/>
              </w:rPr>
              <w:t>；</w:t>
            </w:r>
          </w:p>
          <w:p>
            <w:pPr>
              <w:jc w:val="left"/>
            </w:pPr>
            <w:r>
              <w:rPr>
                <w:sz w:val="21"/>
              </w:rPr>
              <w:t>★</w:t>
            </w:r>
            <w:r>
              <w:rPr>
                <w:sz w:val="21"/>
              </w:rPr>
              <w:t>1.2.</w:t>
            </w:r>
            <w:r>
              <w:rPr>
                <w:sz w:val="21"/>
              </w:rPr>
              <w:t>投标报价以人民币为货币单位，单价、小计和总价应清楚表达。</w:t>
            </w:r>
          </w:p>
        </w:tc>
      </w:tr>
      <w:tr>
        <w:tc>
          <w:tcPr>
            <w:tcW w:type="dxa" w:w="1518"/>
            <w:tcBorders>
              <w:top w:val="none" w:color="000000" w:sz="4"/>
              <w:left w:val="single" w:color="000000" w:sz="4"/>
              <w:bottom w:val="single" w:color="000000" w:sz="4"/>
              <w:right w:val="single" w:color="000000" w:sz="4"/>
            </w:tcBorders>
            <w:vAlign w:val="top"/>
          </w:tcPr>
          <w:p>
            <w:pPr>
              <w:jc w:val="center"/>
            </w:pPr>
            <w:r>
              <w:rPr>
                <w:sz w:val="21"/>
              </w:rPr>
              <w:t>采购包</w:t>
            </w:r>
            <w:r>
              <w:rPr>
                <w:sz w:val="21"/>
              </w:rPr>
              <w:t>2</w:t>
            </w:r>
          </w:p>
        </w:tc>
        <w:tc>
          <w:tcPr>
            <w:tcW w:type="dxa" w:w="2158"/>
            <w:tcBorders>
              <w:top w:val="none" w:color="000000" w:sz="4"/>
              <w:left w:val="single" w:color="000000" w:sz="4"/>
              <w:bottom w:val="single" w:color="000000" w:sz="4"/>
              <w:right w:val="single" w:color="000000" w:sz="4"/>
            </w:tcBorders>
            <w:vAlign w:val="top"/>
          </w:tcPr>
          <w:p>
            <w:pPr>
              <w:jc w:val="center"/>
            </w:pPr>
            <w:r>
              <w:rPr>
                <w:sz w:val="21"/>
              </w:rPr>
              <w:t>保密措施</w:t>
            </w:r>
          </w:p>
        </w:tc>
        <w:tc>
          <w:tcPr>
            <w:tcW w:type="dxa" w:w="4629"/>
            <w:tcBorders>
              <w:top w:val="none" w:color="000000" w:sz="4"/>
              <w:left w:val="single" w:color="000000" w:sz="4"/>
              <w:bottom w:val="single" w:color="000000" w:sz="4"/>
              <w:right w:val="single" w:color="000000" w:sz="4"/>
            </w:tcBorders>
            <w:vAlign w:val="top"/>
          </w:tcPr>
          <w:p>
            <w:pPr>
              <w:jc w:val="left"/>
            </w:pPr>
            <w:r>
              <w:rPr>
                <w:sz w:val="21"/>
              </w:rPr>
              <w:t>★</w:t>
            </w:r>
            <w:r>
              <w:rPr>
                <w:sz w:val="21"/>
              </w:rPr>
              <w:t>3.1.</w:t>
            </w:r>
            <w:r>
              <w:rPr>
                <w:sz w:val="21"/>
              </w:rPr>
              <w:t>签订合同时</w:t>
            </w:r>
            <w:r>
              <w:rPr>
                <w:sz w:val="21"/>
              </w:rPr>
              <w:t>，</w:t>
            </w:r>
            <w:r>
              <w:rPr>
                <w:sz w:val="21"/>
              </w:rPr>
              <w:t>按照相关要求</w:t>
            </w:r>
            <w:r>
              <w:rPr>
                <w:sz w:val="21"/>
              </w:rPr>
              <w:t>,签订保密协议。未经采购人书面许可</w:t>
            </w:r>
            <w:r>
              <w:rPr>
                <w:sz w:val="21"/>
              </w:rPr>
              <w:t>，</w:t>
            </w:r>
            <w:r>
              <w:rPr>
                <w:sz w:val="21"/>
              </w:rPr>
              <w:t>中标人</w:t>
            </w:r>
            <w:r>
              <w:rPr>
                <w:sz w:val="21"/>
              </w:rPr>
              <w:t>不得向任何第三方提供和透露从采购人方获得的所有资料、数据和信息</w:t>
            </w:r>
            <w:r>
              <w:rPr>
                <w:sz w:val="21"/>
              </w:rPr>
              <w:t>。</w:t>
            </w:r>
            <w:r>
              <w:rPr>
                <w:sz w:val="21"/>
              </w:rPr>
              <w:t>(需提供承诺函,格式自拟)</w:t>
            </w:r>
          </w:p>
          <w:p>
            <w:pPr>
              <w:jc w:val="left"/>
            </w:pPr>
            <w:r>
              <w:rPr>
                <w:sz w:val="21"/>
              </w:rPr>
              <w:t>★</w:t>
            </w:r>
            <w:r>
              <w:rPr>
                <w:sz w:val="21"/>
              </w:rPr>
              <w:t>3.2.</w:t>
            </w:r>
            <w:r>
              <w:rPr>
                <w:sz w:val="21"/>
              </w:rPr>
              <w:t>对所有参与项目人员进行保密培训</w:t>
            </w:r>
            <w:r>
              <w:rPr>
                <w:sz w:val="21"/>
              </w:rPr>
              <w:t>，</w:t>
            </w:r>
            <w:r>
              <w:rPr>
                <w:sz w:val="21"/>
              </w:rPr>
              <w:t>教育项目人员须有对项目各种文件、数据和信息资料履行保密的义务。如对项目内容及其相关内容发生泄密事故的</w:t>
            </w:r>
            <w:r>
              <w:rPr>
                <w:sz w:val="21"/>
              </w:rPr>
              <w:t>，</w:t>
            </w:r>
            <w:r>
              <w:rPr>
                <w:sz w:val="21"/>
              </w:rPr>
              <w:t>过错方应对泄密造成的后果承担相应的法律责任。</w:t>
            </w:r>
            <w:r>
              <w:rPr>
                <w:sz w:val="21"/>
              </w:rPr>
              <w:t>(需提供承诺函,格式自拟)</w:t>
            </w:r>
          </w:p>
        </w:tc>
      </w:tr>
      <w:tr>
        <w:tc>
          <w:tcPr>
            <w:tcW w:type="dxa" w:w="1518"/>
            <w:tcBorders>
              <w:top w:val="none" w:color="000000" w:sz="4"/>
              <w:left w:val="single" w:color="000000" w:sz="4"/>
              <w:bottom w:val="single" w:color="000000" w:sz="4"/>
              <w:right w:val="single" w:color="000000" w:sz="4"/>
            </w:tcBorders>
            <w:vAlign w:val="top"/>
          </w:tcPr>
          <w:p>
            <w:pPr>
              <w:jc w:val="center"/>
            </w:pPr>
            <w:r>
              <w:rPr>
                <w:sz w:val="21"/>
              </w:rPr>
              <w:t>采购包</w:t>
            </w:r>
            <w:r>
              <w:rPr>
                <w:sz w:val="21"/>
              </w:rPr>
              <w:t>2</w:t>
            </w:r>
          </w:p>
        </w:tc>
        <w:tc>
          <w:tcPr>
            <w:tcW w:type="dxa" w:w="2158"/>
            <w:tcBorders>
              <w:top w:val="none" w:color="000000" w:sz="4"/>
              <w:left w:val="single" w:color="000000" w:sz="4"/>
              <w:bottom w:val="single" w:color="000000" w:sz="4"/>
              <w:right w:val="single" w:color="000000" w:sz="4"/>
            </w:tcBorders>
            <w:vAlign w:val="top"/>
          </w:tcPr>
          <w:p>
            <w:pPr>
              <w:jc w:val="center"/>
            </w:pPr>
            <w:r>
              <w:rPr>
                <w:sz w:val="21"/>
              </w:rPr>
              <w:t>违约处罚</w:t>
            </w:r>
          </w:p>
        </w:tc>
        <w:tc>
          <w:tcPr>
            <w:tcW w:type="dxa" w:w="4629"/>
            <w:tcBorders>
              <w:top w:val="none" w:color="000000" w:sz="4"/>
              <w:left w:val="single" w:color="000000" w:sz="4"/>
              <w:bottom w:val="single" w:color="000000" w:sz="4"/>
              <w:right w:val="single" w:color="000000" w:sz="4"/>
            </w:tcBorders>
            <w:vAlign w:val="top"/>
          </w:tcPr>
          <w:p>
            <w:pPr>
              <w:jc w:val="left"/>
            </w:pPr>
            <w:r>
              <w:rPr>
                <w:sz w:val="21"/>
              </w:rPr>
              <w:t>★</w:t>
            </w:r>
            <w:r>
              <w:rPr>
                <w:sz w:val="21"/>
              </w:rPr>
              <w:t>项目实施过程中</w:t>
            </w:r>
            <w:r>
              <w:rPr>
                <w:sz w:val="21"/>
              </w:rPr>
              <w:t>，</w:t>
            </w:r>
            <w:r>
              <w:rPr>
                <w:sz w:val="21"/>
              </w:rPr>
              <w:t>若</w:t>
            </w:r>
            <w:r>
              <w:rPr>
                <w:sz w:val="21"/>
              </w:rPr>
              <w:t>中标人</w:t>
            </w:r>
            <w:r>
              <w:rPr>
                <w:sz w:val="21"/>
              </w:rPr>
              <w:t>未按要求完成本项目</w:t>
            </w:r>
            <w:r>
              <w:rPr>
                <w:sz w:val="21"/>
              </w:rPr>
              <w:t>，</w:t>
            </w:r>
            <w:r>
              <w:rPr>
                <w:sz w:val="21"/>
              </w:rPr>
              <w:t>采购人有权要求</w:t>
            </w:r>
            <w:r>
              <w:rPr>
                <w:sz w:val="21"/>
              </w:rPr>
              <w:t>中标人</w:t>
            </w:r>
            <w:r>
              <w:rPr>
                <w:sz w:val="21"/>
              </w:rPr>
              <w:t>按要求进行整改</w:t>
            </w:r>
            <w:r>
              <w:rPr>
                <w:sz w:val="21"/>
              </w:rPr>
              <w:t>，</w:t>
            </w:r>
            <w:r>
              <w:rPr>
                <w:sz w:val="21"/>
              </w:rPr>
              <w:t>整改不到位的</w:t>
            </w:r>
            <w:r>
              <w:rPr>
                <w:sz w:val="21"/>
              </w:rPr>
              <w:t>，</w:t>
            </w:r>
            <w:r>
              <w:rPr>
                <w:sz w:val="21"/>
              </w:rPr>
              <w:t>采购人有权提前中止合同</w:t>
            </w:r>
            <w:r>
              <w:rPr>
                <w:sz w:val="21"/>
              </w:rPr>
              <w:t>，</w:t>
            </w:r>
            <w:r>
              <w:rPr>
                <w:sz w:val="21"/>
              </w:rPr>
              <w:t>并拒绝支付余下款项。</w:t>
            </w:r>
          </w:p>
        </w:tc>
      </w:tr>
    </w:tbl>
    <w:p/>
    <w:p>
      <w:pPr>
        <w:ind w:firstLine="480"/>
      </w:pPr>
    </w:p>
    <w:p/>
    <w:p>
      <w:r>
        <w:rPr/>
        <w:t>采购包1（中山市农业农村局2023年红火蚁防控物资采购项目（二次））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项目按实结算，项目结算金额累计达到项目采购预算金额，合同终止。</w:t>
            </w:r>
          </w:p>
        </w:tc>
      </w:tr>
      <w:tr>
        <w:tc>
          <w:tcPr>
            <w:tcW w:type="dxa" w:w="4153"/>
          </w:tcPr>
          <w:p>
            <w:r>
              <w:rPr/>
              <w:t>标的提供的地点</w:t>
            </w:r>
          </w:p>
        </w:tc>
        <w:tc>
          <w:tcPr>
            <w:tcW w:type="dxa" w:w="4153"/>
          </w:tcPr>
          <w:p/>
          <w:p>
            <w:r>
              <w:rPr/>
              <w:t>中山市农业农村局指定地点</w:t>
            </w:r>
          </w:p>
        </w:tc>
      </w:tr>
      <w:tr>
        <w:tc>
          <w:tcPr>
            <w:tcW w:type="dxa" w:w="4153"/>
          </w:tcPr>
          <w:p>
            <w:r>
              <w:rPr/>
              <w:t>付款方式</w:t>
            </w:r>
          </w:p>
        </w:tc>
        <w:tc>
          <w:tcPr>
            <w:tcW w:type="dxa" w:w="4153"/>
          </w:tcPr>
          <w:p/>
          <w:p/>
          <w:p>
            <w:r>
              <w:rPr/>
              <w:t>1期：支付比例50%,★合同签订后，中标人接到采购人通知供完上半年药剂并且提供防效调查及评估报告后，采购人支付合同总价的50%给中标人。说明：采购数量和总的结算金额按实结算，以投标单位报的单价为结算依据。</w:t>
            </w:r>
          </w:p>
          <w:p/>
          <w:p>
            <w:r>
              <w:rPr/>
              <w:t>2期：支付比例50%,★中标人接到采购人通知供完下半年药剂并且提供防效调查及评估报告后，采购人支付合同总价的50%给中标人。说明：采购数量和总的结算金额按实结算，以投标单位报的单价为结算依据。</w:t>
            </w:r>
          </w:p>
        </w:tc>
      </w:tr>
      <w:tr>
        <w:tc>
          <w:tcPr>
            <w:tcW w:type="dxa" w:w="4153"/>
          </w:tcPr>
          <w:p>
            <w:r>
              <w:rPr/>
              <w:t>验收要求</w:t>
            </w:r>
          </w:p>
        </w:tc>
        <w:tc>
          <w:tcPr>
            <w:tcW w:type="dxa" w:w="4153"/>
          </w:tcPr>
          <w:p/>
          <w:p/>
          <w:p/>
          <w:p>
            <w:r>
              <w:rPr/>
              <w:t>1期：1.供货时，由采购人安排人员到现场进行验收并监督，根据国家、省、市有关标准进行验收并监督，验收合格后提供验收合格证明，中标人以此作为结算的依据。 2.采购人组成验收小组按中标通知书、投标文件、合同等进行验收。 3.验收标准：  3.1.货物为原厂包装。  3.2.交付验收标准：依次序对照适用标准为： 3.2.1.符合中华人民共和国国家安全质量标准或行业标准； 3.2.2.符合中标通知书和中标承诺中采购人认可的各项要求。 3.3.所有货物在开箱检验时必须完好，无破损，配置与装箱单相符。数量、质量及性能不低于本需求书中提出的要求。 4.验收不合格的，采购人有权拒绝收货，中标人应在该报告出具之日起两日内进行货品更换、补发。若因此造成逾期供货的，中标人应承担逾期供货的一切责任。 5.因货物质量问题发生争议时，由本地质量技术监督部门鉴定。货物符合质量技术标准的，鉴定费由采购人承担；否则鉴定费由中标人承担。 6.验收完毕后由采购人及中标人在验收报告上签名并加盖双方公章。</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其他，1.企业资质、2.同类项目业绩、3.综合实力</w:t>
            </w:r>
          </w:p>
        </w:tc>
      </w:tr>
    </w:tbl>
    <w:p/>
    <w:p>
      <w:r>
        <w:rPr/>
        <w:t>其他商务需求</w:t>
      </w:r>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1.1.按单价报价，报价不得超过项目单价最高限价；投标报价应包括货物供货、运输、装卸费、仓储保管、交通费、培训、验收、售后、防效评估及相关服务等的全部费用，投标报价以人民币为货币单位，单价、小计应清楚表达。 1.2.项目结算金额累计达到项目采购预算金额，合同终止。</w:t>
            </w:r>
          </w:p>
        </w:tc>
      </w:tr>
      <w:tr>
        <w:tc>
          <w:tcPr>
            <w:tcW w:type="dxa" w:w="2076"/>
          </w:tcPr>
          <w:p>
            <w:pPr>
              <w:jc w:val="center"/>
            </w:pPr>
          </w:p>
        </w:tc>
        <w:tc>
          <w:tcPr>
            <w:tcW w:type="dxa" w:w="2076"/>
          </w:tcPr>
          <w:p>
            <w:pPr>
              <w:jc w:val="center"/>
            </w:pPr>
            <w:r>
              <w:rPr/>
              <w:t>2</w:t>
            </w:r>
          </w:p>
        </w:tc>
        <w:tc>
          <w:tcPr>
            <w:tcW w:type="dxa" w:w="2076"/>
          </w:tcPr>
          <w:p>
            <w:pPr>
              <w:jc w:val="left"/>
            </w:pPr>
            <w:r>
              <w:rPr/>
              <w:t>供货要求</w:t>
            </w:r>
          </w:p>
        </w:tc>
        <w:tc>
          <w:tcPr>
            <w:tcW w:type="dxa" w:w="2076"/>
          </w:tcPr>
          <w:p>
            <w:pPr>
              <w:jc w:val="left"/>
            </w:pPr>
            <w:r>
              <w:rPr/>
              <w:t>2.1.分批供货，中标人需提供各批次的送货清单，用于各批次的货物验收。 2.2.中标人接到采购人的供货通知后，5个工作日内备齐所供药剂送到指定地点，并负责产品的售后技术指导、防治效果评估等服务。  ★2.3.中标人所供货物须为原厂包装，质量符合国家相关标准，包装均应有良好的防湿、防锈、防潮、防雨、防腐及防碰撞的措施。货物要求有包装材料保护运至现场。因包装不良造成的损失由中标人负责。  2.4.货物在验收合格前的保险由中标人负责，中标人负责其派出的现场服务人员人身意外保险。</w:t>
            </w:r>
          </w:p>
        </w:tc>
      </w:tr>
      <w:tr>
        <w:tc>
          <w:tcPr>
            <w:tcW w:type="dxa" w:w="2076"/>
          </w:tcPr>
          <w:p>
            <w:pPr>
              <w:jc w:val="center"/>
            </w:pPr>
          </w:p>
        </w:tc>
        <w:tc>
          <w:tcPr>
            <w:tcW w:type="dxa" w:w="2076"/>
          </w:tcPr>
          <w:p>
            <w:pPr>
              <w:jc w:val="center"/>
            </w:pPr>
            <w:r>
              <w:rPr/>
              <w:t>3</w:t>
            </w:r>
          </w:p>
        </w:tc>
        <w:tc>
          <w:tcPr>
            <w:tcW w:type="dxa" w:w="2076"/>
          </w:tcPr>
          <w:p>
            <w:pPr>
              <w:jc w:val="left"/>
            </w:pPr>
            <w:r>
              <w:rPr/>
              <w:t>售后服务</w:t>
            </w:r>
          </w:p>
        </w:tc>
        <w:tc>
          <w:tcPr>
            <w:tcW w:type="dxa" w:w="2076"/>
          </w:tcPr>
          <w:p>
            <w:pPr>
              <w:jc w:val="left"/>
            </w:pPr>
            <w:r>
              <w:rPr/>
              <w:t>★3.1.春防、秋防结束后，中标人须按采购人要求， 对采购人指定的23个镇街开展两次防效调查及评估工作，并撰写评估报告。评估报告包括但不限于疫情分布情况、疫情发生程度、防治效果分析等内容。 ★3.2.中标人负责对全市接受物资的镇街或单位负责红火蚁防控人员提供培训服务，培训内容包括防控药剂使用方法、注意事项等。 3.3.如发现用药问题，中标人须在24小时内响应，48小时内派人到现场，如确定为产品质量问题必须72小时内换货。 ★3.4.撒播器主要部件及电池免费保修1年以上，保修期满后提供售后维修服务。 ★3.5.在药剂有效期内，中标人派代表参与采购人组织药剂防效验证。如防效未达合同约定标准则视为不合格产品，中标人必须无条件更换为合格产品，且承担所有更换合格产品的费用，并扣除合同总价的5%作为违约金。</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化学农药</w:t>
            </w:r>
          </w:p>
        </w:tc>
        <w:tc>
          <w:tcPr>
            <w:tcW w:type="dxa" w:w="831"/>
          </w:tcPr>
          <w:p>
            <w:pPr>
              <w:jc w:val="left"/>
            </w:pPr>
            <w:r>
              <w:rPr/>
              <w:t>红火蚁防控药剂</w:t>
            </w:r>
          </w:p>
        </w:tc>
        <w:tc>
          <w:tcPr>
            <w:tcW w:type="dxa" w:w="831"/>
          </w:tcPr>
          <w:p>
            <w:pPr>
              <w:jc w:val="left"/>
            </w:pPr>
            <w:r>
              <w:rPr/>
              <w:t>千克</w:t>
            </w:r>
          </w:p>
        </w:tc>
        <w:tc>
          <w:tcPr>
            <w:tcW w:type="dxa" w:w="831"/>
          </w:tcPr>
          <w:p>
            <w:pPr>
              <w:jc w:val="right"/>
            </w:pPr>
            <w:r>
              <w:rPr/>
              <w:t>47,000.00</w:t>
            </w:r>
          </w:p>
        </w:tc>
        <w:tc>
          <w:tcPr>
            <w:tcW w:type="dxa" w:w="831"/>
          </w:tcPr>
          <w:p>
            <w:pPr>
              <w:jc w:val="right"/>
            </w:pPr>
            <w:r>
              <w:rPr/>
              <w:t>43.00</w:t>
            </w:r>
          </w:p>
        </w:tc>
        <w:tc>
          <w:tcPr>
            <w:tcW w:type="dxa" w:w="831"/>
          </w:tcPr>
          <w:p>
            <w:pPr>
              <w:jc w:val="right"/>
            </w:pPr>
            <w:r>
              <w:rPr/>
              <w:t>2,021,000.00</w:t>
            </w:r>
          </w:p>
        </w:tc>
        <w:tc>
          <w:tcPr>
            <w:tcW w:type="dxa" w:w="831"/>
          </w:tcPr>
          <w:p>
            <w:r>
              <w:rPr/>
              <w:t>农、林、牧、渔业</w:t>
            </w:r>
          </w:p>
        </w:tc>
        <w:tc>
          <w:tcPr>
            <w:tcW w:type="dxa" w:w="831"/>
          </w:tcPr>
          <w:p>
            <w:r>
              <w:rPr/>
              <w:t>详见附表一</w:t>
            </w:r>
          </w:p>
        </w:tc>
      </w:tr>
      <w:tr>
        <w:tc>
          <w:tcPr>
            <w:tcW w:type="dxa" w:w="831"/>
          </w:tcPr>
          <w:p>
            <w:pPr>
              <w:jc w:val="center"/>
            </w:pPr>
            <w:r>
              <w:rPr/>
              <w:t>2</w:t>
            </w:r>
          </w:p>
        </w:tc>
        <w:tc>
          <w:tcPr>
            <w:tcW w:type="dxa" w:w="831"/>
          </w:tcPr>
          <w:p>
            <w:pPr>
              <w:jc w:val="center"/>
            </w:pPr>
          </w:p>
        </w:tc>
        <w:tc>
          <w:tcPr>
            <w:tcW w:type="dxa" w:w="831"/>
          </w:tcPr>
          <w:p>
            <w:pPr>
              <w:jc w:val="left"/>
            </w:pPr>
            <w:r>
              <w:rPr/>
              <w:t>其他环境污染防治设备</w:t>
            </w:r>
          </w:p>
        </w:tc>
        <w:tc>
          <w:tcPr>
            <w:tcW w:type="dxa" w:w="831"/>
          </w:tcPr>
          <w:p>
            <w:pPr>
              <w:jc w:val="left"/>
            </w:pPr>
            <w:r>
              <w:rPr/>
              <w:t>红火蚁药剂电动撒播器</w:t>
            </w:r>
          </w:p>
        </w:tc>
        <w:tc>
          <w:tcPr>
            <w:tcW w:type="dxa" w:w="831"/>
          </w:tcPr>
          <w:p>
            <w:pPr>
              <w:jc w:val="left"/>
            </w:pPr>
            <w:r>
              <w:rPr/>
              <w:t>台</w:t>
            </w:r>
          </w:p>
        </w:tc>
        <w:tc>
          <w:tcPr>
            <w:tcW w:type="dxa" w:w="831"/>
          </w:tcPr>
          <w:p>
            <w:pPr>
              <w:jc w:val="right"/>
            </w:pPr>
            <w:r>
              <w:rPr/>
              <w:t>267.00</w:t>
            </w:r>
          </w:p>
        </w:tc>
        <w:tc>
          <w:tcPr>
            <w:tcW w:type="dxa" w:w="831"/>
          </w:tcPr>
          <w:p>
            <w:pPr>
              <w:jc w:val="right"/>
            </w:pPr>
            <w:r>
              <w:rPr/>
              <w:t>250.00</w:t>
            </w:r>
          </w:p>
        </w:tc>
        <w:tc>
          <w:tcPr>
            <w:tcW w:type="dxa" w:w="831"/>
          </w:tcPr>
          <w:p>
            <w:pPr>
              <w:jc w:val="right"/>
            </w:pPr>
            <w:r>
              <w:rPr/>
              <w:t>66,750.00</w:t>
            </w:r>
          </w:p>
        </w:tc>
        <w:tc>
          <w:tcPr>
            <w:tcW w:type="dxa" w:w="831"/>
          </w:tcPr>
          <w:p>
            <w:r>
              <w:rPr/>
              <w:t>农、林、牧、渔业</w:t>
            </w:r>
          </w:p>
        </w:tc>
        <w:tc>
          <w:tcPr>
            <w:tcW w:type="dxa" w:w="831"/>
          </w:tcPr>
          <w:p>
            <w:r>
              <w:rPr/>
              <w:t>详见附表二</w:t>
            </w:r>
          </w:p>
        </w:tc>
      </w:tr>
      <w:tr>
        <w:tc>
          <w:tcPr>
            <w:tcW w:type="dxa" w:w="831"/>
          </w:tcPr>
          <w:p>
            <w:pPr>
              <w:jc w:val="center"/>
            </w:pPr>
            <w:r>
              <w:rPr/>
              <w:t>3</w:t>
            </w:r>
          </w:p>
        </w:tc>
        <w:tc>
          <w:tcPr>
            <w:tcW w:type="dxa" w:w="831"/>
          </w:tcPr>
          <w:p>
            <w:pPr>
              <w:jc w:val="center"/>
            </w:pPr>
          </w:p>
        </w:tc>
        <w:tc>
          <w:tcPr>
            <w:tcW w:type="dxa" w:w="831"/>
          </w:tcPr>
          <w:p>
            <w:pPr>
              <w:jc w:val="left"/>
            </w:pPr>
            <w:r>
              <w:rPr/>
              <w:t>其他环境污染防治设备</w:t>
            </w:r>
          </w:p>
        </w:tc>
        <w:tc>
          <w:tcPr>
            <w:tcW w:type="dxa" w:w="831"/>
          </w:tcPr>
          <w:p>
            <w:pPr>
              <w:jc w:val="left"/>
            </w:pPr>
            <w:r>
              <w:rPr/>
              <w:t>红火蚁监测瓶及诱饵</w:t>
            </w:r>
          </w:p>
        </w:tc>
        <w:tc>
          <w:tcPr>
            <w:tcW w:type="dxa" w:w="831"/>
          </w:tcPr>
          <w:p>
            <w:pPr>
              <w:jc w:val="left"/>
            </w:pPr>
            <w:r>
              <w:rPr/>
              <w:t>个</w:t>
            </w:r>
          </w:p>
        </w:tc>
        <w:tc>
          <w:tcPr>
            <w:tcW w:type="dxa" w:w="831"/>
          </w:tcPr>
          <w:p>
            <w:pPr>
              <w:jc w:val="right"/>
            </w:pPr>
            <w:r>
              <w:rPr/>
              <w:t>3,200.00</w:t>
            </w:r>
          </w:p>
        </w:tc>
        <w:tc>
          <w:tcPr>
            <w:tcW w:type="dxa" w:w="831"/>
          </w:tcPr>
          <w:p>
            <w:pPr>
              <w:jc w:val="right"/>
            </w:pPr>
            <w:r>
              <w:rPr/>
              <w:t>1.70</w:t>
            </w:r>
          </w:p>
        </w:tc>
        <w:tc>
          <w:tcPr>
            <w:tcW w:type="dxa" w:w="831"/>
          </w:tcPr>
          <w:p>
            <w:pPr>
              <w:jc w:val="right"/>
            </w:pPr>
            <w:r>
              <w:rPr/>
              <w:t>5,440.00</w:t>
            </w:r>
          </w:p>
        </w:tc>
        <w:tc>
          <w:tcPr>
            <w:tcW w:type="dxa" w:w="831"/>
          </w:tcPr>
          <w:p>
            <w:r>
              <w:rPr/>
              <w:t>农、林、牧、渔业</w:t>
            </w:r>
          </w:p>
        </w:tc>
        <w:tc>
          <w:tcPr>
            <w:tcW w:type="dxa" w:w="831"/>
          </w:tcPr>
          <w:p>
            <w:r>
              <w:rPr/>
              <w:t>详见附表三</w:t>
            </w:r>
          </w:p>
        </w:tc>
      </w:tr>
      <w:tr>
        <w:tc>
          <w:tcPr>
            <w:tcW w:type="dxa" w:w="831"/>
          </w:tcPr>
          <w:p>
            <w:pPr>
              <w:jc w:val="center"/>
            </w:pPr>
            <w:r>
              <w:rPr/>
              <w:t>4</w:t>
            </w:r>
          </w:p>
        </w:tc>
        <w:tc>
          <w:tcPr>
            <w:tcW w:type="dxa" w:w="831"/>
          </w:tcPr>
          <w:p>
            <w:pPr>
              <w:jc w:val="center"/>
            </w:pPr>
          </w:p>
        </w:tc>
        <w:tc>
          <w:tcPr>
            <w:tcW w:type="dxa" w:w="831"/>
          </w:tcPr>
          <w:p>
            <w:pPr>
              <w:jc w:val="left"/>
            </w:pPr>
            <w:r>
              <w:rPr/>
              <w:t>其他环境污染防治设备</w:t>
            </w:r>
          </w:p>
        </w:tc>
        <w:tc>
          <w:tcPr>
            <w:tcW w:type="dxa" w:w="831"/>
          </w:tcPr>
          <w:p>
            <w:pPr>
              <w:jc w:val="left"/>
            </w:pPr>
            <w:r>
              <w:rPr/>
              <w:t>红火蚁监测旗</w:t>
            </w:r>
          </w:p>
        </w:tc>
        <w:tc>
          <w:tcPr>
            <w:tcW w:type="dxa" w:w="831"/>
          </w:tcPr>
          <w:p>
            <w:pPr>
              <w:jc w:val="left"/>
            </w:pPr>
            <w:r>
              <w:rPr/>
              <w:t>支</w:t>
            </w:r>
          </w:p>
        </w:tc>
        <w:tc>
          <w:tcPr>
            <w:tcW w:type="dxa" w:w="831"/>
          </w:tcPr>
          <w:p>
            <w:pPr>
              <w:jc w:val="right"/>
            </w:pPr>
            <w:r>
              <w:rPr/>
              <w:t>20,450.00</w:t>
            </w:r>
          </w:p>
        </w:tc>
        <w:tc>
          <w:tcPr>
            <w:tcW w:type="dxa" w:w="831"/>
          </w:tcPr>
          <w:p>
            <w:pPr>
              <w:jc w:val="right"/>
            </w:pPr>
            <w:r>
              <w:rPr/>
              <w:t>1.80</w:t>
            </w:r>
          </w:p>
        </w:tc>
        <w:tc>
          <w:tcPr>
            <w:tcW w:type="dxa" w:w="831"/>
          </w:tcPr>
          <w:p>
            <w:pPr>
              <w:jc w:val="right"/>
            </w:pPr>
            <w:r>
              <w:rPr/>
              <w:t>36,810.00</w:t>
            </w:r>
          </w:p>
        </w:tc>
        <w:tc>
          <w:tcPr>
            <w:tcW w:type="dxa" w:w="831"/>
          </w:tcPr>
          <w:p>
            <w:r>
              <w:rPr/>
              <w:t>农、林、牧、渔业</w:t>
            </w:r>
          </w:p>
        </w:tc>
        <w:tc>
          <w:tcPr>
            <w:tcW w:type="dxa" w:w="831"/>
          </w:tcPr>
          <w:p>
            <w:r>
              <w:rPr/>
              <w:t>详见附表四</w:t>
            </w:r>
          </w:p>
        </w:tc>
      </w:tr>
    </w:tbl>
    <w:p/>
    <w:p>
      <w:r>
        <w:rPr>
          <w:b/>
        </w:rPr>
        <w:t>附表</w:t>
      </w:r>
      <w:r>
        <w:rPr>
          <w:b/>
        </w:rPr>
        <w:t>一</w:t>
      </w:r>
      <w:r>
        <w:rPr>
          <w:b/>
        </w:rPr>
        <w:t>：</w:t>
      </w:r>
      <w:r>
        <w:rPr>
          <w:b/>
        </w:rPr>
        <w:t>红火蚁防控药剂</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1.采购内容及清单</w:t>
            </w:r>
          </w:p>
          <w:tbl>
            <w:tblPr>
              <w:tblBorders>
                <w:top w:val="none" w:color="000000" w:sz="4"/>
                <w:left w:val="none" w:color="000000" w:sz="4"/>
                <w:bottom w:val="none" w:color="000000" w:sz="4"/>
                <w:right w:val="none" w:color="000000" w:sz="4"/>
                <w:insideH w:val="none"/>
                <w:insideV w:val="none"/>
              </w:tblBorders>
            </w:tblPr>
            <w:tblGrid>
              <w:gridCol w:w="1095"/>
              <w:gridCol w:w="2346"/>
              <w:gridCol w:w="894"/>
              <w:gridCol w:w="1263"/>
            </w:tblGrid>
            <w:tr>
              <w:tc>
                <w:tcPr>
                  <w:tcW w:type="dxa" w:w="1095"/>
                  <w:tcBorders>
                    <w:top w:val="single" w:color="000000" w:sz="4"/>
                    <w:left w:val="single" w:color="000000" w:sz="4"/>
                    <w:bottom w:val="single" w:color="000000" w:sz="4"/>
                    <w:right w:val="single" w:color="000000" w:sz="4"/>
                  </w:tcBorders>
                  <w:vAlign w:val="top"/>
                </w:tcPr>
                <w:p>
                  <w:pPr>
                    <w:jc w:val="both"/>
                  </w:pPr>
                  <w:r>
                    <w:rPr>
                      <w:sz w:val="21"/>
                    </w:rPr>
                    <w:t>名称</w:t>
                  </w:r>
                </w:p>
              </w:tc>
              <w:tc>
                <w:tcPr>
                  <w:tcW w:type="dxa" w:w="2346"/>
                  <w:tcBorders>
                    <w:top w:val="single" w:color="000000" w:sz="4"/>
                    <w:left w:val="single" w:color="000000" w:sz="4"/>
                    <w:bottom w:val="single" w:color="000000" w:sz="4"/>
                    <w:right w:val="single" w:color="000000" w:sz="4"/>
                  </w:tcBorders>
                  <w:vAlign w:val="top"/>
                </w:tcPr>
                <w:p>
                  <w:pPr>
                    <w:jc w:val="both"/>
                  </w:pPr>
                  <w:r>
                    <w:rPr>
                      <w:color w:val="000000"/>
                      <w:sz w:val="21"/>
                    </w:rPr>
                    <w:t>参考规格</w:t>
                  </w:r>
                </w:p>
              </w:tc>
              <w:tc>
                <w:tcPr>
                  <w:tcW w:type="dxa" w:w="894"/>
                  <w:tcBorders>
                    <w:top w:val="single" w:color="000000" w:sz="4"/>
                    <w:left w:val="single" w:color="000000" w:sz="4"/>
                    <w:bottom w:val="single" w:color="000000" w:sz="4"/>
                    <w:right w:val="single" w:color="000000" w:sz="4"/>
                  </w:tcBorders>
                  <w:vAlign w:val="top"/>
                </w:tcPr>
                <w:p>
                  <w:pPr>
                    <w:jc w:val="both"/>
                  </w:pPr>
                  <w:r>
                    <w:rPr>
                      <w:sz w:val="21"/>
                    </w:rPr>
                    <w:t>预估数量</w:t>
                  </w:r>
                </w:p>
              </w:tc>
              <w:tc>
                <w:tcPr>
                  <w:tcW w:type="dxa" w:w="1263"/>
                  <w:tcBorders>
                    <w:top w:val="single" w:color="000000" w:sz="4"/>
                    <w:left w:val="single" w:color="000000" w:sz="4"/>
                    <w:bottom w:val="single" w:color="000000" w:sz="4"/>
                    <w:right w:val="single" w:color="000000" w:sz="4"/>
                  </w:tcBorders>
                  <w:vAlign w:val="top"/>
                </w:tcPr>
                <w:p>
                  <w:pPr>
                    <w:jc w:val="center"/>
                  </w:pPr>
                  <w:r>
                    <w:rPr>
                      <w:color w:val="000000"/>
                      <w:sz w:val="21"/>
                    </w:rPr>
                    <w:t>单价最高限价</w:t>
                  </w:r>
                </w:p>
              </w:tc>
            </w:tr>
            <w:tr>
              <w:tc>
                <w:tcPr>
                  <w:tcW w:type="dxa" w:w="1095"/>
                  <w:tcBorders>
                    <w:top w:val="none" w:color="000000" w:sz="4"/>
                    <w:left w:val="single" w:color="000000" w:sz="4"/>
                    <w:bottom w:val="single" w:color="000000" w:sz="4"/>
                    <w:right w:val="single" w:color="000000" w:sz="4"/>
                  </w:tcBorders>
                  <w:vAlign w:val="top"/>
                </w:tcPr>
                <w:p>
                  <w:pPr>
                    <w:jc w:val="left"/>
                  </w:pPr>
                  <w:r>
                    <w:rPr>
                      <w:sz w:val="21"/>
                    </w:rPr>
                    <w:t>红火蚁防控药剂</w:t>
                  </w:r>
                </w:p>
              </w:tc>
              <w:tc>
                <w:tcPr>
                  <w:tcW w:type="dxa" w:w="2346"/>
                  <w:tcBorders>
                    <w:top w:val="none" w:color="000000" w:sz="4"/>
                    <w:left w:val="single" w:color="000000" w:sz="4"/>
                    <w:bottom w:val="single" w:color="000000" w:sz="4"/>
                    <w:right w:val="single" w:color="000000" w:sz="4"/>
                  </w:tcBorders>
                  <w:vAlign w:val="top"/>
                </w:tcPr>
                <w:p>
                  <w:pPr>
                    <w:jc w:val="left"/>
                  </w:pPr>
                  <w:r>
                    <w:rPr>
                      <w:sz w:val="21"/>
                    </w:rPr>
                    <w:t>详见</w:t>
                  </w:r>
                  <w:r>
                    <w:rPr>
                      <w:sz w:val="21"/>
                    </w:rPr>
                    <w:t>“</w:t>
                  </w:r>
                  <w:r>
                    <w:rPr>
                      <w:sz w:val="21"/>
                    </w:rPr>
                    <w:t>具体技术</w:t>
                  </w:r>
                  <w:r>
                    <w:rPr>
                      <w:sz w:val="21"/>
                    </w:rPr>
                    <w:t>(</w:t>
                  </w:r>
                  <w:r>
                    <w:rPr>
                      <w:sz w:val="21"/>
                    </w:rPr>
                    <w:t>参数</w:t>
                  </w:r>
                  <w:r>
                    <w:rPr>
                      <w:sz w:val="21"/>
                    </w:rPr>
                    <w:t>)</w:t>
                  </w:r>
                  <w:r>
                    <w:rPr>
                      <w:sz w:val="21"/>
                    </w:rPr>
                    <w:t>要求</w:t>
                  </w:r>
                  <w:r>
                    <w:rPr>
                      <w:sz w:val="21"/>
                    </w:rPr>
                    <w:t>”</w:t>
                  </w:r>
                </w:p>
              </w:tc>
              <w:tc>
                <w:tcPr>
                  <w:tcW w:type="dxa" w:w="894"/>
                  <w:tcBorders>
                    <w:top w:val="none" w:color="000000" w:sz="4"/>
                    <w:left w:val="single" w:color="000000" w:sz="4"/>
                    <w:bottom w:val="single" w:color="000000" w:sz="4"/>
                    <w:right w:val="single" w:color="000000" w:sz="4"/>
                  </w:tcBorders>
                  <w:vAlign w:val="top"/>
                </w:tcPr>
                <w:p>
                  <w:pPr>
                    <w:jc w:val="center"/>
                  </w:pPr>
                  <w:r>
                    <w:rPr>
                      <w:sz w:val="21"/>
                    </w:rPr>
                    <w:t>47吨</w:t>
                  </w:r>
                </w:p>
              </w:tc>
              <w:tc>
                <w:tcPr>
                  <w:tcW w:type="dxa" w:w="1263"/>
                  <w:tcBorders>
                    <w:top w:val="none" w:color="000000" w:sz="4"/>
                    <w:left w:val="single" w:color="000000" w:sz="4"/>
                    <w:bottom w:val="single" w:color="000000" w:sz="4"/>
                    <w:right w:val="single" w:color="000000" w:sz="4"/>
                  </w:tcBorders>
                  <w:vAlign w:val="top"/>
                </w:tcPr>
                <w:p>
                  <w:pPr>
                    <w:jc w:val="center"/>
                  </w:pPr>
                  <w:r>
                    <w:rPr>
                      <w:sz w:val="21"/>
                    </w:rPr>
                    <w:t>43元/千克</w:t>
                  </w:r>
                </w:p>
              </w:tc>
            </w:tr>
            <w:tr>
              <w:tc>
                <w:tcPr>
                  <w:tcW w:type="dxa" w:w="1095"/>
                  <w:tcBorders>
                    <w:top w:val="none" w:color="000000" w:sz="4"/>
                    <w:left w:val="single" w:color="000000" w:sz="4"/>
                    <w:bottom w:val="single" w:color="000000" w:sz="4"/>
                    <w:right w:val="single" w:color="000000" w:sz="4"/>
                  </w:tcBorders>
                  <w:vAlign w:val="top"/>
                </w:tcPr>
                <w:p>
                  <w:pPr>
                    <w:jc w:val="left"/>
                  </w:pPr>
                  <w:r>
                    <w:rPr>
                      <w:sz w:val="21"/>
                    </w:rPr>
                    <w:t>红火蚁药剂电动撒播器</w:t>
                  </w:r>
                </w:p>
              </w:tc>
              <w:tc>
                <w:tcPr>
                  <w:tcW w:type="dxa" w:w="2346"/>
                  <w:tcBorders>
                    <w:top w:val="none" w:color="000000" w:sz="4"/>
                    <w:left w:val="single" w:color="000000" w:sz="4"/>
                    <w:bottom w:val="single" w:color="000000" w:sz="4"/>
                    <w:right w:val="single" w:color="000000" w:sz="4"/>
                  </w:tcBorders>
                  <w:vAlign w:val="top"/>
                </w:tcPr>
                <w:p>
                  <w:pPr>
                    <w:jc w:val="left"/>
                  </w:pPr>
                  <w:r>
                    <w:rPr>
                      <w:sz w:val="21"/>
                    </w:rPr>
                    <w:t>与红火蚁药剂相适配，操作方便，通用灵活，体积小，使用寿命长，易维护；配套手套、护目镜、雨鞋等防护用品。</w:t>
                  </w:r>
                </w:p>
              </w:tc>
              <w:tc>
                <w:tcPr>
                  <w:tcW w:type="dxa" w:w="894"/>
                  <w:tcBorders>
                    <w:top w:val="none" w:color="000000" w:sz="4"/>
                    <w:left w:val="single" w:color="000000" w:sz="4"/>
                    <w:bottom w:val="single" w:color="000000" w:sz="4"/>
                    <w:right w:val="single" w:color="000000" w:sz="4"/>
                  </w:tcBorders>
                  <w:vAlign w:val="top"/>
                </w:tcPr>
                <w:p>
                  <w:pPr>
                    <w:jc w:val="center"/>
                  </w:pPr>
                  <w:r>
                    <w:rPr>
                      <w:sz w:val="21"/>
                    </w:rPr>
                    <w:t>267台</w:t>
                  </w:r>
                </w:p>
              </w:tc>
              <w:tc>
                <w:tcPr>
                  <w:tcW w:type="dxa" w:w="1263"/>
                  <w:tcBorders>
                    <w:top w:val="none" w:color="000000" w:sz="4"/>
                    <w:left w:val="single" w:color="000000" w:sz="4"/>
                    <w:bottom w:val="single" w:color="000000" w:sz="4"/>
                    <w:right w:val="single" w:color="000000" w:sz="4"/>
                  </w:tcBorders>
                  <w:vAlign w:val="top"/>
                </w:tcPr>
                <w:p>
                  <w:pPr>
                    <w:jc w:val="center"/>
                  </w:pPr>
                  <w:r>
                    <w:rPr>
                      <w:sz w:val="21"/>
                    </w:rPr>
                    <w:t>250元/台</w:t>
                  </w:r>
                </w:p>
              </w:tc>
            </w:tr>
            <w:tr>
              <w:tc>
                <w:tcPr>
                  <w:tcW w:type="dxa" w:w="1095"/>
                  <w:tcBorders>
                    <w:top w:val="none" w:color="000000" w:sz="4"/>
                    <w:left w:val="single" w:color="000000" w:sz="4"/>
                    <w:bottom w:val="single" w:color="000000" w:sz="4"/>
                    <w:right w:val="single" w:color="000000" w:sz="4"/>
                  </w:tcBorders>
                  <w:vAlign w:val="top"/>
                </w:tcPr>
                <w:p>
                  <w:pPr>
                    <w:jc w:val="left"/>
                  </w:pPr>
                  <w:r>
                    <w:rPr>
                      <w:sz w:val="21"/>
                    </w:rPr>
                    <w:t>红火蚁监测瓶及诱饵</w:t>
                  </w:r>
                </w:p>
              </w:tc>
              <w:tc>
                <w:tcPr>
                  <w:tcW w:type="dxa" w:w="2346"/>
                  <w:tcBorders>
                    <w:top w:val="none" w:color="000000" w:sz="4"/>
                    <w:left w:val="single" w:color="000000" w:sz="4"/>
                    <w:bottom w:val="single" w:color="000000" w:sz="4"/>
                    <w:right w:val="single" w:color="000000" w:sz="4"/>
                  </w:tcBorders>
                  <w:vAlign w:val="top"/>
                </w:tcPr>
                <w:p>
                  <w:pPr>
                    <w:jc w:val="left"/>
                  </w:pPr>
                  <w:r>
                    <w:rPr>
                      <w:sz w:val="21"/>
                    </w:rPr>
                    <w:t>瓶口内径</w:t>
                  </w:r>
                  <w:r>
                    <w:rPr>
                      <w:sz w:val="21"/>
                    </w:rPr>
                    <w:t>≥25mm，操作方便，通用灵活，使用寿命长。</w:t>
                  </w:r>
                </w:p>
              </w:tc>
              <w:tc>
                <w:tcPr>
                  <w:tcW w:type="dxa" w:w="894"/>
                  <w:tcBorders>
                    <w:top w:val="none" w:color="000000" w:sz="4"/>
                    <w:left w:val="single" w:color="000000" w:sz="4"/>
                    <w:bottom w:val="single" w:color="000000" w:sz="4"/>
                    <w:right w:val="single" w:color="000000" w:sz="4"/>
                  </w:tcBorders>
                  <w:vAlign w:val="top"/>
                </w:tcPr>
                <w:p>
                  <w:pPr>
                    <w:jc w:val="center"/>
                  </w:pPr>
                  <w:r>
                    <w:rPr>
                      <w:sz w:val="21"/>
                    </w:rPr>
                    <w:t>3200个</w:t>
                  </w:r>
                </w:p>
              </w:tc>
              <w:tc>
                <w:tcPr>
                  <w:tcW w:type="dxa" w:w="1263"/>
                  <w:tcBorders>
                    <w:top w:val="none" w:color="000000" w:sz="4"/>
                    <w:left w:val="single" w:color="000000" w:sz="4"/>
                    <w:bottom w:val="single" w:color="000000" w:sz="4"/>
                    <w:right w:val="single" w:color="000000" w:sz="4"/>
                  </w:tcBorders>
                  <w:vAlign w:val="top"/>
                </w:tcPr>
                <w:p>
                  <w:pPr>
                    <w:jc w:val="center"/>
                  </w:pPr>
                  <w:r>
                    <w:rPr>
                      <w:sz w:val="21"/>
                    </w:rPr>
                    <w:t>1.7元/个</w:t>
                  </w:r>
                </w:p>
              </w:tc>
            </w:tr>
            <w:tr>
              <w:tc>
                <w:tcPr>
                  <w:tcW w:type="dxa" w:w="1095"/>
                  <w:tcBorders>
                    <w:top w:val="none" w:color="000000" w:sz="4"/>
                    <w:left w:val="single" w:color="000000" w:sz="4"/>
                    <w:bottom w:val="single" w:color="000000" w:sz="4"/>
                    <w:right w:val="single" w:color="000000" w:sz="4"/>
                  </w:tcBorders>
                  <w:vAlign w:val="top"/>
                </w:tcPr>
                <w:p>
                  <w:pPr>
                    <w:jc w:val="left"/>
                  </w:pPr>
                  <w:r>
                    <w:rPr>
                      <w:sz w:val="21"/>
                    </w:rPr>
                    <w:t>红火蚁监测旗</w:t>
                  </w:r>
                </w:p>
              </w:tc>
              <w:tc>
                <w:tcPr>
                  <w:tcW w:type="dxa" w:w="2346"/>
                  <w:tcBorders>
                    <w:top w:val="none" w:color="000000" w:sz="4"/>
                    <w:left w:val="single" w:color="000000" w:sz="4"/>
                    <w:bottom w:val="single" w:color="000000" w:sz="4"/>
                    <w:right w:val="single" w:color="000000" w:sz="4"/>
                  </w:tcBorders>
                  <w:vAlign w:val="top"/>
                </w:tcPr>
                <w:p>
                  <w:pPr>
                    <w:jc w:val="left"/>
                  </w:pPr>
                  <w:r>
                    <w:rPr>
                      <w:sz w:val="21"/>
                    </w:rPr>
                    <w:t>旗子最大宽度</w:t>
                  </w:r>
                  <w:r>
                    <w:rPr>
                      <w:sz w:val="21"/>
                    </w:rPr>
                    <w:t>≥20cm，旗杆长度≥40cm，直径≥0.4cm，使用寿命长。</w:t>
                  </w:r>
                </w:p>
              </w:tc>
              <w:tc>
                <w:tcPr>
                  <w:tcW w:type="dxa" w:w="894"/>
                  <w:tcBorders>
                    <w:top w:val="none" w:color="000000" w:sz="4"/>
                    <w:left w:val="single" w:color="000000" w:sz="4"/>
                    <w:bottom w:val="single" w:color="000000" w:sz="4"/>
                    <w:right w:val="single" w:color="000000" w:sz="4"/>
                  </w:tcBorders>
                  <w:vAlign w:val="top"/>
                </w:tcPr>
                <w:p>
                  <w:pPr>
                    <w:jc w:val="center"/>
                  </w:pPr>
                  <w:r>
                    <w:rPr>
                      <w:sz w:val="21"/>
                    </w:rPr>
                    <w:t>20450支</w:t>
                  </w:r>
                </w:p>
              </w:tc>
              <w:tc>
                <w:tcPr>
                  <w:tcW w:type="dxa" w:w="1263"/>
                  <w:tcBorders>
                    <w:top w:val="none" w:color="000000" w:sz="4"/>
                    <w:left w:val="single" w:color="000000" w:sz="4"/>
                    <w:bottom w:val="single" w:color="000000" w:sz="4"/>
                    <w:right w:val="single" w:color="000000" w:sz="4"/>
                  </w:tcBorders>
                  <w:vAlign w:val="top"/>
                </w:tcPr>
                <w:p>
                  <w:pPr>
                    <w:jc w:val="center"/>
                  </w:pPr>
                  <w:r>
                    <w:rPr>
                      <w:sz w:val="21"/>
                    </w:rPr>
                    <w:t>1.8元/支</w:t>
                  </w:r>
                </w:p>
              </w:tc>
            </w:tr>
          </w:tbl>
          <w:p>
            <w:pPr>
              <w:jc w:val="both"/>
            </w:pPr>
            <w:r>
              <w:rPr>
                <w:color w:val="000000"/>
                <w:sz w:val="21"/>
              </w:rPr>
              <w:t>说明：</w:t>
            </w:r>
            <w:r>
              <w:rPr>
                <w:b/>
                <w:color w:val="000000"/>
                <w:sz w:val="21"/>
              </w:rPr>
              <w:t>本项目的采购数量为预估采购数量</w:t>
            </w:r>
            <w:r>
              <w:rPr>
                <w:color w:val="000000"/>
                <w:sz w:val="21"/>
              </w:rPr>
              <w:t>，采购人无法保证采购数量与上表一致，结算时以实际发生量为准。</w:t>
            </w:r>
          </w:p>
          <w:p>
            <w:pPr>
              <w:jc w:val="both"/>
            </w:pPr>
            <w:r>
              <w:rPr>
                <w:sz w:val="21"/>
              </w:rPr>
              <w:t>2.</w:t>
            </w:r>
            <w:r>
              <w:rPr>
                <w:sz w:val="21"/>
              </w:rPr>
              <w:t>红火蚁防控药剂</w:t>
            </w:r>
            <w:r>
              <w:rPr>
                <w:sz w:val="21"/>
              </w:rPr>
              <w:t>:</w:t>
            </w:r>
          </w:p>
          <w:p>
            <w:pPr>
              <w:jc w:val="both"/>
            </w:pPr>
            <w:r>
              <w:rPr>
                <w:sz w:val="21"/>
              </w:rPr>
              <w:t>2.1</w:t>
            </w:r>
            <w:r>
              <w:rPr>
                <w:sz w:val="21"/>
              </w:rPr>
              <w:t>要求引诱力强，适口性佳，杀灭彻底</w:t>
            </w:r>
            <w:r>
              <w:rPr>
                <w:sz w:val="21"/>
              </w:rPr>
              <w:t>；</w:t>
            </w:r>
          </w:p>
          <w:p>
            <w:pPr>
              <w:jc w:val="both"/>
            </w:pPr>
            <w:r>
              <w:rPr>
                <w:sz w:val="21"/>
              </w:rPr>
              <w:t>2.2.</w:t>
            </w:r>
            <w:r>
              <w:rPr>
                <w:sz w:val="21"/>
              </w:rPr>
              <w:t>低毒高效，安全环保，对人畜安全，易于储存</w:t>
            </w:r>
            <w:r>
              <w:rPr>
                <w:sz w:val="21"/>
              </w:rPr>
              <w:t>；</w:t>
            </w:r>
          </w:p>
          <w:p>
            <w:pPr>
              <w:jc w:val="left"/>
            </w:pPr>
            <w:r>
              <w:rPr>
                <w:sz w:val="21"/>
              </w:rPr>
              <w:t>★</w:t>
            </w:r>
            <w:r>
              <w:rPr>
                <w:b/>
                <w:sz w:val="21"/>
              </w:rPr>
              <w:t>2.3.投标人所投产品须具有有效农药登记证（</w:t>
            </w:r>
            <w:r>
              <w:rPr>
                <w:b/>
                <w:sz w:val="21"/>
              </w:rPr>
              <w:t>登记的防治对象：红火蚁</w:t>
            </w:r>
            <w:r>
              <w:rPr>
                <w:b/>
                <w:sz w:val="21"/>
              </w:rPr>
              <w:t>）、</w:t>
            </w:r>
            <w:r>
              <w:rPr>
                <w:b/>
                <w:sz w:val="21"/>
              </w:rPr>
              <w:t>农药生产许可</w:t>
            </w:r>
            <w:r>
              <w:rPr>
                <w:b/>
                <w:sz w:val="21"/>
              </w:rPr>
              <w:t>证</w:t>
            </w:r>
            <w:r>
              <w:rPr>
                <w:b/>
                <w:sz w:val="21"/>
              </w:rPr>
              <w:t>、</w:t>
            </w:r>
            <w:r>
              <w:rPr>
                <w:b/>
                <w:sz w:val="21"/>
              </w:rPr>
              <w:t>农药标准证</w:t>
            </w:r>
            <w:r>
              <w:rPr>
                <w:b/>
                <w:sz w:val="21"/>
              </w:rPr>
              <w:t>；（需提供证明材料并加盖投标人公章）</w:t>
            </w:r>
          </w:p>
          <w:p>
            <w:pPr>
              <w:jc w:val="both"/>
            </w:pPr>
            <w:r>
              <w:rPr>
                <w:sz w:val="21"/>
              </w:rPr>
              <w:t>2.4.所提供的蚁药生产日期为2023年1月1日及以后，有效期2年以上。</w:t>
            </w:r>
          </w:p>
          <w:p>
            <w:pPr>
              <w:jc w:val="both"/>
            </w:pPr>
            <w:r>
              <w:rPr>
                <w:sz w:val="21"/>
              </w:rPr>
              <w:t>2.5.具有有效的药剂防效验证报告。</w:t>
            </w:r>
          </w:p>
          <w:p>
            <w:pPr>
              <w:jc w:val="both"/>
            </w:pPr>
            <w:r>
              <w:rPr>
                <w:sz w:val="21"/>
              </w:rPr>
              <w:t>3.</w:t>
            </w:r>
            <w:r>
              <w:rPr>
                <w:sz w:val="21"/>
              </w:rPr>
              <w:t>红火蚁防控设备：</w:t>
            </w:r>
            <w:r>
              <w:rPr>
                <w:sz w:val="21"/>
              </w:rPr>
              <w:t xml:space="preserve"> </w:t>
            </w:r>
          </w:p>
          <w:p>
            <w:pPr>
              <w:jc w:val="both"/>
            </w:pPr>
            <w:r>
              <w:rPr>
                <w:sz w:val="21"/>
              </w:rPr>
              <w:t>3.1.</w:t>
            </w:r>
            <w:r>
              <w:rPr>
                <w:sz w:val="21"/>
              </w:rPr>
              <w:t>红火蚁监测标签、与防控药剂相适配的红火蚁蚁药撒播器、监测瓶等防控过程中所需的设备物资</w:t>
            </w:r>
            <w:r>
              <w:rPr>
                <w:sz w:val="21"/>
              </w:rPr>
              <w:t>；</w:t>
            </w:r>
          </w:p>
          <w:p>
            <w:pPr>
              <w:jc w:val="left"/>
            </w:pPr>
            <w:r>
              <w:rPr>
                <w:color w:val="000000"/>
                <w:sz w:val="21"/>
              </w:rPr>
              <w:t>3</w:t>
            </w:r>
            <w:r>
              <w:rPr>
                <w:color w:val="000000"/>
                <w:sz w:val="21"/>
              </w:rPr>
              <w:t>.2.防控设备质量符合国家相关标准。</w:t>
            </w:r>
          </w:p>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红火蚁药剂电动撒播器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详见附表一“具体技术(参数)要求”</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红火蚁监测瓶及诱饵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详见附表一“具体技术(参数)要求”</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红火蚁监测旗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详见附表一“具体技术(参数)要求”</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采购包2（中山市农业农村局2023年红火蚁监测普查服务项目（二次））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自合同约定之日起至2023年12月10日</w:t>
            </w:r>
          </w:p>
        </w:tc>
      </w:tr>
      <w:tr>
        <w:tc>
          <w:tcPr>
            <w:tcW w:type="dxa" w:w="4153"/>
          </w:tcPr>
          <w:p>
            <w:r>
              <w:rPr/>
              <w:t>标的提供的地点</w:t>
            </w:r>
          </w:p>
        </w:tc>
        <w:tc>
          <w:tcPr>
            <w:tcW w:type="dxa" w:w="4153"/>
          </w:tcPr>
          <w:p/>
          <w:p>
            <w:r>
              <w:rPr/>
              <w:t>中山市</w:t>
            </w:r>
          </w:p>
        </w:tc>
      </w:tr>
      <w:tr>
        <w:tc>
          <w:tcPr>
            <w:tcW w:type="dxa" w:w="4153"/>
          </w:tcPr>
          <w:p>
            <w:r>
              <w:rPr/>
              <w:t>付款方式</w:t>
            </w:r>
          </w:p>
        </w:tc>
        <w:tc>
          <w:tcPr>
            <w:tcW w:type="dxa" w:w="4153"/>
          </w:tcPr>
          <w:p/>
          <w:p/>
          <w:p>
            <w:r>
              <w:rPr/>
              <w:t>1期：支付比例30%,★合同签订后支付合同金额的30%；</w:t>
            </w:r>
          </w:p>
          <w:p/>
          <w:p>
            <w:r>
              <w:rPr/>
              <w:t>2期：支付比例30%,★第一次全域监测完成并提交项目成果材料后，支付合同金额的30%；</w:t>
            </w:r>
          </w:p>
          <w:p/>
          <w:p>
            <w:r>
              <w:rPr/>
              <w:t>3期：支付比例30%,★第二次全域监测完成并提交项目成果材料后,支付合同金额的30%,</w:t>
            </w:r>
          </w:p>
          <w:p/>
          <w:p>
            <w:r>
              <w:rPr/>
              <w:t>4期：支付比例10%,★余款在通过所有验收之后付清。</w:t>
            </w:r>
          </w:p>
        </w:tc>
      </w:tr>
      <w:tr>
        <w:tc>
          <w:tcPr>
            <w:tcW w:type="dxa" w:w="4153"/>
          </w:tcPr>
          <w:p>
            <w:r>
              <w:rPr/>
              <w:t>验收要求</w:t>
            </w:r>
          </w:p>
        </w:tc>
        <w:tc>
          <w:tcPr>
            <w:tcW w:type="dxa" w:w="4153"/>
          </w:tcPr>
          <w:p/>
          <w:p/>
          <w:p/>
          <w:p>
            <w:r>
              <w:rPr/>
              <w:t>1期：质量考核验收标准: 1、能够全面履约合同中的内容；2、每次监测完成后按时提交项目成果材料，及时反馈疫情信息；3、验收时需提交验收材料，验收材料能够真实、全面反映中山市红火蚁疫情发生动态。</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其他，1.企业资质、2.同类项目业绩、3.用户评价、4.拟投入项目团队成员实力、5.项目拟使用设备情况</w:t>
            </w: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1.1.按总价报价，投标报价应包括红火蚁监测调查服务全部费用，包括但不限于人工费、材料费、住宿费、交通费、保险费、资料费、专家技术费、软件使用及存储费、培训费、税费等的全部费用。 1.2.投标报价以人民币为货币单位，单价、小计和总价应清楚表达。</w:t>
            </w:r>
          </w:p>
        </w:tc>
      </w:tr>
      <w:tr>
        <w:tc>
          <w:tcPr>
            <w:tcW w:type="dxa" w:w="2076"/>
          </w:tcPr>
          <w:p>
            <w:pPr>
              <w:jc w:val="center"/>
            </w:pPr>
          </w:p>
        </w:tc>
        <w:tc>
          <w:tcPr>
            <w:tcW w:type="dxa" w:w="2076"/>
          </w:tcPr>
          <w:p>
            <w:pPr>
              <w:jc w:val="center"/>
            </w:pPr>
            <w:r>
              <w:rPr/>
              <w:t>2</w:t>
            </w:r>
          </w:p>
        </w:tc>
        <w:tc>
          <w:tcPr>
            <w:tcW w:type="dxa" w:w="2076"/>
          </w:tcPr>
          <w:p>
            <w:pPr>
              <w:jc w:val="left"/>
            </w:pPr>
            <w:r>
              <w:rPr/>
              <w:t>实施要求</w:t>
            </w:r>
          </w:p>
        </w:tc>
        <w:tc>
          <w:tcPr>
            <w:tcW w:type="dxa" w:w="2076"/>
          </w:tcPr>
          <w:p>
            <w:pPr>
              <w:jc w:val="left"/>
            </w:pPr>
            <w:r>
              <w:rPr/>
              <w:t>2.1.监测结果需录入省农业农村厅红火蚁监管平台。 2.2.投标人必须提出对该项目建设进行科学严格的管理方案与措施，使项目有系统计划、有序组织、科学指导和有效控制，促进项目全面顺利实施。基于采购人实际情况进行方案设计以保障方案设计的合理性与可靠性。在实施计划的基础上，方案中应进一步明确和细化每个阶段的工作范围、内容、过程、责任、交付成果等。 2.3.中标人派出的人员应具备相关的专业知识、技术水平、相应资质和能力，熟悉本项目内容。</w:t>
            </w:r>
          </w:p>
        </w:tc>
      </w:tr>
      <w:tr>
        <w:tc>
          <w:tcPr>
            <w:tcW w:type="dxa" w:w="2076"/>
          </w:tcPr>
          <w:p>
            <w:pPr>
              <w:jc w:val="center"/>
            </w:pPr>
            <w:r>
              <w:rPr/>
              <w:t>★</w:t>
            </w:r>
          </w:p>
        </w:tc>
        <w:tc>
          <w:tcPr>
            <w:tcW w:type="dxa" w:w="2076"/>
          </w:tcPr>
          <w:p>
            <w:pPr>
              <w:jc w:val="center"/>
            </w:pPr>
            <w:r>
              <w:rPr/>
              <w:t>3</w:t>
            </w:r>
          </w:p>
        </w:tc>
        <w:tc>
          <w:tcPr>
            <w:tcW w:type="dxa" w:w="2076"/>
          </w:tcPr>
          <w:p>
            <w:pPr>
              <w:jc w:val="left"/>
            </w:pPr>
            <w:r>
              <w:rPr/>
              <w:t>保密措施</w:t>
            </w:r>
          </w:p>
        </w:tc>
        <w:tc>
          <w:tcPr>
            <w:tcW w:type="dxa" w:w="2076"/>
          </w:tcPr>
          <w:p>
            <w:pPr>
              <w:jc w:val="left"/>
            </w:pPr>
            <w:r>
              <w:rPr/>
              <w:t>3.1签订合同时，按照相关要求,签订保密协议。未经采购人书面许可，中标人不得向任何第三方提供和透露从采购人方获得的所有资料、数据和信息。(需提供承诺函,格式自拟) 3.2.对所有参与项目人员进行保密培训，教育项目人员须有对项目各种文件、数据和信息资料履行保密的义务。如对项目内容及其相关内容发生泄密事故的，过错方应对泄密造成的后果承担相应的法律责任。(需提供承诺函,格式自拟)</w:t>
            </w:r>
          </w:p>
        </w:tc>
      </w:tr>
      <w:tr>
        <w:tc>
          <w:tcPr>
            <w:tcW w:type="dxa" w:w="2076"/>
          </w:tcPr>
          <w:p>
            <w:pPr>
              <w:jc w:val="center"/>
            </w:pPr>
            <w:r>
              <w:rPr/>
              <w:t>★</w:t>
            </w:r>
          </w:p>
        </w:tc>
        <w:tc>
          <w:tcPr>
            <w:tcW w:type="dxa" w:w="2076"/>
          </w:tcPr>
          <w:p>
            <w:pPr>
              <w:jc w:val="center"/>
            </w:pPr>
            <w:r>
              <w:rPr/>
              <w:t>4</w:t>
            </w:r>
          </w:p>
        </w:tc>
        <w:tc>
          <w:tcPr>
            <w:tcW w:type="dxa" w:w="2076"/>
          </w:tcPr>
          <w:p>
            <w:pPr>
              <w:jc w:val="left"/>
            </w:pPr>
            <w:r>
              <w:rPr/>
              <w:t>违约处罚</w:t>
            </w:r>
          </w:p>
        </w:tc>
        <w:tc>
          <w:tcPr>
            <w:tcW w:type="dxa" w:w="2076"/>
          </w:tcPr>
          <w:p>
            <w:pPr>
              <w:jc w:val="left"/>
            </w:pPr>
            <w:r>
              <w:rPr/>
              <w:t>项目实施过程中，若中标人未按要求完成本项目，采购人有权要求中标人按要求进行整改，整改不到位的，采购人有权提前中止合同，并拒绝支付余下款项。</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农作物病虫害防治服务</w:t>
            </w:r>
          </w:p>
        </w:tc>
        <w:tc>
          <w:tcPr>
            <w:tcW w:type="dxa" w:w="831"/>
          </w:tcPr>
          <w:p>
            <w:pPr>
              <w:jc w:val="left"/>
            </w:pPr>
            <w:r>
              <w:rPr/>
              <w:t>中山市农业农村局2023年红火蚁疫情监测普查项目（二次）</w:t>
            </w:r>
          </w:p>
        </w:tc>
        <w:tc>
          <w:tcPr>
            <w:tcW w:type="dxa" w:w="831"/>
          </w:tcPr>
          <w:p>
            <w:pPr>
              <w:jc w:val="left"/>
            </w:pPr>
            <w:r>
              <w:rPr/>
              <w:t>项</w:t>
            </w:r>
          </w:p>
        </w:tc>
        <w:tc>
          <w:tcPr>
            <w:tcW w:type="dxa" w:w="831"/>
          </w:tcPr>
          <w:p>
            <w:pPr>
              <w:jc w:val="right"/>
            </w:pPr>
            <w:r>
              <w:rPr/>
              <w:t>1.00</w:t>
            </w:r>
          </w:p>
        </w:tc>
        <w:tc>
          <w:tcPr>
            <w:tcW w:type="dxa" w:w="831"/>
          </w:tcPr>
          <w:p>
            <w:pPr>
              <w:jc w:val="right"/>
            </w:pPr>
            <w:r>
              <w:rPr/>
              <w:t>1,450,000.00</w:t>
            </w:r>
          </w:p>
        </w:tc>
        <w:tc>
          <w:tcPr>
            <w:tcW w:type="dxa" w:w="831"/>
          </w:tcPr>
          <w:p>
            <w:pPr>
              <w:jc w:val="right"/>
            </w:pPr>
            <w:r>
              <w:rPr/>
              <w:t>1,450,000.00</w:t>
            </w:r>
          </w:p>
        </w:tc>
        <w:tc>
          <w:tcPr>
            <w:tcW w:type="dxa" w:w="831"/>
          </w:tcPr>
          <w:p>
            <w:r>
              <w:rPr/>
              <w:t>农、林、牧、渔业</w:t>
            </w:r>
          </w:p>
        </w:tc>
        <w:tc>
          <w:tcPr>
            <w:tcW w:type="dxa" w:w="831"/>
          </w:tcPr>
          <w:p>
            <w:r>
              <w:rPr/>
              <w:t>详见附表一</w:t>
            </w:r>
          </w:p>
        </w:tc>
      </w:tr>
    </w:tbl>
    <w:p/>
    <w:p>
      <w:r>
        <w:rPr>
          <w:b/>
        </w:rPr>
        <w:t>附表</w:t>
      </w:r>
      <w:r>
        <w:rPr>
          <w:b/>
        </w:rPr>
        <w:t>一</w:t>
      </w:r>
      <w:r>
        <w:rPr>
          <w:b/>
        </w:rPr>
        <w:t>：</w:t>
      </w:r>
      <w:r>
        <w:rPr>
          <w:b/>
        </w:rPr>
        <w:t>中山市农业农村局2023年红火蚁疫情监测普查项目（二次）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p>
          <w:p>
            <w:pPr>
              <w:jc w:val="both"/>
            </w:pPr>
            <w:r>
              <w:rPr>
                <w:sz w:val="21"/>
              </w:rPr>
              <w:t>1.</w:t>
            </w:r>
            <w:r>
              <w:rPr>
                <w:sz w:val="21"/>
              </w:rPr>
              <w:t>开展红火蚁监测普查</w:t>
            </w:r>
          </w:p>
          <w:p>
            <w:pPr>
              <w:jc w:val="both"/>
            </w:pPr>
            <w:r>
              <w:rPr>
                <w:sz w:val="21"/>
              </w:rPr>
              <w:t>1.1.</w:t>
            </w:r>
            <w:r>
              <w:rPr>
                <w:sz w:val="21"/>
              </w:rPr>
              <w:t>项目内容：监测内容包括红火蚁发生面积、分布范围、活蚁巢数量、工蚁密度和危害程度等。通过对农地、农村生活区、道路绿化、公</w:t>
            </w:r>
            <w:r>
              <w:rPr>
                <w:sz w:val="21"/>
              </w:rPr>
              <w:t>园绿地、校园周边、旅游景区、河岸堤坝、果园、苗圃、鱼塘基、林地、丢荒地等不同生境进行</w:t>
            </w:r>
            <w:r>
              <w:rPr>
                <w:sz w:val="21"/>
              </w:rPr>
              <w:t>2</w:t>
            </w:r>
            <w:r>
              <w:rPr>
                <w:sz w:val="21"/>
              </w:rPr>
              <w:t>次全域监测</w:t>
            </w:r>
            <w:r>
              <w:rPr>
                <w:sz w:val="21"/>
              </w:rPr>
              <w:t>(</w:t>
            </w:r>
            <w:r>
              <w:rPr>
                <w:sz w:val="21"/>
              </w:rPr>
              <w:t>6</w:t>
            </w:r>
            <w:r>
              <w:rPr>
                <w:sz w:val="21"/>
              </w:rPr>
              <w:t>月、</w:t>
            </w:r>
            <w:r>
              <w:rPr>
                <w:sz w:val="21"/>
              </w:rPr>
              <w:t>10</w:t>
            </w:r>
            <w:r>
              <w:rPr>
                <w:sz w:val="21"/>
              </w:rPr>
              <w:t>月各安排</w:t>
            </w:r>
            <w:r>
              <w:rPr>
                <w:sz w:val="21"/>
              </w:rPr>
              <w:t>1</w:t>
            </w:r>
            <w:r>
              <w:rPr>
                <w:sz w:val="21"/>
              </w:rPr>
              <w:t>次</w:t>
            </w:r>
            <w:r>
              <w:rPr>
                <w:sz w:val="21"/>
              </w:rPr>
              <w:t>),</w:t>
            </w:r>
            <w:r>
              <w:rPr>
                <w:sz w:val="21"/>
              </w:rPr>
              <w:t>查清红火蚁发生分布情况，每完成</w:t>
            </w:r>
            <w:r>
              <w:rPr>
                <w:sz w:val="21"/>
              </w:rPr>
              <w:t>1</w:t>
            </w:r>
            <w:r>
              <w:rPr>
                <w:sz w:val="21"/>
              </w:rPr>
              <w:t>个镇街的监测工作后及时提供该镇街的疫情预警报告，指导相关镇街开展多种形式防控；</w:t>
            </w:r>
          </w:p>
          <w:p>
            <w:pPr>
              <w:jc w:val="both"/>
            </w:pPr>
            <w:r>
              <w:rPr>
                <w:sz w:val="21"/>
              </w:rPr>
              <w:t>1.2.</w:t>
            </w:r>
            <w:r>
              <w:rPr>
                <w:sz w:val="21"/>
              </w:rPr>
              <w:t>项目调查范围：每次监测覆盖全市</w:t>
            </w:r>
            <w:r>
              <w:rPr>
                <w:sz w:val="21"/>
              </w:rPr>
              <w:t>23</w:t>
            </w:r>
            <w:r>
              <w:rPr>
                <w:sz w:val="21"/>
              </w:rPr>
              <w:t>个镇街，每个镇街抽取</w:t>
            </w:r>
            <w:r>
              <w:rPr>
                <w:sz w:val="21"/>
              </w:rPr>
              <w:t>10</w:t>
            </w:r>
            <w:r>
              <w:rPr>
                <w:sz w:val="21"/>
              </w:rPr>
              <w:t>个村、社区</w:t>
            </w:r>
            <w:r>
              <w:rPr>
                <w:sz w:val="21"/>
              </w:rPr>
              <w:t>(</w:t>
            </w:r>
            <w:r>
              <w:rPr>
                <w:sz w:val="21"/>
              </w:rPr>
              <w:t>不足</w:t>
            </w:r>
            <w:r>
              <w:rPr>
                <w:sz w:val="21"/>
              </w:rPr>
              <w:t>10</w:t>
            </w:r>
            <w:r>
              <w:rPr>
                <w:sz w:val="21"/>
              </w:rPr>
              <w:t>个村、社区的镇街开展监测全覆盖</w:t>
            </w:r>
            <w:r>
              <w:rPr>
                <w:sz w:val="21"/>
              </w:rPr>
              <w:t>),</w:t>
            </w:r>
            <w:r>
              <w:rPr>
                <w:sz w:val="21"/>
              </w:rPr>
              <w:t>每次监测共计调查</w:t>
            </w:r>
            <w:r>
              <w:rPr>
                <w:sz w:val="21"/>
              </w:rPr>
              <w:t>206</w:t>
            </w:r>
            <w:r>
              <w:rPr>
                <w:sz w:val="21"/>
              </w:rPr>
              <w:t>个村</w:t>
            </w:r>
            <w:r>
              <w:rPr>
                <w:sz w:val="21"/>
              </w:rPr>
              <w:t>(</w:t>
            </w:r>
            <w:r>
              <w:rPr>
                <w:sz w:val="21"/>
              </w:rPr>
              <w:t>社区</w:t>
            </w:r>
            <w:r>
              <w:rPr>
                <w:sz w:val="21"/>
              </w:rPr>
              <w:t>)</w:t>
            </w:r>
            <w:r>
              <w:rPr>
                <w:sz w:val="21"/>
              </w:rPr>
              <w:t>。每个村</w:t>
            </w:r>
            <w:r>
              <w:rPr>
                <w:sz w:val="21"/>
              </w:rPr>
              <w:t>(</w:t>
            </w:r>
            <w:r>
              <w:rPr>
                <w:sz w:val="21"/>
              </w:rPr>
              <w:t>社区</w:t>
            </w:r>
            <w:r>
              <w:rPr>
                <w:sz w:val="21"/>
              </w:rPr>
              <w:t>)</w:t>
            </w:r>
            <w:r>
              <w:rPr>
                <w:sz w:val="21"/>
              </w:rPr>
              <w:t>选</w:t>
            </w:r>
            <w:r>
              <w:rPr>
                <w:sz w:val="21"/>
              </w:rPr>
              <w:t>3-5</w:t>
            </w:r>
            <w:r>
              <w:rPr>
                <w:sz w:val="21"/>
              </w:rPr>
              <w:t>种具代表性的不同生境，每种生境调查</w:t>
            </w:r>
            <w:r>
              <w:rPr>
                <w:sz w:val="21"/>
              </w:rPr>
              <w:t>10</w:t>
            </w:r>
            <w:r>
              <w:rPr>
                <w:sz w:val="21"/>
              </w:rPr>
              <w:t>个以上样点，共调查</w:t>
            </w:r>
            <w:r>
              <w:rPr>
                <w:sz w:val="21"/>
              </w:rPr>
              <w:t>50</w:t>
            </w:r>
            <w:r>
              <w:rPr>
                <w:sz w:val="21"/>
              </w:rPr>
              <w:t>个样点，每个样点监测面积</w:t>
            </w:r>
            <w:r>
              <w:rPr>
                <w:sz w:val="21"/>
              </w:rPr>
              <w:t>3-5</w:t>
            </w:r>
            <w:r>
              <w:rPr>
                <w:sz w:val="21"/>
              </w:rPr>
              <w:t>亩，或同一样点选</w:t>
            </w:r>
            <w:r>
              <w:rPr>
                <w:sz w:val="21"/>
              </w:rPr>
              <w:t>3</w:t>
            </w:r>
            <w:r>
              <w:rPr>
                <w:sz w:val="21"/>
              </w:rPr>
              <w:t>块监测样地，每块样地面积不少于</w:t>
            </w:r>
            <w:r>
              <w:rPr>
                <w:sz w:val="21"/>
              </w:rPr>
              <w:t>667</w:t>
            </w:r>
            <w:r>
              <w:rPr>
                <w:sz w:val="21"/>
              </w:rPr>
              <w:t>平方米。每次监测共完成</w:t>
            </w:r>
            <w:r>
              <w:rPr>
                <w:sz w:val="21"/>
              </w:rPr>
              <w:t>10300</w:t>
            </w:r>
            <w:r>
              <w:rPr>
                <w:sz w:val="21"/>
              </w:rPr>
              <w:t>个以上监测点，开展</w:t>
            </w:r>
            <w:r>
              <w:rPr>
                <w:sz w:val="21"/>
              </w:rPr>
              <w:t>2</w:t>
            </w:r>
            <w:r>
              <w:rPr>
                <w:sz w:val="21"/>
              </w:rPr>
              <w:t>次监测</w:t>
            </w:r>
            <w:r>
              <w:rPr>
                <w:sz w:val="21"/>
              </w:rPr>
              <w:t>（</w:t>
            </w:r>
            <w:r>
              <w:rPr>
                <w:sz w:val="21"/>
              </w:rPr>
              <w:t>6</w:t>
            </w:r>
            <w:r>
              <w:rPr>
                <w:sz w:val="21"/>
              </w:rPr>
              <w:t>月、</w:t>
            </w:r>
            <w:r>
              <w:rPr>
                <w:sz w:val="21"/>
              </w:rPr>
              <w:t>10</w:t>
            </w:r>
            <w:r>
              <w:rPr>
                <w:sz w:val="21"/>
              </w:rPr>
              <w:t>月</w:t>
            </w:r>
            <w:r>
              <w:rPr>
                <w:sz w:val="21"/>
              </w:rPr>
              <w:t>),</w:t>
            </w:r>
            <w:r>
              <w:rPr>
                <w:sz w:val="21"/>
              </w:rPr>
              <w:t>全</w:t>
            </w:r>
            <w:r>
              <w:rPr>
                <w:sz w:val="21"/>
              </w:rPr>
              <w:t>年共调查</w:t>
            </w:r>
            <w:r>
              <w:rPr>
                <w:sz w:val="21"/>
              </w:rPr>
              <w:t>20600</w:t>
            </w:r>
            <w:r>
              <w:rPr>
                <w:sz w:val="21"/>
              </w:rPr>
              <w:t>个以上监测点；</w:t>
            </w:r>
          </w:p>
          <w:p>
            <w:pPr>
              <w:jc w:val="both"/>
            </w:pPr>
            <w:r>
              <w:rPr>
                <w:sz w:val="21"/>
              </w:rPr>
              <w:t>1.3.</w:t>
            </w:r>
            <w:r>
              <w:rPr>
                <w:sz w:val="21"/>
              </w:rPr>
              <w:t>监测方法：参照国家标准</w:t>
            </w:r>
            <w:r>
              <w:rPr>
                <w:sz w:val="21"/>
              </w:rPr>
              <w:t>B/T 23626-2009</w:t>
            </w:r>
            <w:r>
              <w:rPr>
                <w:sz w:val="21"/>
              </w:rPr>
              <w:t>《红火蚁疫情监测规程》</w:t>
            </w:r>
            <w:r>
              <w:rPr>
                <w:sz w:val="21"/>
              </w:rPr>
              <w:t>,</w:t>
            </w:r>
            <w:r>
              <w:rPr>
                <w:sz w:val="21"/>
              </w:rPr>
              <w:t>采用踏查法和诱饵法</w:t>
            </w:r>
            <w:r>
              <w:rPr>
                <w:sz w:val="21"/>
              </w:rPr>
              <w:t>(</w:t>
            </w:r>
            <w:r>
              <w:rPr>
                <w:sz w:val="21"/>
              </w:rPr>
              <w:t>工蚁密度法</w:t>
            </w:r>
            <w:r>
              <w:rPr>
                <w:sz w:val="21"/>
              </w:rPr>
              <w:t>)</w:t>
            </w:r>
            <w:r>
              <w:rPr>
                <w:sz w:val="21"/>
              </w:rPr>
              <w:t>进行监测，并利用红火蚁采集信息化手段开展监测普查；</w:t>
            </w:r>
          </w:p>
          <w:p>
            <w:pPr>
              <w:jc w:val="left"/>
            </w:pPr>
            <w:r>
              <w:rPr>
                <w:color w:val="000000"/>
                <w:sz w:val="21"/>
              </w:rPr>
              <w:t>1.4.</w:t>
            </w:r>
            <w:r>
              <w:rPr>
                <w:color w:val="000000"/>
                <w:sz w:val="21"/>
              </w:rPr>
              <w:t>项目成果及验收：需在</w:t>
            </w:r>
            <w:r>
              <w:rPr>
                <w:color w:val="000000"/>
                <w:sz w:val="21"/>
              </w:rPr>
              <w:t>7</w:t>
            </w:r>
            <w:r>
              <w:rPr>
                <w:color w:val="000000"/>
                <w:sz w:val="21"/>
              </w:rPr>
              <w:t>月和</w:t>
            </w:r>
            <w:r>
              <w:rPr>
                <w:color w:val="000000"/>
                <w:sz w:val="21"/>
              </w:rPr>
              <w:t>11</w:t>
            </w:r>
            <w:r>
              <w:rPr>
                <w:color w:val="000000"/>
                <w:sz w:val="21"/>
              </w:rPr>
              <w:t>月底</w:t>
            </w:r>
            <w:r>
              <w:rPr>
                <w:color w:val="000000"/>
                <w:sz w:val="21"/>
              </w:rPr>
              <w:t>前形成监测报告，总结需统计不同生境疫情发生情况、各镇街红火蚁疫情发生情况以及采购人要求的其他监测要求，不得擅自公布或泄露监测数据。</w:t>
            </w:r>
          </w:p>
          <w:p>
            <w:pPr>
              <w:jc w:val="both"/>
            </w:pPr>
            <w:r>
              <w:rPr>
                <w:sz w:val="21"/>
              </w:rPr>
              <w:t>2.</w:t>
            </w:r>
            <w:r>
              <w:rPr>
                <w:sz w:val="21"/>
              </w:rPr>
              <w:t>开展红火蚁监测抽查</w:t>
            </w:r>
          </w:p>
          <w:p>
            <w:pPr>
              <w:jc w:val="both"/>
            </w:pPr>
            <w:r>
              <w:rPr>
                <w:sz w:val="21"/>
              </w:rPr>
              <w:t>2.1.</w:t>
            </w:r>
            <w:r>
              <w:rPr>
                <w:sz w:val="21"/>
              </w:rPr>
              <w:t>项目内容：监测内容包括监测点位置、活蚁巢数量、工蚁密度和危害程度等。通过对农地、农村生活区、道路绿化、公园绿地、校园周边、旅游景区、河岸堤坝、果园、苗圃、鱼塘基、林地、丢荒地等不同生境进行</w:t>
            </w:r>
            <w:r>
              <w:rPr>
                <w:sz w:val="21"/>
              </w:rPr>
              <w:t>5</w:t>
            </w:r>
            <w:r>
              <w:rPr>
                <w:sz w:val="21"/>
              </w:rPr>
              <w:t>次监测</w:t>
            </w:r>
            <w:r>
              <w:rPr>
                <w:sz w:val="21"/>
              </w:rPr>
              <w:t>(</w:t>
            </w:r>
            <w:r>
              <w:rPr>
                <w:sz w:val="21"/>
              </w:rPr>
              <w:t>7</w:t>
            </w:r>
            <w:r>
              <w:rPr>
                <w:sz w:val="21"/>
              </w:rPr>
              <w:t>月、</w:t>
            </w:r>
            <w:r>
              <w:rPr>
                <w:sz w:val="21"/>
              </w:rPr>
              <w:t>8</w:t>
            </w:r>
            <w:r>
              <w:rPr>
                <w:sz w:val="21"/>
              </w:rPr>
              <w:t>月、</w:t>
            </w:r>
            <w:r>
              <w:rPr>
                <w:sz w:val="21"/>
              </w:rPr>
              <w:t>9</w:t>
            </w:r>
            <w:r>
              <w:rPr>
                <w:sz w:val="21"/>
              </w:rPr>
              <w:t>月、</w:t>
            </w:r>
            <w:r>
              <w:rPr>
                <w:sz w:val="21"/>
              </w:rPr>
              <w:t>1</w:t>
            </w:r>
            <w:r>
              <w:rPr>
                <w:sz w:val="21"/>
              </w:rPr>
              <w:t>1</w:t>
            </w:r>
            <w:r>
              <w:rPr>
                <w:sz w:val="21"/>
              </w:rPr>
              <w:t>月和</w:t>
            </w:r>
            <w:r>
              <w:rPr>
                <w:sz w:val="21"/>
              </w:rPr>
              <w:t>1</w:t>
            </w:r>
            <w:r>
              <w:rPr>
                <w:sz w:val="21"/>
              </w:rPr>
              <w:t>2</w:t>
            </w:r>
            <w:r>
              <w:rPr>
                <w:sz w:val="21"/>
              </w:rPr>
              <w:t>月各安排</w:t>
            </w:r>
            <w:r>
              <w:rPr>
                <w:sz w:val="21"/>
              </w:rPr>
              <w:t>1</w:t>
            </w:r>
            <w:r>
              <w:rPr>
                <w:sz w:val="21"/>
              </w:rPr>
              <w:t>次</w:t>
            </w:r>
            <w:r>
              <w:rPr>
                <w:sz w:val="21"/>
              </w:rPr>
              <w:t>),</w:t>
            </w:r>
            <w:r>
              <w:rPr>
                <w:sz w:val="21"/>
              </w:rPr>
              <w:t>每次监测完成后提供监测调查报告；</w:t>
            </w:r>
          </w:p>
          <w:p>
            <w:pPr>
              <w:jc w:val="both"/>
            </w:pPr>
            <w:r>
              <w:rPr>
                <w:sz w:val="21"/>
              </w:rPr>
              <w:t>2.2.</w:t>
            </w:r>
            <w:r>
              <w:rPr>
                <w:sz w:val="21"/>
              </w:rPr>
              <w:t>项目调查范围：每次对全市</w:t>
            </w:r>
            <w:r>
              <w:rPr>
                <w:sz w:val="21"/>
              </w:rPr>
              <w:t>23</w:t>
            </w:r>
            <w:r>
              <w:rPr>
                <w:sz w:val="21"/>
              </w:rPr>
              <w:t>个镇街开展随机抽样调查，每个镇街调查</w:t>
            </w:r>
            <w:r>
              <w:rPr>
                <w:sz w:val="21"/>
              </w:rPr>
              <w:t>70</w:t>
            </w:r>
            <w:r>
              <w:rPr>
                <w:sz w:val="21"/>
              </w:rPr>
              <w:t>个以上监测点，每个监测点监测面积</w:t>
            </w:r>
            <w:r>
              <w:rPr>
                <w:sz w:val="21"/>
              </w:rPr>
              <w:t>3-5</w:t>
            </w:r>
            <w:r>
              <w:rPr>
                <w:sz w:val="21"/>
              </w:rPr>
              <w:t>亩，或同一监测点选取</w:t>
            </w:r>
            <w:r>
              <w:rPr>
                <w:sz w:val="21"/>
              </w:rPr>
              <w:t>3</w:t>
            </w:r>
            <w:r>
              <w:rPr>
                <w:sz w:val="21"/>
              </w:rPr>
              <w:t>块监测样地，每块样地面积不少于</w:t>
            </w:r>
            <w:r>
              <w:rPr>
                <w:sz w:val="21"/>
              </w:rPr>
              <w:t>667</w:t>
            </w:r>
            <w:r>
              <w:rPr>
                <w:sz w:val="21"/>
              </w:rPr>
              <w:t>平方米，覆盖</w:t>
            </w:r>
            <w:r>
              <w:rPr>
                <w:sz w:val="21"/>
              </w:rPr>
              <w:t>3-5</w:t>
            </w:r>
            <w:r>
              <w:rPr>
                <w:sz w:val="21"/>
              </w:rPr>
              <w:t>种具代表性的不同生境，共完成监测</w:t>
            </w:r>
            <w:r>
              <w:rPr>
                <w:sz w:val="21"/>
              </w:rPr>
              <w:t>8050</w:t>
            </w:r>
            <w:r>
              <w:rPr>
                <w:sz w:val="21"/>
              </w:rPr>
              <w:t>个以上监测点；</w:t>
            </w:r>
          </w:p>
          <w:p>
            <w:pPr>
              <w:jc w:val="both"/>
            </w:pPr>
            <w:r>
              <w:rPr>
                <w:sz w:val="21"/>
              </w:rPr>
              <w:t>2.3.</w:t>
            </w:r>
            <w:r>
              <w:rPr>
                <w:sz w:val="21"/>
              </w:rPr>
              <w:t>监测方法：参照国家标准</w:t>
            </w:r>
            <w:r>
              <w:rPr>
                <w:sz w:val="21"/>
              </w:rPr>
              <w:t>B/T 23626-2009</w:t>
            </w:r>
            <w:r>
              <w:rPr>
                <w:sz w:val="21"/>
              </w:rPr>
              <w:t>《红火蚁疫情监测规程》</w:t>
            </w:r>
            <w:r>
              <w:rPr>
                <w:sz w:val="21"/>
              </w:rPr>
              <w:t>,</w:t>
            </w:r>
            <w:r>
              <w:rPr>
                <w:sz w:val="21"/>
              </w:rPr>
              <w:t>采用踏查法和诱饵法</w:t>
            </w:r>
            <w:r>
              <w:rPr>
                <w:sz w:val="21"/>
              </w:rPr>
              <w:t>(</w:t>
            </w:r>
            <w:r>
              <w:rPr>
                <w:sz w:val="21"/>
              </w:rPr>
              <w:t>工蚁密度法</w:t>
            </w:r>
            <w:r>
              <w:rPr>
                <w:sz w:val="21"/>
              </w:rPr>
              <w:t>)</w:t>
            </w:r>
            <w:r>
              <w:rPr>
                <w:sz w:val="21"/>
              </w:rPr>
              <w:t>进行监测，并利用红火蚁采集信息化手段开展监测普查；</w:t>
            </w:r>
          </w:p>
          <w:p>
            <w:pPr>
              <w:jc w:val="both"/>
            </w:pPr>
            <w:r>
              <w:rPr>
                <w:sz w:val="21"/>
              </w:rPr>
              <w:t>2.4.</w:t>
            </w:r>
            <w:r>
              <w:rPr>
                <w:sz w:val="21"/>
              </w:rPr>
              <w:t>项目成果及验收：需在每次调查完成后形成监测报告，总结需统计</w:t>
            </w:r>
            <w:r>
              <w:rPr>
                <w:sz w:val="21"/>
              </w:rPr>
              <w:t>23</w:t>
            </w:r>
            <w:r>
              <w:rPr>
                <w:sz w:val="21"/>
              </w:rPr>
              <w:t>个镇街红火蚁疫情发生情况以及采购人要求的其他监测要求，不得擅自公布或泄露监测数据。</w:t>
            </w:r>
          </w:p>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中山市农业农村局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采购包1：单价</w:t>
            </w:r>
          </w:p>
          <w:p/>
          <w:p>
            <w:r>
              <w:rPr/>
              <w:t>采购包2：总价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p>
            <w:r>
              <w:rPr/>
              <w:t>采购包2：</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各采购包参照国家颁布的《招标代理服务收费管理暂行办法》（国家发展计划委员会计价格[2002]1980号）及《国家发展改革委办公厅关于招标代理服务收费有关问题的通知》（发改办价格【2003】 857号）标准收取。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三、采购标的对应的中小企业划分标准所属行业，采购包1：农、林、牧、渔业； 采购包2：农、林、牧、渔业。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（2）中国工商 银行中山分行普 惠金融事业部 陈炳 菁 18928108782 普惠金融事业部 杨培鹏 15900085352 （3）中国农业银行 中山分行 普惠金融事 业部 赖思韵 22644682 （4）广发银行中山分行 普惠 金融部 林光宇 88862643 （5）中国邮政储蓄银 行中山市分行小企业金融部 黄嘉霖13824720741 （6）中山农村商业银行总行公司业务部 杜保 森 88884181 （7）平安银行中山分行 普惠金融部 林晓冰 13823931 817 （8）兴业银行中山分行企业金融部 刘中芳 0760-88368666-203172（9）招商银行中山分行 公司金融事业部 唐庆颖 13924998608 （10）中国光大银行中山分行 公司业 务管理部 张梓颖 076 0-88858067 （11）广州银行中山分行公司金融部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王涛89986282/18926998881 （17）浦发银行中山分行 交易银行部 付涛 0760-89982303  3、中小微企业有融资需求的，可通过应收账款融资服务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业在融资银行机构开立的回款账号。 6、财政部门根据《政府采购法》等相关法规、规章规定， 对参加政府采购活动的供 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农业农村局2023年红火蚁防控物资采购项目（二次）)：综合评分法,是指投标文件满足招标文件全部实质性要求，且按照评审因素的量化指标评审得分最高的投标人为中标候选人的评标方法。（最低报价不是中标的唯一依据。）</w:t>
      </w:r>
    </w:p>
    <w:p/>
    <w:p>
      <w:r>
        <w:rPr/>
        <w:t>采购包2(中山市农业农村局2023年红火蚁监测普查服务项目（二次）)：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采购包1（中山市农业农村局2023年红火蚁防控物资采购项目（二次））：</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采购包2（中山市农业农村局2023年红火蚁监测普查服务项目（二次））：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采购包1（中山市农业农村局2023年红火蚁防控物资采购项目（二次））：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请在投标文件里提供承诺书或说明书。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本采购包不属于专门面向中小企业采购的项目。</w:t>
            </w:r>
          </w:p>
        </w:tc>
      </w:tr>
    </w:tbl>
    <w:p/>
    <w:p>
      <w:r>
        <w:rPr/>
        <w:t>采购包2（中山市农业农村局2023年红火蚁监测普查服务项目（二次））：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请在投标文件里提供承诺书或说明书。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r>
              <w:rPr/>
              <w:t>8</w:t>
            </w:r>
          </w:p>
        </w:tc>
        <w:tc>
          <w:tcPr>
            <w:tcW w:type="dxa" w:w="3178"/>
          </w:tcPr>
          <w:p>
            <w:r>
              <w:rPr/>
              <w:t>本采购包专门面向中小企业采购</w:t>
            </w:r>
          </w:p>
        </w:tc>
        <w:tc>
          <w:tcPr>
            <w:tcW w:type="dxa" w:w="4238"/>
          </w:tcPr>
          <w:p>
            <w:r>
              <w:rPr/>
              <w:t>本采购包专门面向中小企业采购，参与的供应商服务全部由符合政策要求的中小企业承接，①采购标的对应的中小企业划分标准所属行业为：农、林、牧、渔业。供应商须是符合本项目所属行业（农、林、牧、渔业）政策划分标准的中小微企业。监狱企业、残疾人福利单位视同小型、微型企业。注：中小企业以供应商填写的《中小企业声明函》为判定标准，残疾人福利性单位以供应商填写的《残疾人福利性单位声明函》为判定标准，监狱企业须提供由省级以上监狱管理局、戒毒管理局（含新疆生产建设兵团）出具的属于监狱企业的证明文件，否则不予认定。②《中小企业声明函》作为资格条件之一，须填写完整准确。</w:t>
            </w:r>
          </w:p>
        </w:tc>
      </w:tr>
    </w:tbl>
    <w:p/>
    <w:p>
      <w:pPr>
        <w:ind w:firstLine="480"/>
      </w:pPr>
      <w:r>
        <w:rPr/>
        <w:t>表二符合性审查表：</w:t>
      </w:r>
    </w:p>
    <w:p>
      <w:pPr>
        <w:ind w:firstLine="480"/>
      </w:pPr>
    </w:p>
    <w:p/>
    <w:p>
      <w:r>
        <w:rPr/>
        <w:t>采购包1（中山市农业农村局2023年红火蚁防控物资采购项目（二次））：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投标（报价）金额是固定价且是唯一的，未超过本采购包的单价最高限价。</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t>采购包2（中山市农业农村局2023年红火蚁监测普查服务项目（二次））：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投标（报价）总金额是固定价且是唯一的，未超过本采购包的采购预算总金额。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采购包1(中山市农业农村局2023年红火蚁防控物资采购项目（二次）):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商务部分21.0分</w:t>
            </w:r>
          </w:p>
          <w:p>
            <w:r>
              <w:rPr/>
              <w:t>技术部分46.0分</w:t>
            </w:r>
          </w:p>
          <w:p>
            <w:r>
              <w:rPr/>
              <w:t>报价得分33.0分</w:t>
            </w:r>
          </w:p>
        </w:tc>
      </w:tr>
      <w:tr>
        <w:tc>
          <w:tcPr>
            <w:tcW w:type="dxa" w:w="922"/>
            <w:gridSpan w:val="2"/>
            <w:vMerge w:val="restart"/>
          </w:tcPr>
          <w:p>
            <w:pPr>
              <w:jc w:val="center"/>
            </w:pPr>
            <w:r>
              <w:rPr/>
              <w:t>技术部分</w:t>
            </w:r>
          </w:p>
        </w:tc>
        <w:tc>
          <w:tcPr>
            <w:tcW w:type="dxa" w:w="2307"/>
          </w:tcPr>
          <w:p>
            <w:pPr>
              <w:jc w:val="left"/>
            </w:pPr>
            <w:r>
              <w:rPr/>
              <w:t>对招标文件第二章《采购需求》 中采购包1的附表一“具体技术(参数)要求”条款的响应情况 (6.0分)</w:t>
            </w:r>
          </w:p>
        </w:tc>
        <w:tc>
          <w:tcPr>
            <w:tcW w:type="dxa" w:w="5076"/>
          </w:tcPr>
          <w:p>
            <w:pPr>
              <w:jc w:val="left"/>
            </w:pPr>
            <w:r>
              <w:rPr/>
              <w:t>考核投标人对招标文件第二章《采购需求》中采购包1的附表一“具体技术(参数)要求”中所有条款（星号条款除外）的响应程度（每条条款最小一级序号均以一项计算）：  1.参数每无偏离一项得0.6分，本项最高得6分。  注：1)评审依据以投标人投标文件中《技术和服务要求响应表》填写内容为准，未填写的视为负偏离；2)如采购需求中有明确要求提供具体证明资料的，必须按采购需求单独（额外）提供，如评标委员会无法从所提供资料中判断其响应内容是否符合要求的，视为负偏离；3）以上两款要求，投标人无提供或未按要求提供材料的不得分。</w:t>
            </w:r>
          </w:p>
        </w:tc>
      </w:tr>
      <w:tr>
        <w:tc>
          <w:tcPr>
            <w:tcW w:type="dxa" w:w="922"/>
            <w:gridSpan w:val="2"/>
            <w:vMerge/>
          </w:tcPr>
          <w:p/>
        </w:tc>
        <w:tc>
          <w:tcPr>
            <w:tcW w:type="dxa" w:w="2307"/>
          </w:tcPr>
          <w:p>
            <w:pPr>
              <w:jc w:val="left"/>
            </w:pPr>
            <w:r>
              <w:rPr/>
              <w:t>产品防效 (20.0分)</w:t>
            </w:r>
          </w:p>
        </w:tc>
        <w:tc>
          <w:tcPr>
            <w:tcW w:type="dxa" w:w="5076"/>
          </w:tcPr>
          <w:p>
            <w:pPr>
              <w:jc w:val="left"/>
            </w:pPr>
            <w:r>
              <w:rPr/>
              <w:t>根据投标人所投红火蚁防控药剂的防控试验效果情况进行评审。 1.所投产品的性能强、环保性好、安全、药剂防效效果好，施药后14天红火蚁活动蚁巢防控效果90%的，得15分，每增加1%加1分，最多得20分；  2.所投产品的性能较强、环保性较好、较安全、药剂防效效果较好，施药后14天红火蚁活动蚁巢防控效果85%以上的，得10分；  3.所投产品的性能一般、环保性一般、基本安全、药剂防效效果一般,基本满足采购需求，施药后14天红火蚁活动蚁巢防控效果80%以上的，得5分；  4.所投产品的性能较差、环保性较差、药剂防效效果较差，施药后14天红火蚁活动蚁巢防控效果75%以上的，得3分； 5.所投产品的性能差、环保性差、药剂防效效果差，施药后14天红火蚁活动蚁巢防控效果70%以上的，得1分； 注:以上须提供所投产品在农药登记试验单位进行的防控效果通报材料复印件加盖投标人公章，不提供或提供的资料无法清晰体现评审考核指标的，不得分。</w:t>
            </w:r>
          </w:p>
        </w:tc>
      </w:tr>
      <w:tr>
        <w:tc>
          <w:tcPr>
            <w:tcW w:type="dxa" w:w="922"/>
            <w:gridSpan w:val="2"/>
            <w:vMerge/>
          </w:tcPr>
          <w:p/>
        </w:tc>
        <w:tc>
          <w:tcPr>
            <w:tcW w:type="dxa" w:w="2307"/>
          </w:tcPr>
          <w:p>
            <w:pPr>
              <w:jc w:val="left"/>
            </w:pPr>
            <w:r>
              <w:rPr/>
              <w:t>项目实施方案 (6.0分)</w:t>
            </w:r>
            <w:r>
              <w:rPr/>
              <w:t>，（等次分值选择：</w:t>
            </w:r>
            <w:r>
              <w:rPr/>
              <w:t>0.0;</w:t>
            </w:r>
            <w:r>
              <w:rPr/>
              <w:t>1.0;</w:t>
            </w:r>
            <w:r>
              <w:rPr/>
              <w:t>3.0;</w:t>
            </w:r>
            <w:r>
              <w:rPr/>
              <w:t>6.0;</w:t>
            </w:r>
            <w:r>
              <w:rPr/>
              <w:t>）</w:t>
            </w:r>
          </w:p>
        </w:tc>
        <w:tc>
          <w:tcPr>
            <w:tcW w:type="dxa" w:w="5076"/>
          </w:tcPr>
          <w:p>
            <w:pPr>
              <w:jc w:val="left"/>
            </w:pPr>
            <w:r>
              <w:rPr/>
              <w:t>根据投标人针对本项目提供的项目实施方案（包括但不限于对本项目的熟悉程度、是否切合本项目的实际情况、整体实施方案可行性、完整性、进度计划、人员安排、设备投入等整体情况）进行评审。 1.项目实施方案对本项目的实际情况切合程度高，完整性、可行性高，进度计划合理，人员及设备投入安排十分充足，得6分；  2.项目实施方案对本项目的实际情况切合程度一般，完整性、可行性及进度计划一般，人员及设备投入安排不充足，得3分；  3.项目实施方案不切合本项目的实际情况，完整性、可行性差，进度计划安排不合理，人员及设备投入安排差，得1分；  4.未提供方案或提供的方案不符合要求的，不得分。</w:t>
            </w:r>
          </w:p>
        </w:tc>
      </w:tr>
      <w:tr>
        <w:tc>
          <w:tcPr>
            <w:tcW w:type="dxa" w:w="922"/>
            <w:gridSpan w:val="2"/>
            <w:vMerge/>
          </w:tcPr>
          <w:p/>
        </w:tc>
        <w:tc>
          <w:tcPr>
            <w:tcW w:type="dxa" w:w="2307"/>
          </w:tcPr>
          <w:p>
            <w:pPr>
              <w:jc w:val="left"/>
            </w:pPr>
            <w:r>
              <w:rPr/>
              <w:t>售后服务方案 (5.0分)</w:t>
            </w:r>
            <w:r>
              <w:rPr/>
              <w:t>，（等次分值选择：</w:t>
            </w:r>
            <w:r>
              <w:rPr/>
              <w:t>0.0;</w:t>
            </w:r>
            <w:r>
              <w:rPr/>
              <w:t>1.0;</w:t>
            </w:r>
            <w:r>
              <w:rPr/>
              <w:t>3.0;</w:t>
            </w:r>
            <w:r>
              <w:rPr/>
              <w:t>4.0;</w:t>
            </w:r>
            <w:r>
              <w:rPr/>
              <w:t>5.0;</w:t>
            </w:r>
            <w:r>
              <w:rPr/>
              <w:t>）</w:t>
            </w:r>
          </w:p>
        </w:tc>
        <w:tc>
          <w:tcPr>
            <w:tcW w:type="dxa" w:w="5076"/>
          </w:tcPr>
          <w:p>
            <w:pPr>
              <w:jc w:val="left"/>
            </w:pPr>
            <w:r>
              <w:rPr/>
              <w:t>根据投标人针对本项目提供的售后服务方案（包括但不限于防效调查及评估方案、培训方案、质保承诺、响应时间等）进行评审。   1.方案内容优于采购文件要求，具有完善的售后体系认证且服务方案内容详细、有针对性，售后服务便捷且响应速度快的，得5分； 2.方案内容满足采购文件要求，售后服务便捷性及响应速度较快的，得4分；  3.方案内容基本满足采购文件要求，售后服务便捷性及响应速度一般的，得3分；  4.方案内容简单，售后服务便捷性及响应速度较差的，得1分；  5.未提供方案或提供的方案不符合要求的，不得分。</w:t>
            </w:r>
          </w:p>
        </w:tc>
      </w:tr>
      <w:tr>
        <w:tc>
          <w:tcPr>
            <w:tcW w:type="dxa" w:w="922"/>
            <w:gridSpan w:val="2"/>
            <w:vMerge/>
          </w:tcPr>
          <w:p/>
        </w:tc>
        <w:tc>
          <w:tcPr>
            <w:tcW w:type="dxa" w:w="2307"/>
          </w:tcPr>
          <w:p>
            <w:pPr>
              <w:jc w:val="left"/>
            </w:pPr>
            <w:r>
              <w:rPr/>
              <w:t>应急方案 (4.0分)</w:t>
            </w:r>
            <w:r>
              <w:rPr/>
              <w:t>，（等次分值选择：</w:t>
            </w:r>
            <w:r>
              <w:rPr/>
              <w:t>0.0;</w:t>
            </w:r>
            <w:r>
              <w:rPr/>
              <w:t>1.0;</w:t>
            </w:r>
            <w:r>
              <w:rPr/>
              <w:t>2.0;</w:t>
            </w:r>
            <w:r>
              <w:rPr/>
              <w:t>4.0;</w:t>
            </w:r>
            <w:r>
              <w:rPr/>
              <w:t>）</w:t>
            </w:r>
          </w:p>
        </w:tc>
        <w:tc>
          <w:tcPr>
            <w:tcW w:type="dxa" w:w="5076"/>
          </w:tcPr>
          <w:p>
            <w:pPr>
              <w:jc w:val="left"/>
            </w:pPr>
            <w:r>
              <w:rPr/>
              <w:t>根据投标人针对本项目提供的项目应急方案进行评审。 1.方案内容全面，应急保障措施周全有效，得4分； 2.方案内容一般，应急保障措施不够详细合理，得2分；  3.方案内容及应急保障措施较差，得1分；  4.未提供方案或提供的方案不符合要求的，不得分。</w:t>
            </w:r>
          </w:p>
        </w:tc>
      </w:tr>
      <w:tr>
        <w:tc>
          <w:tcPr>
            <w:tcW w:type="dxa" w:w="922"/>
            <w:gridSpan w:val="2"/>
            <w:vMerge/>
          </w:tcPr>
          <w:p/>
        </w:tc>
        <w:tc>
          <w:tcPr>
            <w:tcW w:type="dxa" w:w="2307"/>
          </w:tcPr>
          <w:p>
            <w:pPr>
              <w:jc w:val="left"/>
            </w:pPr>
            <w:r>
              <w:rPr/>
              <w:t>质量保证措施 (5.0分)</w:t>
            </w:r>
            <w:r>
              <w:rPr/>
              <w:t>，（等次分值选择：</w:t>
            </w:r>
            <w:r>
              <w:rPr/>
              <w:t>0.0;</w:t>
            </w:r>
            <w:r>
              <w:rPr/>
              <w:t>1.0;</w:t>
            </w:r>
            <w:r>
              <w:rPr/>
              <w:t>3.0;</w:t>
            </w:r>
            <w:r>
              <w:rPr/>
              <w:t>5.0;</w:t>
            </w:r>
            <w:r>
              <w:rPr/>
              <w:t>）</w:t>
            </w:r>
          </w:p>
        </w:tc>
        <w:tc>
          <w:tcPr>
            <w:tcW w:type="dxa" w:w="5076"/>
          </w:tcPr>
          <w:p>
            <w:pPr>
              <w:jc w:val="left"/>
            </w:pPr>
            <w:r>
              <w:rPr/>
              <w:t>根据投标人针对本项目提供的质量保证措施进行评审。 1.质量保证措施详细合理，满足或优于采购文件要求，得5分；  2.质量保证措施详细较合理，基本满足采购文件要求，得3分；  3.质量保证措施不够详细合理，未能满足采购文件要求，得1分；   4.未提供方案或提供的方案不符合要求的，不得分。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(5.0分)</w:t>
            </w:r>
          </w:p>
        </w:tc>
        <w:tc>
          <w:tcPr>
            <w:tcW w:type="dxa" w:w="5076"/>
          </w:tcPr>
          <w:p>
            <w:pPr>
              <w:jc w:val="left"/>
            </w:pPr>
            <w:r>
              <w:rPr/>
              <w:t>考核对采购需求中“主要商务要求”所有小点（星号条款除外）的响应程度。   1.完全响应要求的得5分；   2.每负偏离一项扣1分，本项5分，扣完为止。</w:t>
            </w:r>
          </w:p>
        </w:tc>
      </w:tr>
      <w:tr>
        <w:tc>
          <w:tcPr>
            <w:tcW w:type="dxa" w:w="922"/>
            <w:gridSpan w:val="2"/>
            <w:vMerge/>
          </w:tcPr>
          <w:p/>
        </w:tc>
        <w:tc>
          <w:tcPr>
            <w:tcW w:type="dxa" w:w="2307"/>
          </w:tcPr>
          <w:p>
            <w:pPr>
              <w:jc w:val="left"/>
            </w:pPr>
            <w:r>
              <w:rPr/>
              <w:t>企业资质 (3.0分)</w:t>
            </w:r>
          </w:p>
        </w:tc>
        <w:tc>
          <w:tcPr>
            <w:tcW w:type="dxa" w:w="5076"/>
          </w:tcPr>
          <w:p>
            <w:pPr>
              <w:jc w:val="left"/>
            </w:pPr>
            <w:r>
              <w:rPr/>
              <w:t>1.职业健康安全管理体系证书（1分）；  2.环境管理体系认证证书（1分）；  3.质量管理体系认证证书（1分）；  注：1.投标人或所投产品生产厂家具备以上证书，每提供一个证书得1分，满分3分。   2.提供有效期内的证书复印件并加盖投标人的公章，不按要求提供不得分。</w:t>
            </w:r>
          </w:p>
        </w:tc>
      </w:tr>
      <w:tr>
        <w:tc>
          <w:tcPr>
            <w:tcW w:type="dxa" w:w="922"/>
            <w:gridSpan w:val="2"/>
            <w:vMerge/>
          </w:tcPr>
          <w:p/>
        </w:tc>
        <w:tc>
          <w:tcPr>
            <w:tcW w:type="dxa" w:w="2307"/>
          </w:tcPr>
          <w:p>
            <w:pPr>
              <w:jc w:val="left"/>
            </w:pPr>
            <w:r>
              <w:rPr/>
              <w:t>同类项目业绩  (10.0分)</w:t>
            </w:r>
          </w:p>
        </w:tc>
        <w:tc>
          <w:tcPr>
            <w:tcW w:type="dxa" w:w="5076"/>
          </w:tcPr>
          <w:p>
            <w:pPr>
              <w:jc w:val="left"/>
            </w:pPr>
            <w:r>
              <w:rPr/>
              <w:t>评标委员会应根据投标人提供的业绩情况进行评审： 2021年1月1日以来（以合同签订日期为准）投标人承接的红火蚁防控药剂采购相关项目业绩，每提供一个项目业绩得2分，最多得10分。  注：1.按招标文件格式填写《投标人业绩情况表》并提供加盖投标人公章的业绩合同关键页复印件；2.关键页内容必须清晰阐明项目名称、双方单位名称、合同签订日期、合同履行主要内容），未按要求提供或所提供资料模糊不清的，得0分。</w:t>
            </w:r>
          </w:p>
        </w:tc>
      </w:tr>
      <w:tr>
        <w:tc>
          <w:tcPr>
            <w:tcW w:type="dxa" w:w="922"/>
            <w:gridSpan w:val="2"/>
            <w:vMerge/>
          </w:tcPr>
          <w:p/>
        </w:tc>
        <w:tc>
          <w:tcPr>
            <w:tcW w:type="dxa" w:w="2307"/>
          </w:tcPr>
          <w:p>
            <w:pPr>
              <w:jc w:val="left"/>
            </w:pPr>
            <w:r>
              <w:rPr/>
              <w:t>综合实力 (3.0分)</w:t>
            </w:r>
          </w:p>
        </w:tc>
        <w:tc>
          <w:tcPr>
            <w:tcW w:type="dxa" w:w="5076"/>
          </w:tcPr>
          <w:p>
            <w:pPr>
              <w:jc w:val="left"/>
            </w:pPr>
            <w:r>
              <w:rPr/>
              <w:t>1.投标人获得同类项目相关的奖项，每提供一项国家级行政主管部门颁发的奖项得3分，每提供一项省级行政主管部门颁发的奖项得1分，其他不得分；本项最高得3分， 注：须提供相关证明材料复印件并加盖投标人公章，不提供或所提供的资料模糊不清的，不得分。</w:t>
            </w:r>
          </w:p>
        </w:tc>
      </w:tr>
      <w:tr>
        <w:tc>
          <w:tcPr>
            <w:tcW w:type="dxa" w:w="922"/>
            <w:gridSpan w:val="2"/>
          </w:tcPr>
          <w:p>
            <w:pPr>
              <w:jc w:val="center"/>
            </w:pPr>
            <w:r>
              <w:rPr/>
              <w:t>投标报价</w:t>
            </w:r>
          </w:p>
        </w:tc>
        <w:tc>
          <w:tcPr>
            <w:tcW w:type="dxa" w:w="2307"/>
          </w:tcPr>
          <w:p>
            <w:pPr>
              <w:jc w:val="left"/>
            </w:pPr>
            <w:r>
              <w:rPr/>
              <w:t>投标报价得分 (33.0分)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采购包2(中山市农业农村局2023年红火蚁监测普查服务项目（二次）):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商务部分48.0分</w:t>
            </w:r>
          </w:p>
          <w:p>
            <w:r>
              <w:rPr/>
              <w:t>技术部分40.0分</w:t>
            </w:r>
          </w:p>
          <w:p>
            <w:r>
              <w:rPr/>
              <w:t>报价得分12.0分</w:t>
            </w:r>
          </w:p>
        </w:tc>
      </w:tr>
      <w:tr>
        <w:tc>
          <w:tcPr>
            <w:tcW w:type="dxa" w:w="922"/>
            <w:gridSpan w:val="2"/>
            <w:vMerge w:val="restart"/>
          </w:tcPr>
          <w:p>
            <w:pPr>
              <w:jc w:val="center"/>
            </w:pPr>
            <w:r>
              <w:rPr/>
              <w:t>技术部分</w:t>
            </w:r>
          </w:p>
        </w:tc>
        <w:tc>
          <w:tcPr>
            <w:tcW w:type="dxa" w:w="2307"/>
          </w:tcPr>
          <w:p>
            <w:pPr>
              <w:jc w:val="left"/>
            </w:pPr>
            <w:r>
              <w:rPr/>
              <w:t>对招标文件第二章《采购需求》 中采购包2“具体技术(参数)要求”条款的响应情况 (8.0分)</w:t>
            </w:r>
          </w:p>
        </w:tc>
        <w:tc>
          <w:tcPr>
            <w:tcW w:type="dxa" w:w="5076"/>
          </w:tcPr>
          <w:p>
            <w:pPr>
              <w:jc w:val="left"/>
            </w:pPr>
            <w:r>
              <w:rPr/>
              <w:t>考核投标人对招标文件第二章《采购需求》中采购包2的附表一“具体技术(参数)要求”中所有条款（星号条款除外）的响应程度（每条条款最小一级序号均以一项计算）：  1.参数每无偏离一项得1分，本项最高得8分。  注：1)评审依据以投标人投标文件中《技术和服务要求响应表》填写内容为准，未填写的视为负偏离；2)如采购需求中有明确要求提供具体证明资料的，必须按采购需求单独（额外）提供，如评标委员会无法从所提供资料中判断其响应内容是否符合要求的，视为负偏离；3）以上两款要求，投标人无提供或未按要求提供材料的不得分。</w:t>
            </w:r>
          </w:p>
        </w:tc>
      </w:tr>
      <w:tr>
        <w:tc>
          <w:tcPr>
            <w:tcW w:type="dxa" w:w="922"/>
            <w:gridSpan w:val="2"/>
            <w:vMerge/>
          </w:tcPr>
          <w:p/>
        </w:tc>
        <w:tc>
          <w:tcPr>
            <w:tcW w:type="dxa" w:w="2307"/>
          </w:tcPr>
          <w:p>
            <w:pPr>
              <w:jc w:val="left"/>
            </w:pPr>
            <w:r>
              <w:rPr/>
              <w:t>项目实施方案 (10.0分)</w:t>
            </w:r>
            <w:r>
              <w:rPr/>
              <w:t>，（等次分值选择：</w:t>
            </w:r>
            <w:r>
              <w:rPr/>
              <w:t>0.0;</w:t>
            </w:r>
            <w:r>
              <w:rPr/>
              <w:t>2.0;</w:t>
            </w:r>
            <w:r>
              <w:rPr/>
              <w:t>4.0;</w:t>
            </w:r>
            <w:r>
              <w:rPr/>
              <w:t>7.0;</w:t>
            </w:r>
            <w:r>
              <w:rPr/>
              <w:t>10.0;</w:t>
            </w:r>
            <w:r>
              <w:rPr/>
              <w:t>）</w:t>
            </w:r>
          </w:p>
        </w:tc>
        <w:tc>
          <w:tcPr>
            <w:tcW w:type="dxa" w:w="5076"/>
          </w:tcPr>
          <w:p>
            <w:pPr>
              <w:jc w:val="left"/>
            </w:pPr>
            <w:r>
              <w:rPr/>
              <w:t>根据投标人针对本项目提供的项目实施方案（包括但不限于组织实施服务作业的完整性、安全性、针对性、可行性、计划安排、重点与难点分析，提出合理化建议。）进行评审。 1.实施方案完整，方案提出的安全性高，针对性、可行性强，计划安排及重点与难点分析并提出建议合理的，得10分；  2.实施方案较完整，方案提出的安全性较高，针对性、可行性较强，计划安排及重点与难点分析并提出建议较合理的，得7分；  3.实施方案完整性一般，方案提出的安全性一般，针对性、可行性一般，计划安排及重点与难点分析并提出建议一般的，得4分；  4.实施方案不太完整，方案提出的安全性较差，针对性、可行性不强，计划安排及重点与难点分析并提出建议不太合理的，得2分。  5.未提供或提供的方案不符合要求的，不得分。</w:t>
            </w:r>
          </w:p>
        </w:tc>
      </w:tr>
      <w:tr>
        <w:tc>
          <w:tcPr>
            <w:tcW w:type="dxa" w:w="922"/>
            <w:gridSpan w:val="2"/>
            <w:vMerge/>
          </w:tcPr>
          <w:p/>
        </w:tc>
        <w:tc>
          <w:tcPr>
            <w:tcW w:type="dxa" w:w="2307"/>
          </w:tcPr>
          <w:p>
            <w:pPr>
              <w:jc w:val="left"/>
            </w:pPr>
            <w:r>
              <w:rPr/>
              <w:t>监测数据反馈方案 (7.0分)</w:t>
            </w:r>
            <w:r>
              <w:rPr/>
              <w:t>，（等次分值选择：</w:t>
            </w:r>
            <w:r>
              <w:rPr/>
              <w:t>0.0;</w:t>
            </w:r>
            <w:r>
              <w:rPr/>
              <w:t>2.0;</w:t>
            </w:r>
            <w:r>
              <w:rPr/>
              <w:t>3.0;</w:t>
            </w:r>
            <w:r>
              <w:rPr/>
              <w:t>5.0;</w:t>
            </w:r>
            <w:r>
              <w:rPr/>
              <w:t>7.0;</w:t>
            </w:r>
            <w:r>
              <w:rPr/>
              <w:t>）</w:t>
            </w:r>
          </w:p>
        </w:tc>
        <w:tc>
          <w:tcPr>
            <w:tcW w:type="dxa" w:w="5076"/>
          </w:tcPr>
          <w:p>
            <w:pPr>
              <w:jc w:val="left"/>
            </w:pPr>
            <w:r>
              <w:rPr/>
              <w:t>根据投标人针对本项目提供的监测数据分析方案（包括但不限于监测数据管理制度、疫情反馈制度等）进行评审。 1.按项目要求提供具体方案，能结合中山市本地情况针对不同生境、各镇街的疫情情况进行详细分析，内容完整，针对性强，监测数据管理制度、疫情反馈制度科学、合理，得7分。 2.按项目要求提供具体方案，能结合中山市本地情况针对不同生境、各镇街的疫情情况进行较详细分析，内容较完整，针对性较强，监测数据管理制度、疫情反馈制度较科学、较合理，得5分。 3.按项目要求提供具体方案，能结合中山市本地情况针对不同生境、各镇街的疫情情况进行分析，内容基本完整，具有一定针对性，监测数据管理制度、疫情反馈制度基本合理，得3分； 4.按项目要求提供具体方案，未能结合中山市本地情况针对不同生境、各镇街的疫情情况进行分析，内容不太完整，针对性不太强，监测数据管理制度、疫情反馈制度不太科学、不太合理，得2分； 5.未提供方案或提供的方案不符合要求的，不得分。</w:t>
            </w:r>
          </w:p>
        </w:tc>
      </w:tr>
      <w:tr>
        <w:tc>
          <w:tcPr>
            <w:tcW w:type="dxa" w:w="922"/>
            <w:gridSpan w:val="2"/>
            <w:vMerge/>
          </w:tcPr>
          <w:p/>
        </w:tc>
        <w:tc>
          <w:tcPr>
            <w:tcW w:type="dxa" w:w="2307"/>
          </w:tcPr>
          <w:p>
            <w:pPr>
              <w:jc w:val="left"/>
            </w:pPr>
            <w:r>
              <w:rPr/>
              <w:t>人员技术培训计划 (5.0分)</w:t>
            </w:r>
            <w:r>
              <w:rPr/>
              <w:t>，（等次分值选择：</w:t>
            </w:r>
            <w:r>
              <w:rPr/>
              <w:t>0.0;</w:t>
            </w:r>
            <w:r>
              <w:rPr/>
              <w:t>1.0;</w:t>
            </w:r>
            <w:r>
              <w:rPr/>
              <w:t>3.0;</w:t>
            </w:r>
            <w:r>
              <w:rPr/>
              <w:t>5.0;</w:t>
            </w:r>
            <w:r>
              <w:rPr/>
              <w:t>）</w:t>
            </w:r>
          </w:p>
        </w:tc>
        <w:tc>
          <w:tcPr>
            <w:tcW w:type="dxa" w:w="5076"/>
          </w:tcPr>
          <w:p>
            <w:pPr>
              <w:jc w:val="left"/>
            </w:pPr>
            <w:r>
              <w:rPr/>
              <w:t>根据投标人针对本项目提供的人员技术培训计划进行评审。   1.技术培训计划和内容全面、详尽，经验丰富，针对性和操作性强，红火蚁监测防控实操指引清晰、科学的，得5分； 2.技术培训计划和内容基本全面、针对性和操作性一般，红火蚁监测防控实操指引基本清晰、科学的，得3分； 3.技术培训计划和内容简单，不太有针对性，操作性不太可行，红火蚁监测防控实操指引简单，得1分。 4.未提供方案或提供的方案不符合要求的，不得分。</w:t>
            </w:r>
          </w:p>
        </w:tc>
      </w:tr>
      <w:tr>
        <w:tc>
          <w:tcPr>
            <w:tcW w:type="dxa" w:w="922"/>
            <w:gridSpan w:val="2"/>
            <w:vMerge/>
          </w:tcPr>
          <w:p/>
        </w:tc>
        <w:tc>
          <w:tcPr>
            <w:tcW w:type="dxa" w:w="2307"/>
          </w:tcPr>
          <w:p>
            <w:pPr>
              <w:jc w:val="left"/>
            </w:pPr>
            <w:r>
              <w:rPr/>
              <w:t>技术服务方案  (10.0分)</w:t>
            </w:r>
            <w:r>
              <w:rPr/>
              <w:t>，（等次分值选择：</w:t>
            </w:r>
            <w:r>
              <w:rPr/>
              <w:t>0.0;</w:t>
            </w:r>
            <w:r>
              <w:rPr/>
              <w:t>2.0;</w:t>
            </w:r>
            <w:r>
              <w:rPr/>
              <w:t>4.0;</w:t>
            </w:r>
            <w:r>
              <w:rPr/>
              <w:t>7.0;</w:t>
            </w:r>
            <w:r>
              <w:rPr/>
              <w:t>10.0;</w:t>
            </w:r>
            <w:r>
              <w:rPr/>
              <w:t>）</w:t>
            </w:r>
          </w:p>
        </w:tc>
        <w:tc>
          <w:tcPr>
            <w:tcW w:type="dxa" w:w="5076"/>
          </w:tcPr>
          <w:p>
            <w:pPr>
              <w:jc w:val="left"/>
            </w:pPr>
            <w:r>
              <w:rPr/>
              <w:t>根据投标人针对提供的本项目技术服务方案（包括但不限于防治对象、种类、密度的监测手段、方法；监测人员配备、红火蚁疫情监测风险评估技术水平，业务经验能力等）进行评审： 1.服务方案内容全面、详尽，监测方法全面、具体，科学合理，针对性和可行性强；监测人员配备、监测风险评估技术水平强、业务经验能力强，有利于提高服务质量，得10分； 2.服务方案内容较全面，监测方法较全面、具体，科学合理，针对性和可行性较强；监测人员配备、监测风险评估技术水平较强、业务经验能力较强，可保障基本的服务质量，得 7分； 3.服务方案内容基本全面，监测方法基本全面、基本合理，监测人员配备、监测风险评估技术水平一般、业务经验能力一般，得 4分； 4.服务方案内容不全面，监测方法不太全面、不太合理，监测人员配备、监测风险评估技术水平较差、业务经验能力较差，得2分； 5.未提供方案或提供的方案不符合要求的，不得分。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(4.0分)</w:t>
            </w:r>
          </w:p>
        </w:tc>
        <w:tc>
          <w:tcPr>
            <w:tcW w:type="dxa" w:w="5076"/>
          </w:tcPr>
          <w:p>
            <w:pPr>
              <w:jc w:val="left"/>
            </w:pPr>
            <w:r>
              <w:rPr/>
              <w:t>考核对采购需求中“主要商务要求”所有小点（星号条款除外）的响应程度。   1.完全响应要求的得4分；   2.每负偏离一项扣1分，本项4分，扣完为止。</w:t>
            </w:r>
          </w:p>
        </w:tc>
      </w:tr>
      <w:tr>
        <w:tc>
          <w:tcPr>
            <w:tcW w:type="dxa" w:w="922"/>
            <w:gridSpan w:val="2"/>
            <w:vMerge/>
          </w:tcPr>
          <w:p/>
        </w:tc>
        <w:tc>
          <w:tcPr>
            <w:tcW w:type="dxa" w:w="2307"/>
          </w:tcPr>
          <w:p>
            <w:pPr>
              <w:jc w:val="left"/>
            </w:pPr>
            <w:r>
              <w:rPr/>
              <w:t>企业资质 (3.0分)</w:t>
            </w:r>
          </w:p>
        </w:tc>
        <w:tc>
          <w:tcPr>
            <w:tcW w:type="dxa" w:w="5076"/>
          </w:tcPr>
          <w:p>
            <w:pPr>
              <w:jc w:val="left"/>
            </w:pPr>
            <w:r>
              <w:rPr/>
              <w:t>1.职业健康安全管理体系证书（1分）；  2.环境管理体系认证证书（1分）；  3.质量管理体系认证证书（1分）；   注：1.投标人具备以上证书，每提供一个证书得1分，满分3分。   2.提供有效期内的证书复印件并加盖投标人的公章，不按要求提供不得分。</w:t>
            </w:r>
          </w:p>
        </w:tc>
      </w:tr>
      <w:tr>
        <w:tc>
          <w:tcPr>
            <w:tcW w:type="dxa" w:w="922"/>
            <w:gridSpan w:val="2"/>
            <w:vMerge/>
          </w:tcPr>
          <w:p/>
        </w:tc>
        <w:tc>
          <w:tcPr>
            <w:tcW w:type="dxa" w:w="2307"/>
          </w:tcPr>
          <w:p>
            <w:pPr>
              <w:jc w:val="left"/>
            </w:pPr>
            <w:r>
              <w:rPr/>
              <w:t>同类项目业绩  (15.0分)</w:t>
            </w:r>
          </w:p>
        </w:tc>
        <w:tc>
          <w:tcPr>
            <w:tcW w:type="dxa" w:w="5076"/>
          </w:tcPr>
          <w:p>
            <w:pPr>
              <w:jc w:val="left"/>
            </w:pPr>
            <w:r>
              <w:rPr/>
              <w:t>评标委员会应根据投标人提供的业绩情况进行评审： 2021年1月1日以来（以合同签订日期为准）投标人承接的同类项目业绩（合同中含有红火蚁疫情监测等相关服务），每提供一个项目业绩得3分，最多得15分。  注：1.按招标文件格式填写《投标人业绩情况表》并提供加盖投标人公章的业绩合同关键页复印件； 2.关键页内容必须清晰阐明项目名称、双方单位名称、合同签订日期、合同履行主要内容），未按要求提供或所提供资料模糊不清的，得0分。</w:t>
            </w:r>
          </w:p>
        </w:tc>
      </w:tr>
      <w:tr>
        <w:tc>
          <w:tcPr>
            <w:tcW w:type="dxa" w:w="922"/>
            <w:gridSpan w:val="2"/>
            <w:vMerge/>
          </w:tcPr>
          <w:p/>
        </w:tc>
        <w:tc>
          <w:tcPr>
            <w:tcW w:type="dxa" w:w="2307"/>
          </w:tcPr>
          <w:p>
            <w:pPr>
              <w:jc w:val="left"/>
            </w:pPr>
            <w:r>
              <w:rPr/>
              <w:t>用户评价 (10.0分)</w:t>
            </w:r>
          </w:p>
        </w:tc>
        <w:tc>
          <w:tcPr>
            <w:tcW w:type="dxa" w:w="5076"/>
          </w:tcPr>
          <w:p>
            <w:pPr>
              <w:jc w:val="left"/>
            </w:pPr>
            <w:r>
              <w:rPr/>
              <w:t>根据投标人以上有效业绩情况，每提供一项由采购人单位出具的评价结果为“好评”或“优秀”或同等级别的评价证明材料，得2分，本项最高10分。   注：1.提供对应项目的服务评价证明材料复印件或扫描件（需客户单位盖章）逐一附在以上业绩合同后作为评审依据。      2.针对一份有效合同，投标人提供一份或多份好评的，只按一份好评计算。      3.提供的好评与有效业绩无法对应或没有提供的不得分。</w:t>
            </w:r>
          </w:p>
        </w:tc>
      </w:tr>
      <w:tr>
        <w:tc>
          <w:tcPr>
            <w:tcW w:type="dxa" w:w="922"/>
            <w:gridSpan w:val="2"/>
            <w:vMerge/>
          </w:tcPr>
          <w:p/>
        </w:tc>
        <w:tc>
          <w:tcPr>
            <w:tcW w:type="dxa" w:w="2307"/>
          </w:tcPr>
          <w:p>
            <w:pPr>
              <w:jc w:val="left"/>
            </w:pPr>
            <w:r>
              <w:rPr/>
              <w:t>拟投入项目团队成员实力 (12.0分)</w:t>
            </w:r>
          </w:p>
        </w:tc>
        <w:tc>
          <w:tcPr>
            <w:tcW w:type="dxa" w:w="5076"/>
          </w:tcPr>
          <w:p>
            <w:pPr>
              <w:jc w:val="left"/>
            </w:pPr>
            <w:r>
              <w:rPr/>
              <w:t>拟投入本项目团队人员： 1）拟投入本项目的团队负责人，本小项最高得6分。 ①具有植保或农业专业正高级技术职称的，得4分； ②具有植保或农业专业副高级技术职称的，得2分； 2）拟投入本项目的监测技术人员，本小项最高得6分。 具有植保或农学专业大专及以上学历的，每提供一人得1分，最高得6分。 注：需提供相关技术人员的职称证书、毕业证书或证明文件复印件以及在投标单位2022年1月至今任意一个月的社保证明复印件或社保机构批复的投标单位可缓交以上月份社保的证明材料的扫描件或复印件，并加盖投标单位公章，否则不得分。</w:t>
            </w:r>
          </w:p>
        </w:tc>
      </w:tr>
      <w:tr>
        <w:tc>
          <w:tcPr>
            <w:tcW w:type="dxa" w:w="922"/>
            <w:gridSpan w:val="2"/>
            <w:vMerge/>
          </w:tcPr>
          <w:p/>
        </w:tc>
        <w:tc>
          <w:tcPr>
            <w:tcW w:type="dxa" w:w="2307"/>
          </w:tcPr>
          <w:p>
            <w:pPr>
              <w:jc w:val="left"/>
            </w:pPr>
            <w:r>
              <w:rPr/>
              <w:t>项目拟使用设备情况 (4.0分)</w:t>
            </w:r>
          </w:p>
        </w:tc>
        <w:tc>
          <w:tcPr>
            <w:tcW w:type="dxa" w:w="5076"/>
          </w:tcPr>
          <w:p>
            <w:pPr>
              <w:jc w:val="left"/>
            </w:pPr>
            <w:r>
              <w:rPr/>
              <w:t>1.每提供一辆监测车辆，得1分,最高得3分,不提供不得分。  2.配备光学显微镜或者体视显微镜,得1分,最高得1分,不提供不得分。  注:1)监测车辆须提供行驶证或租赁合同复印件，并加盖投标人公章； 2)显微镜须提供购买合同复印件(或购买发票扫描件或租赁合同)和设备照片,并加盖投标人公章。</w:t>
            </w:r>
          </w:p>
        </w:tc>
      </w:tr>
      <w:tr>
        <w:tc>
          <w:tcPr>
            <w:tcW w:type="dxa" w:w="922"/>
            <w:gridSpan w:val="2"/>
          </w:tcPr>
          <w:p>
            <w:pPr>
              <w:jc w:val="center"/>
            </w:pPr>
            <w:r>
              <w:rPr/>
              <w:t>投标报价</w:t>
            </w:r>
          </w:p>
        </w:tc>
        <w:tc>
          <w:tcPr>
            <w:tcW w:type="dxa" w:w="2307"/>
          </w:tcPr>
          <w:p>
            <w:pPr>
              <w:jc w:val="left"/>
            </w:pPr>
            <w:r>
              <w:rPr/>
              <w:t>投标报价得分 (12.0分)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48"/>
        </w:rPr>
        <w:t xml:space="preserve"> </w:t>
      </w:r>
    </w:p>
    <w:p>
      <w:pPr>
        <w:jc w:val="center"/>
      </w:pPr>
      <w:r>
        <w:rPr>
          <w:sz w:val="48"/>
        </w:rPr>
        <w:t xml:space="preserve"> </w:t>
      </w:r>
    </w:p>
    <w:p>
      <w:pPr>
        <w:jc w:val="center"/>
      </w:pPr>
      <w:r>
        <w:rPr>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br/>
      </w:r>
      <w:r>
        <w:rPr>
          <w:b/>
          <w:color w:val="222222"/>
          <w:sz w:val="24"/>
        </w:rPr>
        <w:t>（本合同范本仅供参考，中标人与采购人可根据双方的具体要求进行修订，双方所签订的合同不得对招标文件确定的事项和中标人投标文件作实质性修改。）</w:t>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7"/>
        </w:rPr>
        <w:t>甲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b/>
          <w:sz w:val="27"/>
        </w:rPr>
        <w:t>乙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 xml:space="preserve"> </w:t>
      </w:r>
    </w:p>
    <w:p>
      <w:pPr>
        <w:ind w:firstLine="404"/>
        <w:jc w:val="both"/>
      </w:pPr>
      <w:r>
        <w:rPr>
          <w:sz w:val="27"/>
        </w:rPr>
        <w:t>根据</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jc w:val="both"/>
      </w:pPr>
      <w:r>
        <w:rPr>
          <w:b/>
          <w:sz w:val="27"/>
        </w:rPr>
        <w:t>一、</w:t>
      </w:r>
      <w:r>
        <w:rPr>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sz w:val="24"/>
              </w:rPr>
              <w:t>名称</w:t>
            </w:r>
          </w:p>
        </w:tc>
        <w:tc>
          <w:tcPr>
            <w:tcW w:type="dxa" w:w="3516"/>
            <w:tcBorders>
              <w:top w:val="single" w:color="CCCCCC" w:sz="4"/>
              <w:bottom w:val="single" w:color="CCCCCC" w:sz="8"/>
              <w:right w:val="single" w:color="CCCCCC" w:sz="4"/>
            </w:tcBorders>
            <w:vAlign w:val="center"/>
          </w:tcPr>
          <w:p>
            <w:pPr>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vAlign w:val="center"/>
          </w:tcPr>
          <w:p>
            <w:pPr>
              <w:jc w:val="both"/>
            </w:pPr>
            <w:r>
              <w:rPr>
                <w:sz w:val="24"/>
              </w:rPr>
              <w:t>产地</w:t>
            </w:r>
          </w:p>
        </w:tc>
        <w:tc>
          <w:tcPr>
            <w:tcW w:type="dxa" w:w="470"/>
            <w:tcBorders>
              <w:top w:val="single" w:color="CCCCCC" w:sz="4"/>
              <w:bottom w:val="single" w:color="CCCCCC" w:sz="8"/>
              <w:right w:val="single" w:color="CCCCCC" w:sz="4"/>
            </w:tcBorders>
            <w:vAlign w:val="center"/>
          </w:tcPr>
          <w:p>
            <w:pPr>
              <w:jc w:val="center"/>
            </w:pPr>
            <w:r>
              <w:rPr>
                <w:sz w:val="24"/>
              </w:rPr>
              <w:t>数量</w:t>
            </w:r>
          </w:p>
        </w:tc>
        <w:tc>
          <w:tcPr>
            <w:tcW w:type="dxa" w:w="470"/>
            <w:tcBorders>
              <w:top w:val="single" w:color="CCCCCC" w:sz="4"/>
              <w:bottom w:val="single" w:color="CCCCCC" w:sz="8"/>
              <w:right w:val="single" w:color="CCCCCC" w:sz="4"/>
            </w:tcBorders>
            <w:vAlign w:val="center"/>
          </w:tcPr>
          <w:p>
            <w:pPr>
              <w:jc w:val="center"/>
            </w:pPr>
            <w:r>
              <w:rPr>
                <w:sz w:val="24"/>
              </w:rPr>
              <w:t>单位</w:t>
            </w:r>
          </w:p>
        </w:tc>
        <w:tc>
          <w:tcPr>
            <w:tcW w:type="dxa" w:w="705"/>
            <w:tcBorders>
              <w:top w:val="single" w:color="CCCCCC" w:sz="4"/>
              <w:bottom w:val="single" w:color="CCCCCC" w:sz="8"/>
              <w:right w:val="single" w:color="CCCCCC" w:sz="4"/>
            </w:tcBorders>
            <w:vAlign w:val="center"/>
          </w:tcPr>
          <w:p>
            <w:pPr>
              <w:jc w:val="center"/>
            </w:pPr>
            <w:r>
              <w:rPr>
                <w:sz w:val="24"/>
              </w:rPr>
              <w:t>单价</w:t>
            </w:r>
          </w:p>
          <w:p>
            <w:pPr>
              <w:jc w:val="center"/>
            </w:pPr>
            <w:r>
              <w:rPr>
                <w:sz w:val="24"/>
              </w:rPr>
              <w:t>（元）</w:t>
            </w:r>
          </w:p>
        </w:tc>
        <w:tc>
          <w:tcPr>
            <w:tcW w:type="dxa" w:w="705"/>
            <w:tcBorders>
              <w:top w:val="single" w:color="CCCCCC" w:sz="4"/>
              <w:bottom w:val="single" w:color="CCCCCC" w:sz="8"/>
              <w:right w:val="single" w:color="CCCCCC" w:sz="4"/>
            </w:tcBorders>
            <w:vAlign w:val="center"/>
          </w:tcPr>
          <w:p>
            <w:pPr>
              <w:jc w:val="center"/>
            </w:pPr>
            <w:r>
              <w:rPr>
                <w:sz w:val="24"/>
              </w:rPr>
              <w:t>金额</w:t>
            </w:r>
          </w:p>
          <w:p>
            <w:pPr>
              <w:jc w:val="center"/>
            </w:pPr>
            <w:r>
              <w:rPr>
                <w:sz w:val="24"/>
              </w:rPr>
              <w:t>（元）</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r>
              <w:rPr>
                <w:sz w:val="24"/>
              </w:rPr>
              <w:t>**</w:t>
            </w:r>
          </w:p>
        </w:tc>
        <w:tc>
          <w:tcPr>
            <w:tcW w:type="dxa" w:w="3516"/>
            <w:tcBorders>
              <w:bottom w:val="single" w:color="CCCCCC" w:sz="4"/>
              <w:right w:val="single" w:color="CCCCCC" w:sz="4"/>
            </w:tcBorders>
            <w:vAlign w:val="center"/>
          </w:tcPr>
          <w:p>
            <w:pPr>
              <w:jc w:val="center"/>
            </w:pPr>
            <w:r>
              <w:rPr>
                <w:sz w:val="24"/>
              </w:rPr>
              <w:t>**</w:t>
            </w:r>
            <w:r>
              <w:rPr>
                <w:sz w:val="24"/>
              </w:rPr>
              <w:t xml:space="preserve"> </w:t>
            </w:r>
          </w:p>
        </w:tc>
        <w:tc>
          <w:tcPr>
            <w:tcW w:type="dxa" w:w="696"/>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r>
              <w:rPr>
                <w:sz w:val="24"/>
              </w:rPr>
              <w:t>**</w:t>
            </w:r>
          </w:p>
        </w:tc>
        <w:tc>
          <w:tcPr>
            <w:tcW w:type="dxa" w:w="705"/>
            <w:tcBorders>
              <w:bottom w:val="single" w:color="CCCCCC" w:sz="4"/>
              <w:right w:val="single" w:color="CCCCCC" w:sz="4"/>
            </w:tcBorders>
            <w:vAlign w:val="center"/>
          </w:tcPr>
          <w:p>
            <w:pPr>
              <w:jc w:val="center"/>
            </w:pPr>
            <w:r>
              <w:rPr>
                <w:sz w:val="24"/>
              </w:rPr>
              <w:t>**</w:t>
            </w: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sz w:val="24"/>
              </w:rPr>
              <w:t>合计：人民币大写：**元整</w:t>
            </w:r>
          </w:p>
        </w:tc>
        <w:tc>
          <w:tcPr>
            <w:tcW w:type="dxa" w:w="705"/>
            <w:tcBorders>
              <w:bottom w:val="single" w:color="CCCCCC" w:sz="4"/>
              <w:right w:val="single" w:color="CCCCCC" w:sz="4"/>
            </w:tcBorders>
            <w:vAlign w:val="center"/>
          </w:tcPr>
          <w:p>
            <w:pPr>
              <w:jc w:val="center"/>
            </w:pPr>
            <w:r>
              <w:rPr>
                <w:sz w:val="24"/>
              </w:rPr>
              <w:t>￥：**</w:t>
            </w:r>
          </w:p>
        </w:tc>
      </w:tr>
      <w:tr>
        <w:tc>
          <w:tcPr>
            <w:tcW w:type="dxa" w:w="696"/>
            <w:tcBorders>
              <w:top w:val="none" w:color="000000" w:sz="4"/>
              <w:left w:val="none" w:color="000000" w:sz="4"/>
              <w:bottom w:val="none" w:color="000000" w:sz="4"/>
              <w:right w:val="none" w:color="000000" w:sz="4"/>
            </w:tcBorders>
          </w:tcPr>
          <w:p>
            <w:r>
              <w:rPr/>
              <w:t xml:space="preserve"> </w:t>
            </w:r>
          </w:p>
        </w:tc>
        <w:tc>
          <w:tcPr>
            <w:tcW w:type="dxa" w:w="3516"/>
            <w:tcBorders>
              <w:top w:val="none" w:color="000000" w:sz="4"/>
              <w:left w:val="none" w:color="000000" w:sz="4"/>
              <w:bottom w:val="none" w:color="000000" w:sz="4"/>
              <w:right w:val="none" w:color="000000" w:sz="4"/>
            </w:tcBorders>
          </w:tcPr>
          <w:p>
            <w:r>
              <w:rPr/>
              <w:t xml:space="preserve"> </w:t>
            </w:r>
          </w:p>
        </w:tc>
        <w:tc>
          <w:tcPr>
            <w:tcW w:type="dxa" w:w="696"/>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r>
    </w:tbl>
    <w:p>
      <w:pPr>
        <w:jc w:val="both"/>
      </w:pPr>
      <w:r>
        <w:rPr>
          <w:sz w:val="32"/>
        </w:rPr>
        <w:t xml:space="preserve"> </w:t>
      </w:r>
    </w:p>
    <w:p>
      <w:pPr>
        <w:ind w:firstLine="400"/>
        <w:jc w:val="both"/>
      </w:pPr>
      <w:r>
        <w:rPr>
          <w:sz w:val="27"/>
        </w:rPr>
        <w:t>合同总额包括乙方设计、安装、随机零配件、标配工具、运输保险、调试、培训、质保期服务、各项税费及合同实施过程中不可预见费用等。</w:t>
      </w:r>
    </w:p>
    <w:p>
      <w:pPr>
        <w:ind w:firstLine="400"/>
        <w:jc w:val="both"/>
      </w:pPr>
      <w:r>
        <w:rPr>
          <w:sz w:val="27"/>
        </w:rPr>
        <w:t>注：货物名称内容必须与投标文件中货物名称内容一致。</w:t>
      </w:r>
    </w:p>
    <w:p>
      <w:pPr>
        <w:jc w:val="both"/>
      </w:pPr>
      <w:r>
        <w:rPr>
          <w:b/>
          <w:sz w:val="27"/>
        </w:rPr>
        <w:t>二、</w:t>
      </w:r>
      <w:r>
        <w:rPr>
          <w:b/>
          <w:sz w:val="27"/>
        </w:rPr>
        <w:t>合同金额</w:t>
      </w:r>
    </w:p>
    <w:p>
      <w:pPr>
        <w:jc w:val="both"/>
      </w:pPr>
      <w:r>
        <w:rPr>
          <w:sz w:val="27"/>
        </w:rPr>
        <w:t>合同金额为（大写）：_________________元（￥_______________元）人民币。</w:t>
      </w:r>
    </w:p>
    <w:p>
      <w:pPr>
        <w:jc w:val="both"/>
      </w:pPr>
      <w:r>
        <w:rPr>
          <w:b/>
          <w:sz w:val="27"/>
        </w:rPr>
        <w:t>三、</w:t>
      </w:r>
      <w:r>
        <w:rPr>
          <w:b/>
          <w:sz w:val="27"/>
        </w:rPr>
        <w:t>设备要求</w:t>
      </w:r>
    </w:p>
    <w:p>
      <w:pPr>
        <w:jc w:val="both"/>
      </w:pPr>
      <w:r>
        <w:rPr>
          <w:sz w:val="27"/>
        </w:rPr>
        <w:t>货物为原制造商制造的全新产品，整机无污染，无侵权行为、表面无划损、无任何缺陷隐患，在中国境内可依常规安全合法使用。</w:t>
      </w:r>
    </w:p>
    <w:p>
      <w:pPr>
        <w:jc w:val="both"/>
      </w:pPr>
      <w:r>
        <w:rPr>
          <w:b/>
          <w:sz w:val="27"/>
        </w:rPr>
        <w:t>四、</w:t>
      </w:r>
      <w:r>
        <w:rPr>
          <w:b/>
          <w:sz w:val="27"/>
        </w:rPr>
        <w:t>交货期、交货方式及交货地点</w:t>
      </w:r>
    </w:p>
    <w:p>
      <w:pPr>
        <w:jc w:val="both"/>
      </w:pPr>
      <w:r>
        <w:rPr>
          <w:sz w:val="27"/>
        </w:rPr>
        <w:t xml:space="preserve">       </w:t>
      </w:r>
      <w:r>
        <w:rPr>
          <w:sz w:val="27"/>
        </w:rPr>
        <w:t>1.</w:t>
      </w:r>
      <w:r>
        <w:rPr>
          <w:sz w:val="27"/>
        </w:rPr>
        <w:t>交货期：</w:t>
      </w:r>
    </w:p>
    <w:p>
      <w:pPr>
        <w:jc w:val="both"/>
      </w:pPr>
      <w:r>
        <w:rPr>
          <w:sz w:val="27"/>
        </w:rPr>
        <w:t xml:space="preserve">       </w:t>
      </w:r>
      <w:r>
        <w:rPr>
          <w:sz w:val="27"/>
        </w:rPr>
        <w:t>2.</w:t>
      </w:r>
      <w:r>
        <w:rPr>
          <w:sz w:val="27"/>
        </w:rPr>
        <w:t>交货方式：</w:t>
      </w:r>
    </w:p>
    <w:p>
      <w:pPr>
        <w:jc w:val="both"/>
      </w:pPr>
      <w:r>
        <w:rPr>
          <w:sz w:val="27"/>
        </w:rPr>
        <w:t xml:space="preserve">       </w:t>
      </w:r>
      <w:r>
        <w:rPr>
          <w:sz w:val="27"/>
        </w:rPr>
        <w:t>3.</w:t>
      </w:r>
      <w:r>
        <w:rPr>
          <w:sz w:val="27"/>
        </w:rPr>
        <w:t>交货地点：</w:t>
      </w:r>
    </w:p>
    <w:p>
      <w:pPr>
        <w:jc w:val="both"/>
      </w:pPr>
      <w:r>
        <w:rPr>
          <w:b/>
          <w:sz w:val="27"/>
        </w:rPr>
        <w:t>五、</w:t>
      </w:r>
      <w:r>
        <w:rPr>
          <w:b/>
          <w:sz w:val="27"/>
        </w:rPr>
        <w:t>付款方式</w:t>
      </w:r>
    </w:p>
    <w:p>
      <w:pPr>
        <w:jc w:val="both"/>
      </w:pPr>
      <w:r>
        <w:rPr>
          <w:sz w:val="27"/>
        </w:rPr>
        <w:t>1.合同签订后，乙方接到甲方通知供完上半年药剂并且提供防效调查及评估报告后，甲方支付合同总价的50%给乙方。</w:t>
      </w:r>
    </w:p>
    <w:p>
      <w:pPr>
        <w:jc w:val="both"/>
      </w:pPr>
      <w:r>
        <w:rPr>
          <w:sz w:val="27"/>
        </w:rPr>
        <w:t>2.乙方接到甲方通知供完下半年药剂并且提供防效调查及评估报告后， 甲方支付合同总价的50%给乙方。</w:t>
      </w:r>
    </w:p>
    <w:p>
      <w:pPr>
        <w:jc w:val="both"/>
      </w:pPr>
    </w:p>
    <w:p>
      <w:pPr>
        <w:jc w:val="both"/>
      </w:pPr>
      <w:r>
        <w:rPr>
          <w:b/>
          <w:sz w:val="27"/>
        </w:rPr>
        <w:t>六、</w:t>
      </w:r>
      <w:r>
        <w:rPr>
          <w:b/>
          <w:sz w:val="27"/>
        </w:rPr>
        <w:t>质保期及售后服务要求</w:t>
      </w:r>
    </w:p>
    <w:p>
      <w:pPr>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jc w:val="both"/>
      </w:pPr>
      <w:r>
        <w:rPr>
          <w:sz w:val="27"/>
        </w:rPr>
        <w:t>2.</w:t>
      </w:r>
      <w:r>
        <w:rPr>
          <w:sz w:val="27"/>
        </w:rPr>
        <w:t>质保期内，如设备或零部件因质量原因出现故障而造成短期停用时，则质保期和免费维修期相应顺延。如停用时间累计超过60天则质保期重新计算。</w:t>
      </w:r>
    </w:p>
    <w:p>
      <w:pPr>
        <w:jc w:val="both"/>
      </w:pPr>
      <w:r>
        <w:rPr>
          <w:sz w:val="27"/>
        </w:rPr>
        <w:t>3.</w:t>
      </w:r>
      <w:r>
        <w:rPr>
          <w:sz w:val="27"/>
        </w:rPr>
        <w:t>对甲方的服务通知，乙方在接报后1小时内响应，4小时内到达现场，48小时内处理完毕。若在48小时内仍未能有效解决，乙方须免费提供同档次的设备予甲方临时使用。</w:t>
      </w:r>
    </w:p>
    <w:p>
      <w:pPr>
        <w:jc w:val="both"/>
      </w:pPr>
      <w:r>
        <w:rPr>
          <w:b/>
          <w:sz w:val="27"/>
        </w:rPr>
        <w:t>七、</w:t>
      </w:r>
      <w:r>
        <w:rPr>
          <w:b/>
          <w:sz w:val="27"/>
        </w:rPr>
        <w:t>安装与调试</w:t>
      </w:r>
    </w:p>
    <w:p>
      <w:pPr>
        <w:jc w:val="both"/>
      </w:pPr>
      <w:r>
        <w:rPr>
          <w:sz w:val="27"/>
        </w:rPr>
        <w:t>1.</w:t>
      </w:r>
      <w:r>
        <w:rPr>
          <w:sz w:val="27"/>
        </w:rPr>
        <w:t>乙方必须依照招标文件的要求和报价文件的承诺，将设备、系统安装并调试至正常运行的最佳状态。</w:t>
      </w:r>
    </w:p>
    <w:p>
      <w:pPr>
        <w:jc w:val="both"/>
      </w:pPr>
      <w:r>
        <w:rPr>
          <w:b/>
          <w:sz w:val="27"/>
        </w:rPr>
        <w:t>八、</w:t>
      </w:r>
      <w:r>
        <w:rPr>
          <w:b/>
          <w:sz w:val="27"/>
        </w:rPr>
        <w:t>验收：</w:t>
      </w:r>
    </w:p>
    <w:p>
      <w:pPr>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jc w:val="both"/>
      </w:pPr>
      <w:r>
        <w:rPr>
          <w:sz w:val="27"/>
        </w:rPr>
        <w:t>2.</w:t>
      </w:r>
      <w:r>
        <w:rPr>
          <w:sz w:val="27"/>
        </w:rPr>
        <w:t>进口产品必须具备原产地证明和商检局的检验证明及合法进货渠道证明。</w:t>
      </w:r>
    </w:p>
    <w:p>
      <w:pPr>
        <w:jc w:val="both"/>
      </w:pPr>
      <w:r>
        <w:rPr>
          <w:sz w:val="27"/>
        </w:rPr>
        <w:t>3.</w:t>
      </w:r>
      <w:r>
        <w:rPr>
          <w:sz w:val="27"/>
        </w:rPr>
        <w:t>货物为原厂商未启封全新包装，具出厂合格证，序列号、包装箱号与出厂批号一致，并可追索查阅。所有随设备的附件必须齐全。</w:t>
      </w:r>
    </w:p>
    <w:p>
      <w:pPr>
        <w:jc w:val="both"/>
      </w:pPr>
      <w:r>
        <w:rPr>
          <w:sz w:val="27"/>
        </w:rPr>
        <w:t>4.</w:t>
      </w:r>
      <w:r>
        <w:rPr>
          <w:sz w:val="27"/>
        </w:rPr>
        <w:t>乙方应将关键主机设备的用户手册、保修手册、有关单证资料及配备件、随机工具等交付给甲方，使用操作及安全须知等重要资料应附有中文说明。</w:t>
      </w:r>
    </w:p>
    <w:p>
      <w:pPr>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jc w:val="both"/>
      </w:pPr>
      <w:r>
        <w:rPr>
          <w:b/>
          <w:sz w:val="27"/>
        </w:rPr>
        <w:t>九、</w:t>
      </w:r>
      <w:r>
        <w:rPr>
          <w:b/>
          <w:sz w:val="27"/>
        </w:rPr>
        <w:t>违约责任与赔偿损失</w:t>
      </w:r>
    </w:p>
    <w:p>
      <w:pPr>
        <w:jc w:val="both"/>
      </w:pPr>
      <w:r>
        <w:rPr>
          <w:sz w:val="27"/>
        </w:rPr>
        <w:t>1.</w:t>
      </w:r>
      <w:r>
        <w:rPr>
          <w:sz w:val="27"/>
        </w:rPr>
        <w:t>乙方交付的货物、工程/提供的服务不符合本合同规定的，甲方有权拒收，并且乙方须向甲方支付本合同总价5%的违约金。</w:t>
      </w:r>
    </w:p>
    <w:p>
      <w:pPr>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jc w:val="both"/>
      </w:pPr>
      <w:r>
        <w:rPr>
          <w:sz w:val="27"/>
        </w:rPr>
        <w:t>4.   对于因甲方原因导致变更、中止或者终止政府采购合同的，甲方应当依照以下合同约定对供应商受到的损失予以赔偿或者补偿：</w:t>
      </w:r>
    </w:p>
    <w:p>
      <w:pPr>
        <w:jc w:val="both"/>
      </w:pPr>
      <w:r>
        <w:rPr>
          <w:sz w:val="27"/>
        </w:rPr>
        <w:t xml:space="preserve">       </w:t>
      </w:r>
      <w:r>
        <w:rPr>
          <w:sz w:val="27"/>
          <w:u w:val="single"/>
        </w:rPr>
        <w:t xml:space="preserve">                                                </w:t>
      </w:r>
    </w:p>
    <w:p>
      <w:pPr>
        <w:jc w:val="both"/>
      </w:pPr>
      <w:r>
        <w:rPr>
          <w:sz w:val="27"/>
        </w:rPr>
        <w:t>5.</w:t>
      </w:r>
      <w:r>
        <w:rPr>
          <w:sz w:val="27"/>
        </w:rPr>
        <w:t>其它违约责任按《中华人民</w:t>
      </w:r>
      <w:r>
        <w:rPr>
          <w:sz w:val="27"/>
        </w:rPr>
        <w:t>共和国民法典(合同编)》处理。</w:t>
      </w:r>
    </w:p>
    <w:p>
      <w:pPr>
        <w:jc w:val="both"/>
      </w:pPr>
      <w:r>
        <w:rPr>
          <w:b/>
          <w:sz w:val="27"/>
        </w:rPr>
        <w:t>十、</w:t>
      </w:r>
      <w:r>
        <w:rPr>
          <w:b/>
          <w:sz w:val="27"/>
        </w:rPr>
        <w:t>争议的解决</w:t>
      </w:r>
      <w:r>
        <w:rPr>
          <w:sz w:val="27"/>
        </w:rPr>
        <w:t xml:space="preserve">  合同执行过程中发生的任何争议，如双方不能通过友好协商解决，按相关法律法规处理。</w:t>
      </w:r>
    </w:p>
    <w:p>
      <w:pPr>
        <w:jc w:val="both"/>
      </w:pPr>
      <w:r>
        <w:rPr>
          <w:b/>
          <w:sz w:val="27"/>
        </w:rPr>
        <w:t>十一、不可抗力</w:t>
      </w:r>
    </w:p>
    <w:p>
      <w:pPr>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十二、</w:t>
      </w:r>
      <w:r>
        <w:rPr>
          <w:b/>
          <w:sz w:val="27"/>
        </w:rPr>
        <w:t>税费</w:t>
      </w:r>
    </w:p>
    <w:p>
      <w:pPr>
        <w:jc w:val="both"/>
      </w:pPr>
      <w:r>
        <w:rPr>
          <w:sz w:val="27"/>
        </w:rPr>
        <w:t>1.</w:t>
      </w:r>
      <w:r>
        <w:rPr>
          <w:sz w:val="27"/>
        </w:rPr>
        <w:t>在中国境内、外发生的与本合同执行有关的一切税费均由乙方负担。</w:t>
      </w:r>
    </w:p>
    <w:p>
      <w:pPr>
        <w:jc w:val="both"/>
      </w:pPr>
      <w:r>
        <w:rPr>
          <w:b/>
          <w:sz w:val="27"/>
        </w:rPr>
        <w:t>十三、</w:t>
      </w:r>
      <w:r>
        <w:rPr>
          <w:sz w:val="27"/>
        </w:rPr>
        <w:t xml:space="preserve"> </w:t>
      </w:r>
      <w:r>
        <w:rPr>
          <w:b/>
          <w:sz w:val="27"/>
        </w:rPr>
        <w:t>其它</w:t>
      </w:r>
    </w:p>
    <w:p>
      <w:pPr>
        <w:jc w:val="both"/>
      </w:pPr>
      <w:r>
        <w:rPr>
          <w:sz w:val="27"/>
        </w:rPr>
        <w:t>1.</w:t>
      </w:r>
      <w:r>
        <w:rPr>
          <w:sz w:val="27"/>
        </w:rPr>
        <w:t>本合同所有附件、招标文件、投标文件、中标通知书均为合同的有效组成部分，与本合同具有同等法律效力。</w:t>
      </w:r>
    </w:p>
    <w:p>
      <w:pPr>
        <w:jc w:val="both"/>
      </w:pPr>
      <w:r>
        <w:rPr>
          <w:sz w:val="27"/>
        </w:rPr>
        <w:t>2.</w:t>
      </w:r>
      <w:r>
        <w:rPr>
          <w:sz w:val="27"/>
        </w:rPr>
        <w:t>在执行本合同的过程中，所有经双方签署确认的文件（包括会议纪要、补充协议、往来信函）即成为本合同的有效组成部分。</w:t>
      </w:r>
    </w:p>
    <w:p>
      <w:pPr>
        <w:jc w:val="both"/>
      </w:pPr>
      <w:r>
        <w:rPr>
          <w:sz w:val="27"/>
        </w:rPr>
        <w:t>3.</w:t>
      </w:r>
      <w:r>
        <w:rPr>
          <w:sz w:val="27"/>
        </w:rPr>
        <w:t>如一方地址、电话、传真号码有变更，应在变更当日内书面通知对方，否则，应承担相应责任。</w:t>
      </w:r>
    </w:p>
    <w:p>
      <w:pPr>
        <w:jc w:val="both"/>
      </w:pPr>
      <w:r>
        <w:rPr>
          <w:sz w:val="27"/>
        </w:rPr>
        <w:t>4.</w:t>
      </w:r>
      <w:r>
        <w:rPr>
          <w:sz w:val="27"/>
        </w:rPr>
        <w:t>除甲方事先书面同意外，乙方不得部分或全部转让其应履行的合同项下的义务。</w:t>
      </w:r>
    </w:p>
    <w:p>
      <w:pPr>
        <w:jc w:val="both"/>
      </w:pPr>
      <w:r>
        <w:rPr>
          <w:b/>
          <w:sz w:val="27"/>
        </w:rPr>
        <w:t>十四、</w:t>
      </w:r>
      <w:r>
        <w:rPr>
          <w:sz w:val="27"/>
        </w:rPr>
        <w:t xml:space="preserve">     </w:t>
      </w:r>
      <w:r>
        <w:rPr>
          <w:b/>
          <w:sz w:val="27"/>
        </w:rPr>
        <w:t>合同生效</w:t>
      </w:r>
    </w:p>
    <w:p>
      <w:pPr>
        <w:jc w:val="both"/>
      </w:pPr>
      <w:r>
        <w:rPr>
          <w:sz w:val="27"/>
        </w:rPr>
        <w:t>1.</w:t>
      </w:r>
      <w:r>
        <w:rPr>
          <w:sz w:val="27"/>
        </w:rPr>
        <w:t>本合同在甲乙双方法人代表或其授权代表签字盖章后生效。</w:t>
      </w:r>
    </w:p>
    <w:p>
      <w:pPr>
        <w:jc w:val="both"/>
      </w:pPr>
      <w:r>
        <w:rPr>
          <w:sz w:val="27"/>
        </w:rPr>
        <w:t>2.</w:t>
      </w:r>
      <w:r>
        <w:rPr>
          <w:sz w:val="27"/>
        </w:rPr>
        <w:t>合同一式</w:t>
      </w:r>
      <w:r>
        <w:rPr>
          <w:sz w:val="27"/>
          <w:u w:val="single"/>
        </w:rPr>
        <w:t xml:space="preserve">   </w:t>
      </w:r>
      <w:r>
        <w:rPr>
          <w:sz w:val="27"/>
        </w:rPr>
        <w:t>份。</w:t>
      </w:r>
    </w:p>
    <w:p>
      <w:pPr>
        <w:jc w:val="both"/>
      </w:pPr>
      <w:r>
        <w:rPr>
          <w:sz w:val="27"/>
        </w:rPr>
        <w:t xml:space="preserve"> </w:t>
      </w:r>
    </w:p>
    <w:p>
      <w:pPr>
        <w:jc w:val="both"/>
      </w:pPr>
      <w:r>
        <w:rPr>
          <w:b/>
          <w:sz w:val="27"/>
        </w:rPr>
        <w:t>甲方（盖章）：</w:t>
      </w:r>
      <w:r>
        <w:rPr>
          <w:b/>
          <w:sz w:val="27"/>
        </w:rPr>
        <w:t>乙方（盖章）：</w:t>
      </w:r>
    </w:p>
    <w:p>
      <w:pPr>
        <w:jc w:val="both"/>
      </w:pPr>
      <w:r>
        <w:rPr>
          <w:b/>
          <w:sz w:val="27"/>
        </w:rPr>
        <w:t>代表：</w:t>
      </w:r>
      <w:r>
        <w:rPr>
          <w:b/>
          <w:sz w:val="27"/>
        </w:rPr>
        <w:t>代表：</w:t>
      </w:r>
    </w:p>
    <w:p>
      <w:pPr>
        <w:jc w:val="both"/>
      </w:pPr>
      <w:r>
        <w:rPr>
          <w:sz w:val="27"/>
        </w:rPr>
        <w:t>签订地点：</w:t>
      </w:r>
    </w:p>
    <w:p>
      <w:pPr>
        <w:jc w:val="both"/>
      </w:pPr>
      <w:r>
        <w:rPr>
          <w:sz w:val="27"/>
        </w:rPr>
        <w:t>签订日期：　　　年　　月　　日</w:t>
      </w:r>
      <w:r>
        <w:rPr>
          <w:sz w:val="27"/>
        </w:rPr>
        <w:t>签订日期：　　　年　　月　　日</w:t>
      </w:r>
    </w:p>
    <w:p>
      <w:pPr>
        <w:jc w:val="both"/>
      </w:pPr>
      <w:r>
        <w:rPr>
          <w:sz w:val="27"/>
        </w:rPr>
        <w:t>开户名称：</w:t>
      </w:r>
    </w:p>
    <w:p>
      <w:pPr>
        <w:jc w:val="both"/>
      </w:pPr>
      <w:r>
        <w:rPr>
          <w:sz w:val="27"/>
        </w:rPr>
        <w:t>银行帐号：</w:t>
      </w:r>
    </w:p>
    <w:p>
      <w:pPr>
        <w:jc w:val="both"/>
      </w:pPr>
      <w:r>
        <w:rPr>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442000-2023-01867</w:t>
      </w:r>
    </w:p>
    <w:p>
      <w:pPr>
        <w:jc w:val="center"/>
      </w:pPr>
      <w:r>
        <w:rPr>
          <w:b/>
          <w:sz w:val="24"/>
        </w:rPr>
        <w:t>采购项目编号：</w:t>
      </w:r>
      <w:r>
        <w:rPr>
          <w:b/>
          <w:sz w:val="24"/>
        </w:rPr>
        <w:t>442000-2023-01867</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中山市农业农村局2023年红火蚁防控物资采购和红火蚁监测普查服务项目(二次)</w:t>
      </w:r>
      <w:r>
        <w:rPr>
          <w:u w:val="single"/>
        </w:rPr>
        <w:t>”</w:t>
      </w:r>
      <w:r>
        <w:rPr/>
        <w:t>项目的招标[采购项目编号为：</w:t>
      </w:r>
      <w:r>
        <w:rPr>
          <w:u w:val="single"/>
        </w:rPr>
        <w:t>442000-2023-01867</w:t>
      </w:r>
      <w:r>
        <w:rPr/>
        <w:t>]，我方愿参与投标。</w:t>
      </w:r>
    </w:p>
    <w:p>
      <w:pPr>
        <w:ind w:firstLine="480"/>
      </w:pPr>
      <w:r>
        <w:rPr/>
        <w:t>我方确认收到贵方提供的</w:t>
      </w:r>
      <w:r>
        <w:rPr>
          <w:u w:val="single"/>
        </w:rPr>
        <w:t>“</w:t>
      </w:r>
      <w:r>
        <w:rPr>
          <w:u w:val="single"/>
        </w:rPr>
        <w:t>中山市农业农村局2023年红火蚁防控物资采购和红火蚁监测普查服务项目(二次)</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中山市农业农村局2023年红火蚁防控物资采购和红火蚁监测普查服务项目(二次)</w:t>
      </w:r>
      <w:r>
        <w:rPr/>
        <w:t>”项目采购[采购项目编号为</w:t>
      </w:r>
      <w:r>
        <w:rPr/>
        <w:t>442000-2023-01867</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中山市农业农村局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中山市农业农村局2023年红火蚁防控物资采购和红火蚁监测普查服务项目(二次)</w:t>
      </w:r>
      <w:r>
        <w:rPr/>
        <w:t>招标中获中标（采购项目编号：</w:t>
      </w:r>
      <w:r>
        <w:rPr/>
        <w:t>442000-2023-01867</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中山市农业农村局2023年红火蚁防控物资采购和红火蚁监测普查服务项目(二次)</w:t>
      </w:r>
      <w:r>
        <w:rPr/>
        <w:t>”项目（采购项目编号：</w:t>
      </w:r>
      <w:r>
        <w:rPr/>
        <w:t>442000-2023-01867</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