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442000-2023-00602</w:t>
      </w:r>
    </w:p>
    <w:p>
      <w:pPr>
        <w:jc w:val="center"/>
      </w:pPr>
      <w:r>
        <w:rPr>
          <w:b/>
          <w:sz w:val="24"/>
        </w:rPr>
        <w:t>采购项目编号：</w:t>
      </w:r>
      <w:r>
        <w:rPr>
          <w:b/>
          <w:sz w:val="24"/>
        </w:rPr>
        <w:t>442000-2023-00602</w:t>
      </w:r>
    </w:p>
    <w:p>
      <w:pPr>
        <w:jc w:val="center"/>
      </w:pPr>
      <w:r>
        <w:rPr>
          <w:b/>
          <w:sz w:val="24"/>
        </w:rPr>
        <w:t>项目名称：</w:t>
      </w:r>
      <w:r>
        <w:rPr>
          <w:b/>
          <w:sz w:val="24"/>
        </w:rPr>
        <w:t>中山市人民医院血液透析机和血液透析滤过机采购项目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中山市人民医院血液透析机和血液透析滤过机采购项目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中山市人民医院血液透析机和血液透析滤过机采购项目</w:t>
      </w:r>
    </w:p>
    <w:p>
      <w:pPr>
        <w:ind w:firstLine="480"/>
      </w:pPr>
      <w:r>
        <w:rPr/>
        <w:t>采购计划编号：</w:t>
      </w:r>
      <w:r>
        <w:rPr/>
        <w:t>442000-2023-00602</w:t>
      </w:r>
    </w:p>
    <w:p>
      <w:pPr>
        <w:ind w:firstLine="480"/>
      </w:pPr>
      <w:r>
        <w:rPr/>
        <w:t>采购项目编号：</w:t>
      </w:r>
      <w:r>
        <w:rPr/>
        <w:t>442000-2023-00602</w:t>
      </w:r>
    </w:p>
    <w:p>
      <w:pPr>
        <w:ind w:firstLine="480"/>
      </w:pPr>
      <w:r>
        <w:rPr/>
        <w:t>采购方式：</w:t>
      </w:r>
      <w:r>
        <w:rPr/>
        <w:t>公开招标</w:t>
      </w:r>
    </w:p>
    <w:p>
      <w:pPr>
        <w:ind w:firstLine="480"/>
      </w:pPr>
      <w:r>
        <w:rPr/>
        <w:t>预算金额：</w:t>
      </w:r>
      <w:r>
        <w:rPr/>
        <w:t>2,069,000.00</w:t>
      </w:r>
      <w:r>
        <w:rPr/>
        <w:t>元</w:t>
      </w:r>
    </w:p>
    <w:p>
      <w:r>
        <w:rPr>
          <w:b/>
          <w:sz w:val="24"/>
        </w:rPr>
        <w:t>2.项目内容及需求情况（采购项目技术规格、参数及要求）</w:t>
      </w:r>
    </w:p>
    <w:p>
      <w:pPr>
        <w:ind w:firstLine="480"/>
      </w:pPr>
    </w:p>
    <w:p/>
    <w:p>
      <w:r>
        <w:rPr/>
        <w:t>采购包1(血液透析机):</w:t>
      </w:r>
    </w:p>
    <w:p>
      <w:r>
        <w:rPr/>
        <w:t>采购包预算金额：1,295,000.00元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血液透析机</w:t>
            </w:r>
          </w:p>
        </w:tc>
        <w:tc>
          <w:tcPr>
            <w:tcW w:type="dxa" w:w="1187"/>
          </w:tcPr>
          <w:p>
            <w:r>
              <w:rPr/>
              <w:t>7.0000(套)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合同履行期限：签订合同后30天内完成安装调试。</w:t>
      </w:r>
    </w:p>
    <w:p/>
    <w:p>
      <w:r>
        <w:rPr/>
        <w:t>采购包2(血液透析滤过机):</w:t>
      </w:r>
    </w:p>
    <w:p>
      <w:r>
        <w:rPr/>
        <w:t>采购包预算金额：774,000.00元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其他医疗设备</w:t>
            </w:r>
          </w:p>
        </w:tc>
        <w:tc>
          <w:tcPr>
            <w:tcW w:type="dxa" w:w="2136"/>
          </w:tcPr>
          <w:p>
            <w:r>
              <w:rPr/>
              <w:t>血液透析滤过机</w:t>
            </w:r>
          </w:p>
        </w:tc>
        <w:tc>
          <w:tcPr>
            <w:tcW w:type="dxa" w:w="1187"/>
          </w:tcPr>
          <w:p>
            <w:r>
              <w:rPr/>
              <w:t>3.0000(套)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合同履行期限：签订合同后30天内完成安装调试。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采购包1（血液透析机）：</w:t>
      </w:r>
      <w:r>
        <w:rPr/>
        <w:t>本采购包不专门面向中小企业采购。</w:t>
      </w:r>
    </w:p>
    <w:p>
      <w:pPr>
        <w:jc w:val="left"/>
      </w:pPr>
    </w:p>
    <w:p>
      <w:r>
        <w:rPr/>
        <w:t>采购包2（血液透析滤过机）：</w:t>
      </w:r>
      <w:r>
        <w:rPr/>
        <w:t>本采购包不专门面向中小企业采购。</w:t>
      </w:r>
    </w:p>
    <w:p/>
    <w:p>
      <w:r>
        <w:rPr>
          <w:b/>
          <w:sz w:val="24"/>
        </w:rPr>
        <w:t>3.本项目特定的资格要求：</w:t>
      </w:r>
    </w:p>
    <w:p>
      <w:pPr>
        <w:ind w:firstLine="480"/>
      </w:pPr>
    </w:p>
    <w:p/>
    <w:p>
      <w:r>
        <w:rPr/>
        <w:t>采购包1（血液透析机）：</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t>采购包2（血液透析滤过机）：</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1.项目名称：中山市人民医院血液透析机和血液透析滤过机采购项目</w:t>
      </w:r>
    </w:p>
    <w:p>
      <w:pPr>
        <w:jc w:val="both"/>
      </w:pPr>
      <w:r>
        <w:rPr>
          <w:sz w:val="21"/>
        </w:rPr>
        <w:t>2.采购计划编号：442000-2023-00602</w:t>
      </w:r>
    </w:p>
    <w:p>
      <w:pPr>
        <w:jc w:val="both"/>
      </w:pPr>
      <w:r>
        <w:rPr>
          <w:sz w:val="21"/>
        </w:rPr>
        <w:t>3.采购项目编号：</w:t>
      </w:r>
      <w:r>
        <w:rPr>
          <w:sz w:val="21"/>
        </w:rPr>
        <w:t>442000-2023-00602</w:t>
      </w:r>
    </w:p>
    <w:p>
      <w:pPr>
        <w:jc w:val="both"/>
      </w:pPr>
      <w:r>
        <w:rPr>
          <w:sz w:val="21"/>
        </w:rPr>
        <w:t>4.采购方式： 公开招标</w:t>
      </w:r>
    </w:p>
    <w:p>
      <w:pPr>
        <w:jc w:val="both"/>
      </w:pPr>
      <w:r>
        <w:rPr>
          <w:sz w:val="21"/>
        </w:rPr>
        <w:t>5.项目内容及包组情况：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1081"/>
        <w:gridCol w:w="1712"/>
        <w:gridCol w:w="826"/>
        <w:gridCol w:w="1457"/>
        <w:gridCol w:w="1472"/>
        <w:gridCol w:w="1757"/>
      </w:tblGrid>
      <w:tr>
        <w:tc>
          <w:tcPr>
            <w:tcW w:type="dxa" w:w="1081"/>
            <w:tcBorders>
              <w:top w:val="single" w:color="000000" w:sz="4"/>
              <w:left w:val="single" w:color="000000" w:sz="4"/>
              <w:bottom w:val="single" w:color="000000" w:sz="4"/>
              <w:right w:val="single" w:color="000000" w:sz="4"/>
            </w:tcBorders>
            <w:vAlign w:val="top"/>
          </w:tcPr>
          <w:p>
            <w:pPr>
              <w:jc w:val="center"/>
            </w:pPr>
            <w:r>
              <w:rPr>
                <w:sz w:val="21"/>
              </w:rPr>
              <w:t>分包</w:t>
            </w:r>
          </w:p>
        </w:tc>
        <w:tc>
          <w:tcPr>
            <w:tcW w:type="dxa" w:w="1712"/>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826"/>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457"/>
            <w:tcBorders>
              <w:top w:val="single" w:color="000000" w:sz="4"/>
              <w:left w:val="none" w:color="000000" w:sz="4"/>
              <w:bottom w:val="single" w:color="000000" w:sz="4"/>
              <w:right w:val="single" w:color="000000" w:sz="4"/>
            </w:tcBorders>
            <w:vAlign w:val="top"/>
          </w:tcPr>
          <w:p>
            <w:pPr>
              <w:jc w:val="center"/>
            </w:pPr>
            <w:r>
              <w:rPr>
                <w:sz w:val="21"/>
              </w:rPr>
              <w:t>预算金额（元）</w:t>
            </w:r>
          </w:p>
        </w:tc>
        <w:tc>
          <w:tcPr>
            <w:tcW w:type="dxa" w:w="1472"/>
            <w:tcBorders>
              <w:top w:val="single" w:color="000000" w:sz="4"/>
              <w:left w:val="none" w:color="000000" w:sz="4"/>
              <w:bottom w:val="single" w:color="000000" w:sz="4"/>
              <w:right w:val="single" w:color="000000" w:sz="4"/>
            </w:tcBorders>
            <w:vAlign w:val="top"/>
          </w:tcPr>
          <w:p>
            <w:pPr>
              <w:jc w:val="center"/>
            </w:pPr>
            <w:r>
              <w:rPr>
                <w:sz w:val="21"/>
              </w:rPr>
              <w:t>投标上限价（元）</w:t>
            </w:r>
          </w:p>
        </w:tc>
        <w:tc>
          <w:tcPr>
            <w:tcW w:type="dxa" w:w="1757"/>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1081"/>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1712"/>
            <w:tcBorders>
              <w:top w:val="none" w:color="000000" w:sz="4"/>
              <w:left w:val="none" w:color="000000" w:sz="4"/>
              <w:bottom w:val="single" w:color="000000" w:sz="4"/>
              <w:right w:val="single" w:color="000000" w:sz="4"/>
            </w:tcBorders>
            <w:vAlign w:val="top"/>
          </w:tcPr>
          <w:p>
            <w:pPr>
              <w:jc w:val="both"/>
            </w:pPr>
            <w:r>
              <w:rPr>
                <w:sz w:val="21"/>
              </w:rPr>
              <w:t>血液透析机</w:t>
            </w:r>
          </w:p>
        </w:tc>
        <w:tc>
          <w:tcPr>
            <w:tcW w:type="dxa" w:w="826"/>
            <w:tcBorders>
              <w:top w:val="none" w:color="000000" w:sz="4"/>
              <w:left w:val="none" w:color="000000" w:sz="4"/>
              <w:bottom w:val="single" w:color="000000" w:sz="4"/>
              <w:right w:val="single" w:color="000000" w:sz="4"/>
            </w:tcBorders>
            <w:vAlign w:val="top"/>
          </w:tcPr>
          <w:p>
            <w:pPr>
              <w:jc w:val="both"/>
            </w:pPr>
            <w:r>
              <w:rPr>
                <w:color w:val="000000"/>
                <w:sz w:val="21"/>
              </w:rPr>
              <w:t>7套</w:t>
            </w:r>
          </w:p>
        </w:tc>
        <w:tc>
          <w:tcPr>
            <w:tcW w:type="dxa" w:w="1457"/>
            <w:tcBorders>
              <w:top w:val="none" w:color="000000" w:sz="4"/>
              <w:left w:val="none" w:color="000000" w:sz="4"/>
              <w:bottom w:val="single" w:color="000000" w:sz="4"/>
              <w:right w:val="single" w:color="000000" w:sz="4"/>
            </w:tcBorders>
            <w:vAlign w:val="top"/>
          </w:tcPr>
          <w:p>
            <w:pPr>
              <w:jc w:val="right"/>
            </w:pPr>
            <w:r>
              <w:rPr>
                <w:sz w:val="21"/>
              </w:rPr>
              <w:t>1295000.00</w:t>
            </w:r>
          </w:p>
        </w:tc>
        <w:tc>
          <w:tcPr>
            <w:tcW w:type="dxa" w:w="1472"/>
            <w:tcBorders>
              <w:top w:val="none" w:color="000000" w:sz="4"/>
              <w:left w:val="none" w:color="000000" w:sz="4"/>
              <w:bottom w:val="single" w:color="000000" w:sz="4"/>
              <w:right w:val="single" w:color="000000" w:sz="4"/>
            </w:tcBorders>
            <w:vAlign w:val="top"/>
          </w:tcPr>
          <w:p>
            <w:pPr>
              <w:jc w:val="right"/>
            </w:pPr>
            <w:r>
              <w:rPr>
                <w:sz w:val="21"/>
              </w:rPr>
              <w:t>1295000.00</w:t>
            </w:r>
          </w:p>
        </w:tc>
        <w:tc>
          <w:tcPr>
            <w:tcW w:type="dxa" w:w="1757"/>
            <w:tcBorders>
              <w:top w:val="none" w:color="000000" w:sz="4"/>
              <w:left w:val="none" w:color="000000" w:sz="4"/>
              <w:bottom w:val="single" w:color="000000" w:sz="4"/>
              <w:right w:val="single" w:color="000000" w:sz="4"/>
            </w:tcBorders>
            <w:vAlign w:val="top"/>
          </w:tcPr>
          <w:p>
            <w:pPr>
              <w:jc w:val="both"/>
            </w:pPr>
            <w:r>
              <w:rPr>
                <w:sz w:val="21"/>
              </w:rPr>
              <w:t>签订合同后</w:t>
            </w:r>
            <w:r>
              <w:rPr>
                <w:sz w:val="21"/>
              </w:rPr>
              <w:t>30</w:t>
            </w:r>
            <w:r>
              <w:rPr>
                <w:sz w:val="21"/>
              </w:rPr>
              <w:t>天内完成安装调试。</w:t>
            </w:r>
          </w:p>
        </w:tc>
      </w:tr>
      <w:tr>
        <w:tc>
          <w:tcPr>
            <w:tcW w:type="dxa" w:w="1081"/>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1712"/>
            <w:tcBorders>
              <w:top w:val="none" w:color="000000" w:sz="4"/>
              <w:left w:val="none" w:color="000000" w:sz="4"/>
              <w:bottom w:val="single" w:color="000000" w:sz="4"/>
              <w:right w:val="single" w:color="000000" w:sz="4"/>
            </w:tcBorders>
            <w:vAlign w:val="top"/>
          </w:tcPr>
          <w:p>
            <w:pPr>
              <w:jc w:val="both"/>
            </w:pPr>
            <w:r>
              <w:rPr>
                <w:sz w:val="21"/>
              </w:rPr>
              <w:t>血液透析滤过机</w:t>
            </w:r>
          </w:p>
        </w:tc>
        <w:tc>
          <w:tcPr>
            <w:tcW w:type="dxa" w:w="826"/>
            <w:tcBorders>
              <w:top w:val="none" w:color="000000" w:sz="4"/>
              <w:left w:val="none" w:color="000000" w:sz="4"/>
              <w:bottom w:val="single" w:color="000000" w:sz="4"/>
              <w:right w:val="single" w:color="000000" w:sz="4"/>
            </w:tcBorders>
            <w:vAlign w:val="top"/>
          </w:tcPr>
          <w:p>
            <w:pPr>
              <w:jc w:val="both"/>
            </w:pPr>
            <w:r>
              <w:rPr>
                <w:color w:val="000000"/>
                <w:sz w:val="21"/>
              </w:rPr>
              <w:t>3套</w:t>
            </w:r>
          </w:p>
        </w:tc>
        <w:tc>
          <w:tcPr>
            <w:tcW w:type="dxa" w:w="1457"/>
            <w:tcBorders>
              <w:top w:val="none" w:color="000000" w:sz="4"/>
              <w:left w:val="none" w:color="000000" w:sz="4"/>
              <w:bottom w:val="single" w:color="000000" w:sz="4"/>
              <w:right w:val="single" w:color="000000" w:sz="4"/>
            </w:tcBorders>
            <w:vAlign w:val="top"/>
          </w:tcPr>
          <w:p>
            <w:pPr>
              <w:jc w:val="right"/>
            </w:pPr>
            <w:r>
              <w:rPr>
                <w:sz w:val="21"/>
              </w:rPr>
              <w:t>774000.00</w:t>
            </w:r>
          </w:p>
        </w:tc>
        <w:tc>
          <w:tcPr>
            <w:tcW w:type="dxa" w:w="1472"/>
            <w:tcBorders>
              <w:top w:val="none" w:color="000000" w:sz="4"/>
              <w:left w:val="none" w:color="000000" w:sz="4"/>
              <w:bottom w:val="single" w:color="000000" w:sz="4"/>
              <w:right w:val="single" w:color="000000" w:sz="4"/>
            </w:tcBorders>
            <w:vAlign w:val="top"/>
          </w:tcPr>
          <w:p>
            <w:pPr>
              <w:jc w:val="right"/>
            </w:pPr>
            <w:r>
              <w:rPr>
                <w:sz w:val="21"/>
              </w:rPr>
              <w:t>774000.00</w:t>
            </w:r>
          </w:p>
        </w:tc>
        <w:tc>
          <w:tcPr>
            <w:tcW w:type="dxa" w:w="1757"/>
            <w:tcBorders>
              <w:top w:val="none" w:color="000000" w:sz="4"/>
              <w:left w:val="none" w:color="000000" w:sz="4"/>
              <w:bottom w:val="single" w:color="000000" w:sz="4"/>
              <w:right w:val="single" w:color="000000" w:sz="4"/>
            </w:tcBorders>
            <w:vAlign w:val="top"/>
          </w:tcPr>
          <w:p>
            <w:pPr>
              <w:jc w:val="both"/>
            </w:pPr>
            <w:r>
              <w:rPr>
                <w:sz w:val="21"/>
              </w:rPr>
              <w:t>签订合同后</w:t>
            </w:r>
            <w:r>
              <w:rPr>
                <w:sz w:val="21"/>
              </w:rPr>
              <w:t>30</w:t>
            </w:r>
            <w:r>
              <w:rPr>
                <w:sz w:val="21"/>
              </w:rPr>
              <w:t>天内完成安装调试。</w:t>
            </w:r>
          </w:p>
        </w:tc>
      </w:tr>
    </w:tbl>
    <w:p>
      <w:pPr>
        <w:jc w:val="both"/>
      </w:pPr>
      <w:r>
        <w:rPr>
          <w:sz w:val="21"/>
        </w:rPr>
        <w:t>6.本项目不同包组可</w:t>
      </w:r>
      <w:r>
        <w:rPr>
          <w:sz w:val="21"/>
        </w:rPr>
        <w:t>兼投兼中。</w:t>
      </w:r>
    </w:p>
    <w:p>
      <w:pPr>
        <w:jc w:val="both"/>
      </w:pPr>
      <w:r>
        <w:rPr>
          <w:sz w:val="21"/>
        </w:rPr>
        <w:t>7.本项目不属于专门面向中小微企业项目。</w:t>
      </w:r>
    </w:p>
    <w:p>
      <w:pPr>
        <w:jc w:val="both"/>
      </w:pPr>
      <w:r>
        <w:rPr>
          <w:sz w:val="21"/>
        </w:rPr>
        <w:t>8.采购标的对应的中小企业划分标准所属行业为：工业</w:t>
      </w:r>
    </w:p>
    <w:p>
      <w:pPr>
        <w:jc w:val="both"/>
      </w:pPr>
      <w:r>
        <w:rPr>
          <w:sz w:val="21"/>
        </w:rPr>
        <w:t>9.本项目各采购包均不接受联合体投标。</w:t>
      </w:r>
    </w:p>
    <w:p>
      <w:pPr>
        <w:jc w:val="both"/>
      </w:pPr>
      <w:r>
        <w:rPr>
          <w:b/>
          <w:sz w:val="21"/>
        </w:rPr>
        <w:t>10.</w:t>
      </w:r>
      <w:r>
        <w:rPr>
          <w:b/>
          <w:sz w:val="21"/>
        </w:rPr>
        <w:t>根据《</w:t>
      </w:r>
      <w:r>
        <w:rPr>
          <w:b/>
          <w:sz w:val="21"/>
        </w:rPr>
        <w:t>2022年省级卫生健康机构进口产品目录清单》,本项目拟采购设备“血液透析机”和“血液透析滤过机”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b/>
          <w:sz w:val="21"/>
        </w:rPr>
        <w:t>11.招标文件中凡有“★”标识的内容条款为关键条款，投标供应商必须对此作出回答并完全满足这些要求不可以出现任何负偏离，对这些关键条款的任何负偏离将视为无效投标。</w:t>
      </w:r>
    </w:p>
    <w:p>
      <w:pPr>
        <w:jc w:val="left"/>
      </w:pPr>
      <w:r>
        <w:rPr>
          <w:b/>
          <w:sz w:val="21"/>
        </w:rPr>
        <w:t>12.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13.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采购包1（血液透析机）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签订合同后30天内完成安装调试。</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1期：支付比例100%,采购人验收合格收到发票后60天内支付合同货款总额的100%。</w:t>
            </w:r>
          </w:p>
        </w:tc>
      </w:tr>
      <w:tr>
        <w:tc>
          <w:tcPr>
            <w:tcW w:type="dxa" w:w="4153"/>
          </w:tcPr>
          <w:p>
            <w:r>
              <w:rPr/>
              <w:t>验收要求</w:t>
            </w:r>
          </w:p>
        </w:tc>
        <w:tc>
          <w:tcPr>
            <w:tcW w:type="dxa" w:w="4153"/>
          </w:tcPr>
          <w:p/>
          <w:p/>
          <w:p/>
          <w:p>
            <w:r>
              <w:rPr/>
              <w:t>1期：合同设备安装调试完成并移交所有资料文档后60个工作日内验收，验收应在双方共同参加下进行，验收标准按照国家有关标准。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投标报价应包括硬件、软件对接服务费、技术培训费、安装调试费等杂费，含全额发票及合同实施过程中的应预见或不可预见费用等完成合同规定责任和义务、达到合同目的的一切费用及企业利润； 1.2.涉及专机专用耗材、试剂、易损件等需填列报价，且承诺至少在履约服务期内按此价格执行。</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★2.1.设备安装调试验收合格之日起，保修期不少于3年； 2.2.保修期内免费维修。设备发生故障时，中标人在接到采购人的故障通知后2小时内响应，4小时内到达现场，8小时内处理完毕。若在12小时内仍未能有效解决，中标人须免费提供相同规格、标准的备用设备予采购人临时使用； 2.3.保修期内厂家每年免费回访设备至少3次。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★3.2.中标人须在广东省设有售后服务点并提供维修的详细地址及工程师联系方式，负责设备的安装调试，（或提供承诺函承诺中标后满足，格式自拟）； 3.3.有操作、维护、维修培训计划，必须由原厂工程师及技术人员直接提供保修、维修、免费技术培训服务； 3.4.中标人需要帮助采购人培训两名以上工程师，并取相应的培训证书，所涉及到的培训费和差旅费由中标人承担。 ★3.5.免费提供系统软件升级。 ★3.6.保证8年内仪器配件供应。</w:t>
            </w:r>
          </w:p>
        </w:tc>
      </w:tr>
      <w:tr>
        <w:tc>
          <w:tcPr>
            <w:tcW w:type="dxa" w:w="2076"/>
          </w:tcPr>
          <w:p>
            <w:pPr>
              <w:jc w:val="center"/>
            </w:pPr>
            <w:r>
              <w:rPr/>
              <w:t>★</w:t>
            </w: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其他医疗设备</w:t>
            </w:r>
          </w:p>
        </w:tc>
        <w:tc>
          <w:tcPr>
            <w:tcW w:type="dxa" w:w="831"/>
          </w:tcPr>
          <w:p>
            <w:pPr>
              <w:jc w:val="left"/>
            </w:pPr>
            <w:r>
              <w:rPr/>
              <w:t>血液透析机</w:t>
            </w:r>
          </w:p>
        </w:tc>
        <w:tc>
          <w:tcPr>
            <w:tcW w:type="dxa" w:w="831"/>
          </w:tcPr>
          <w:p>
            <w:pPr>
              <w:jc w:val="left"/>
            </w:pPr>
            <w:r>
              <w:rPr/>
              <w:t>套</w:t>
            </w:r>
          </w:p>
        </w:tc>
        <w:tc>
          <w:tcPr>
            <w:tcW w:type="dxa" w:w="831"/>
          </w:tcPr>
          <w:p>
            <w:pPr>
              <w:jc w:val="right"/>
            </w:pPr>
            <w:r>
              <w:rPr/>
              <w:t>7.00</w:t>
            </w:r>
          </w:p>
        </w:tc>
        <w:tc>
          <w:tcPr>
            <w:tcW w:type="dxa" w:w="831"/>
          </w:tcPr>
          <w:p>
            <w:pPr>
              <w:jc w:val="right"/>
            </w:pPr>
            <w:r>
              <w:rPr/>
              <w:t>185,000.00</w:t>
            </w:r>
          </w:p>
        </w:tc>
        <w:tc>
          <w:tcPr>
            <w:tcW w:type="dxa" w:w="831"/>
          </w:tcPr>
          <w:p>
            <w:pPr>
              <w:jc w:val="right"/>
            </w:pPr>
            <w:r>
              <w:rPr/>
              <w:t>1,295,000.00</w:t>
            </w:r>
          </w:p>
        </w:tc>
        <w:tc>
          <w:tcPr>
            <w:tcW w:type="dxa" w:w="831"/>
          </w:tcPr>
          <w:p>
            <w:r>
              <w:rPr/>
              <w:t>工业</w:t>
            </w:r>
          </w:p>
        </w:tc>
        <w:tc>
          <w:tcPr>
            <w:tcW w:type="dxa" w:w="831"/>
          </w:tcPr>
          <w:p>
            <w:r>
              <w:rPr/>
              <w:t>详见附表一</w:t>
            </w:r>
          </w:p>
        </w:tc>
      </w:tr>
    </w:tbl>
    <w:p/>
    <w:p>
      <w:r>
        <w:rPr>
          <w:b/>
        </w:rPr>
        <w:t>附表</w:t>
      </w:r>
      <w:r>
        <w:rPr>
          <w:b/>
        </w:rPr>
        <w:t>一</w:t>
      </w:r>
      <w:r>
        <w:rPr>
          <w:b/>
        </w:rPr>
        <w:t>：</w:t>
      </w:r>
      <w:r>
        <w:rPr>
          <w:b/>
        </w:rPr>
        <w:t>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1.具有碳酸盐/醋酸盐/单超透析多种透析模式，适用各种配方透析液。</w:t>
            </w:r>
          </w:p>
          <w:p>
            <w:pPr>
              <w:jc w:val="both"/>
            </w:pPr>
            <w:r>
              <w:rPr>
                <w:sz w:val="21"/>
              </w:rPr>
              <w:t>2.≥10英寸彩色液晶显示屏幕，具有中文界面，可实时显示治疗过程参数和曲线图形。</w:t>
            </w:r>
          </w:p>
          <w:p>
            <w:pPr>
              <w:jc w:val="both"/>
            </w:pPr>
            <w:r>
              <w:rPr>
                <w:sz w:val="21"/>
              </w:rPr>
              <w:t>3.可进行可调钠曲线治疗和可调超滤曲线模式治疗，具有多种可选择的线性/梯级自动调整程序，实现个体化透析并保证病人安全；且可单独使用或与超滤程序组合使用。</w:t>
            </w:r>
          </w:p>
          <w:p>
            <w:pPr>
              <w:jc w:val="both"/>
            </w:pPr>
            <w:r>
              <w:rPr>
                <w:sz w:val="21"/>
              </w:rPr>
              <w:t>4.具备双容量平衡腔四腔室超滤控制系统，透析液连续提供，能达到零超滤。</w:t>
            </w:r>
          </w:p>
          <w:p>
            <w:pPr>
              <w:jc w:val="both"/>
            </w:pPr>
            <w:r>
              <w:rPr>
                <w:sz w:val="21"/>
              </w:rPr>
              <w:t>5.电导度控制及保护：具备电导度监测、显示及超限报警功能。</w:t>
            </w:r>
          </w:p>
          <w:p>
            <w:pPr>
              <w:jc w:val="both"/>
            </w:pPr>
            <w:r>
              <w:rPr>
                <w:sz w:val="21"/>
              </w:rPr>
              <w:t>6.透析液配制为容积式连续配制方式，能使用多种不同透析液配方。</w:t>
            </w:r>
          </w:p>
          <w:p>
            <w:pPr>
              <w:jc w:val="both"/>
            </w:pPr>
            <w:r>
              <w:rPr>
                <w:sz w:val="21"/>
              </w:rPr>
              <w:t>7.具备碳酸氢盐干粉自动配制系统。</w:t>
            </w:r>
          </w:p>
          <w:p>
            <w:pPr>
              <w:jc w:val="both"/>
            </w:pPr>
            <w:r>
              <w:rPr>
                <w:sz w:val="21"/>
              </w:rPr>
              <w:t>8.清洗消毒程序：可进行化学/热/脱钙多种消毒清洗程序；化学热消毒（80℃ 以上）除钙、除脂和消毒程序一体进行；在进入实质消毒阶段后机器自动进行强制冲洗，以确保无药液残留，透析液吸管可联机清洗消毒；热化学消毒时间≤35分钟。</w:t>
            </w:r>
          </w:p>
          <w:p>
            <w:pPr>
              <w:jc w:val="both"/>
            </w:pPr>
            <w:r>
              <w:rPr>
                <w:sz w:val="21"/>
              </w:rPr>
              <w:t>9.可使用通用型血路管和透析器等耗材。</w:t>
            </w:r>
          </w:p>
          <w:p>
            <w:pPr>
              <w:jc w:val="both"/>
            </w:pPr>
            <w:r>
              <w:rPr>
                <w:sz w:val="21"/>
              </w:rPr>
              <w:t>10.具有内置维修和故障诊断程序。</w:t>
            </w:r>
          </w:p>
          <w:p>
            <w:pPr>
              <w:jc w:val="both"/>
            </w:pPr>
            <w:r>
              <w:rPr>
                <w:sz w:val="21"/>
              </w:rPr>
              <w:t>11.具有数字化计算机信息网络接口，RS232C或RS422接口。</w:t>
            </w:r>
          </w:p>
          <w:p>
            <w:pPr>
              <w:jc w:val="both"/>
            </w:pPr>
            <w:r>
              <w:rPr>
                <w:sz w:val="21"/>
              </w:rPr>
              <w:t>12.具有透析液内毒素过滤器接口，对透析液进行超纯滤过。</w:t>
            </w:r>
          </w:p>
          <w:p>
            <w:pPr>
              <w:jc w:val="both"/>
            </w:pPr>
            <w:r>
              <w:rPr>
                <w:sz w:val="21"/>
              </w:rPr>
              <w:t>13.标配实时透析尿素氮清除率监测装置，该装置可实时测量并图形显示清除率K值、Kt/V值和血浆钠值。</w:t>
            </w:r>
          </w:p>
          <w:p>
            <w:pPr>
              <w:jc w:val="both"/>
            </w:pPr>
            <w:r>
              <w:rPr>
                <w:sz w:val="21"/>
              </w:rPr>
              <w:t>14.标配在线血压监测组件。</w:t>
            </w:r>
          </w:p>
          <w:p>
            <w:pPr>
              <w:jc w:val="both"/>
            </w:pPr>
            <w:r>
              <w:rPr>
                <w:sz w:val="21"/>
              </w:rPr>
              <w:t>15.配置有全自动中央供A液接口装置，治疗模式与消毒模式切换时，自动识别，无需拔插吸液管，接口不会被污染。</w:t>
            </w:r>
          </w:p>
          <w:p>
            <w:pPr>
              <w:jc w:val="both"/>
            </w:pPr>
            <w:r>
              <w:rPr>
                <w:sz w:val="21"/>
              </w:rPr>
              <w:t>16.血泵流速：15～600ml/min，精度±10%。血泵管路可调，根据需要采用不同直径透析管路。</w:t>
            </w:r>
          </w:p>
          <w:p>
            <w:pPr>
              <w:jc w:val="both"/>
            </w:pPr>
            <w:r>
              <w:rPr>
                <w:sz w:val="21"/>
              </w:rPr>
              <w:t>17.肝素泵流量：0ml/min-10ml/h ，单次追加最大剂量：5ml/次。肝素泵可设定停泵时间，显示累积量。</w:t>
            </w:r>
          </w:p>
          <w:p>
            <w:pPr>
              <w:jc w:val="both"/>
            </w:pPr>
            <w:r>
              <w:rPr>
                <w:sz w:val="21"/>
              </w:rPr>
              <w:t>18.静脉压力监测范围：-60mmHg～+520mmHg，精确度±10mmHg。</w:t>
            </w:r>
          </w:p>
          <w:p>
            <w:pPr>
              <w:jc w:val="both"/>
            </w:pPr>
            <w:r>
              <w:rPr>
                <w:sz w:val="21"/>
              </w:rPr>
              <w:t>19.动脉压力监测范围：-300mmHg～+280mmHg，精确度±10mmHg 。</w:t>
            </w:r>
          </w:p>
          <w:p>
            <w:pPr>
              <w:jc w:val="both"/>
            </w:pPr>
            <w:r>
              <w:rPr>
                <w:sz w:val="21"/>
              </w:rPr>
              <w:t>20.超滤率：0～4000ml/h，可调，精确度：±1%。</w:t>
            </w:r>
          </w:p>
          <w:p>
            <w:pPr>
              <w:jc w:val="both"/>
            </w:pPr>
            <w:r>
              <w:rPr>
                <w:sz w:val="21"/>
              </w:rPr>
              <w:t>21.跨膜压监测范围：-60mmHg～+520mmHg，具备跨膜压自动跟踪报警功能。</w:t>
            </w:r>
          </w:p>
          <w:p>
            <w:pPr>
              <w:jc w:val="both"/>
            </w:pPr>
            <w:r>
              <w:rPr>
                <w:sz w:val="21"/>
              </w:rPr>
              <w:t>22.空气检测采用超声波传导检测气泡，具有高灵敏度；漏血探测器为光学检测，在透析液最大流量为800ml/min时，精度为漏血量&lt;0.5ml/min。</w:t>
            </w:r>
          </w:p>
          <w:p>
            <w:pPr>
              <w:jc w:val="both"/>
            </w:pPr>
            <w:r>
              <w:rPr>
                <w:sz w:val="21"/>
              </w:rPr>
              <w:t>23.透析液流量范围：0-300-500-800ml/min ，透析液温度控制在35℃～39℃，并可随时调整。</w:t>
            </w:r>
          </w:p>
          <w:p>
            <w:pPr>
              <w:jc w:val="both"/>
            </w:pPr>
            <w:r>
              <w:rPr>
                <w:sz w:val="21"/>
              </w:rPr>
              <w:t>24.随机内置不间断电源，断电时可自动切换并可维持血泵正常运转及监测显示所有治疗数据工作≥15分钟。</w:t>
            </w:r>
          </w:p>
          <w:p>
            <w:pPr>
              <w:jc w:val="both"/>
            </w:pPr>
            <w:r>
              <w:rPr>
                <w:sz w:val="21"/>
              </w:rPr>
              <w:t>25.电源：电压220V（±10%）/50Hz下连续工作，能抗电磁冲击，高频干扰。在停电时机器能自动保存治疗参数、设定值和累积值。</w:t>
            </w:r>
          </w:p>
          <w:p>
            <w:pPr>
              <w:jc w:val="both"/>
            </w:pPr>
            <w:r>
              <w:rPr>
                <w:b/>
                <w:sz w:val="21"/>
              </w:rPr>
              <w:t>26.配置清单（每台）：</w:t>
            </w:r>
          </w:p>
          <w:tbl>
            <w:tblPr>
              <w:tblBorders>
                <w:top w:val="none" w:color="000000" w:sz="4"/>
                <w:left w:val="none" w:color="000000" w:sz="4"/>
                <w:bottom w:val="none" w:color="000000" w:sz="4"/>
                <w:right w:val="none" w:color="000000" w:sz="4"/>
                <w:insideH w:val="none"/>
                <w:insideV w:val="none"/>
              </w:tblBorders>
            </w:tblPr>
            <w:tblGrid>
              <w:gridCol w:w="497"/>
              <w:gridCol w:w="1885"/>
              <w:gridCol w:w="774"/>
              <w:gridCol w:w="925"/>
              <w:gridCol w:w="1503"/>
            </w:tblGrid>
            <w:tr>
              <w:tc>
                <w:tcPr>
                  <w:tcW w:type="dxa" w:w="49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885"/>
                  <w:tcBorders>
                    <w:top w:val="single" w:color="000000" w:sz="4"/>
                    <w:left w:val="single" w:color="000000" w:sz="4"/>
                    <w:bottom w:val="single" w:color="000000" w:sz="4"/>
                    <w:right w:val="single" w:color="000000" w:sz="4"/>
                  </w:tcBorders>
                  <w:vAlign w:val="top"/>
                </w:tcPr>
                <w:p>
                  <w:pPr>
                    <w:jc w:val="center"/>
                  </w:pPr>
                  <w:r>
                    <w:rPr>
                      <w:sz w:val="21"/>
                    </w:rPr>
                    <w:t>产品名称</w:t>
                  </w:r>
                </w:p>
              </w:tc>
              <w:tc>
                <w:tcPr>
                  <w:tcW w:type="dxa" w:w="774"/>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925"/>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1503"/>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5584"/>
                  <w:gridSpan w:val="5"/>
                  <w:tcBorders>
                    <w:top w:val="none" w:color="000000" w:sz="4"/>
                    <w:left w:val="single" w:color="000000" w:sz="4"/>
                    <w:bottom w:val="single" w:color="000000" w:sz="4"/>
                    <w:right w:val="single" w:color="000000" w:sz="4"/>
                  </w:tcBorders>
                  <w:vAlign w:val="top"/>
                </w:tcPr>
                <w:p>
                  <w:pPr>
                    <w:jc w:val="both"/>
                  </w:pPr>
                  <w:r>
                    <w:rPr>
                      <w:b/>
                      <w:sz w:val="21"/>
                    </w:rPr>
                    <w:t>一、主机</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885"/>
                  <w:tcBorders>
                    <w:top w:val="single" w:color="000000" w:sz="4"/>
                    <w:left w:val="single" w:color="000000" w:sz="4"/>
                    <w:bottom w:val="single" w:color="000000" w:sz="4"/>
                    <w:right w:val="single" w:color="000000" w:sz="4"/>
                  </w:tcBorders>
                  <w:vAlign w:val="top"/>
                </w:tcPr>
                <w:p>
                  <w:pPr>
                    <w:jc w:val="center"/>
                  </w:pPr>
                  <w:r>
                    <w:rPr>
                      <w:sz w:val="21"/>
                    </w:rPr>
                    <w:t>彩色液晶操作面板</w:t>
                  </w:r>
                </w:p>
              </w:tc>
              <w:tc>
                <w:tcPr>
                  <w:tcW w:type="dxa" w:w="774"/>
                  <w:tcBorders>
                    <w:top w:val="single" w:color="000000" w:sz="4"/>
                    <w:left w:val="single" w:color="000000" w:sz="4"/>
                    <w:bottom w:val="single" w:color="000000" w:sz="4"/>
                    <w:right w:val="single" w:color="000000" w:sz="4"/>
                  </w:tcBorders>
                  <w:vAlign w:val="top"/>
                </w:tcPr>
                <w:p>
                  <w:pPr>
                    <w:jc w:val="center"/>
                  </w:pPr>
                  <w:r>
                    <w:rPr>
                      <w:sz w:val="21"/>
                    </w:rPr>
                    <w:t>1</w:t>
                  </w:r>
                </w:p>
              </w:tc>
              <w:tc>
                <w:tcPr>
                  <w:tcW w:type="dxa" w:w="925"/>
                  <w:tcBorders>
                    <w:top w:val="singl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singl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血泵模组</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肝素泵模组</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空气监测模组</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干粉装置</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平衡腔水路系统</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后备电源</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超纯度透析液过滤装置</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在线尿素清除率监测系统</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血压监测器</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中央供液接口</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r>
                    <w:rPr>
                      <w:sz w:val="21"/>
                    </w:rPr>
                    <w:t>主机配置</w:t>
                  </w:r>
                </w:p>
              </w:tc>
            </w:tr>
            <w:tr>
              <w:tc>
                <w:tcPr>
                  <w:tcW w:type="dxa" w:w="5584"/>
                  <w:gridSpan w:val="5"/>
                  <w:tcBorders>
                    <w:top w:val="none" w:color="000000" w:sz="4"/>
                    <w:left w:val="single" w:color="000000" w:sz="4"/>
                    <w:bottom w:val="single" w:color="000000" w:sz="4"/>
                    <w:right w:val="single" w:color="000000" w:sz="4"/>
                  </w:tcBorders>
                  <w:vAlign w:val="top"/>
                </w:tcPr>
                <w:p>
                  <w:pPr>
                    <w:jc w:val="both"/>
                  </w:pPr>
                  <w:r>
                    <w:rPr>
                      <w:b/>
                      <w:sz w:val="21"/>
                    </w:rPr>
                    <w:t>二、附件</w:t>
                  </w: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885"/>
                  <w:tcBorders>
                    <w:top w:val="single" w:color="000000" w:sz="4"/>
                    <w:left w:val="single" w:color="000000" w:sz="4"/>
                    <w:bottom w:val="single" w:color="000000" w:sz="4"/>
                    <w:right w:val="single" w:color="000000" w:sz="4"/>
                  </w:tcBorders>
                  <w:vAlign w:val="top"/>
                </w:tcPr>
                <w:p>
                  <w:pPr>
                    <w:jc w:val="center"/>
                  </w:pPr>
                  <w:r>
                    <w:rPr>
                      <w:sz w:val="21"/>
                    </w:rPr>
                    <w:t>透析器固定夹</w:t>
                  </w:r>
                </w:p>
              </w:tc>
              <w:tc>
                <w:tcPr>
                  <w:tcW w:type="dxa" w:w="774"/>
                  <w:tcBorders>
                    <w:top w:val="single" w:color="000000" w:sz="4"/>
                    <w:left w:val="single" w:color="000000" w:sz="4"/>
                    <w:bottom w:val="single" w:color="000000" w:sz="4"/>
                    <w:right w:val="single" w:color="000000" w:sz="4"/>
                  </w:tcBorders>
                  <w:vAlign w:val="top"/>
                </w:tcPr>
                <w:p>
                  <w:pPr>
                    <w:jc w:val="center"/>
                  </w:pPr>
                  <w:r>
                    <w:rPr>
                      <w:sz w:val="21"/>
                    </w:rPr>
                    <w:t>1</w:t>
                  </w:r>
                </w:p>
              </w:tc>
              <w:tc>
                <w:tcPr>
                  <w:tcW w:type="dxa" w:w="925"/>
                  <w:tcBorders>
                    <w:top w:val="single" w:color="000000" w:sz="4"/>
                    <w:left w:val="single" w:color="000000" w:sz="4"/>
                    <w:bottom w:val="single" w:color="000000" w:sz="4"/>
                    <w:right w:val="single" w:color="000000" w:sz="4"/>
                  </w:tcBorders>
                  <w:vAlign w:val="top"/>
                </w:tcPr>
                <w:p>
                  <w:pPr>
                    <w:jc w:val="center"/>
                  </w:pPr>
                  <w:r>
                    <w:rPr>
                      <w:sz w:val="21"/>
                    </w:rPr>
                    <w:t>个</w:t>
                  </w:r>
                </w:p>
              </w:tc>
              <w:tc>
                <w:tcPr>
                  <w:tcW w:type="dxa" w:w="1503"/>
                  <w:tcBorders>
                    <w:top w:val="singl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血路管动脉壶固定夹</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血泵摇把</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消毒液吸管</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条</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黑色进水管</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条</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黑色排水管</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条</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PVC管接头</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透析液安全过滤器</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支</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过滤器外罩</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中文操作手册</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本</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在线尿素清除率监测系统操作手册</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本</w:t>
                  </w:r>
                </w:p>
              </w:tc>
              <w:tc>
                <w:tcPr>
                  <w:tcW w:type="dxa" w:w="1503"/>
                  <w:tcBorders>
                    <w:top w:val="none" w:color="000000" w:sz="4"/>
                    <w:left w:val="single" w:color="000000" w:sz="4"/>
                    <w:bottom w:val="single" w:color="000000" w:sz="4"/>
                    <w:right w:val="single" w:color="000000" w:sz="4"/>
                  </w:tcBorders>
                  <w:vAlign w:val="top"/>
                </w:tcPr>
                <w:p>
                  <w:pPr>
                    <w:jc w:val="center"/>
                  </w:pPr>
                </w:p>
              </w:tc>
            </w:tr>
            <w:tr>
              <w:tc>
                <w:tcPr>
                  <w:tcW w:type="dxa" w:w="497"/>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885"/>
                  <w:tcBorders>
                    <w:top w:val="none" w:color="000000" w:sz="4"/>
                    <w:left w:val="single" w:color="000000" w:sz="4"/>
                    <w:bottom w:val="single" w:color="000000" w:sz="4"/>
                    <w:right w:val="single" w:color="000000" w:sz="4"/>
                  </w:tcBorders>
                  <w:vAlign w:val="top"/>
                </w:tcPr>
                <w:p>
                  <w:pPr>
                    <w:jc w:val="center"/>
                  </w:pPr>
                  <w:r>
                    <w:rPr>
                      <w:sz w:val="21"/>
                    </w:rPr>
                    <w:t>血压袖带</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25"/>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503"/>
                  <w:tcBorders>
                    <w:top w:val="none" w:color="000000" w:sz="4"/>
                    <w:left w:val="single" w:color="000000" w:sz="4"/>
                    <w:bottom w:val="single" w:color="000000" w:sz="4"/>
                    <w:right w:val="single" w:color="000000" w:sz="4"/>
                  </w:tcBorders>
                  <w:vAlign w:val="top"/>
                </w:tcPr>
                <w:p>
                  <w:pPr>
                    <w:jc w:val="center"/>
                  </w:pPr>
                </w:p>
              </w:tc>
            </w:tr>
          </w:tbl>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采购包2（血液透析滤过机）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签订合同后30天内完成安装调试。</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1期：支付比例100%,采购人验收合格收到发票后60天内支付合同货款总额的100%。</w:t>
            </w:r>
          </w:p>
        </w:tc>
      </w:tr>
      <w:tr>
        <w:tc>
          <w:tcPr>
            <w:tcW w:type="dxa" w:w="4153"/>
          </w:tcPr>
          <w:p>
            <w:r>
              <w:rPr/>
              <w:t>验收要求</w:t>
            </w:r>
          </w:p>
        </w:tc>
        <w:tc>
          <w:tcPr>
            <w:tcW w:type="dxa" w:w="4153"/>
          </w:tcPr>
          <w:p/>
          <w:p/>
          <w:p/>
          <w:p>
            <w:r>
              <w:rPr/>
              <w:t>1期：合同设备安装调试完成并移交所有资料文档后60个工作日内验收，验收应在双方共同参加下进行，验收标准按照国家有关标准。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投标报价应包括硬件、软件对接服务费、技术培训费、安装调试费等杂费，含全额发票及合同实施过程中的应预见或不可预见费用等完成合同规定责任和义务、达到合同目的的一切费用及企业利润； 1.2.涉及专机专用耗材、试剂、易损件等需填列报价，且承诺至少在履约服务期内按此价格执行。</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★2.1.设备安装调试验收合格之日起，保修期不少于3年； 2.2.保修期内免费维修。设备发生故障时，中标人在接到采购人的故障通知后2小时内响应，4小时内到达现场，8小时内处理完毕。若在12小时内仍未能有效解决，中标人须免费提供相同规格、标准的备用设备予采购人临时使用； 2.3.保修期内厂家每年免费回访设备至少3次。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★3.2.中标人须在广东省设有售后服务点并提供维修的详细地址及工程师联系方式，负责设备的安装调试，（或提供承诺函承诺中标后满足，格式自拟）； 3.3.有操作、维护、维修培训计划，必须由原厂工程师及技术人员直接提供保修、维修、免费技术培训服务； 3.4.中标人需要帮助采购人培训两名以上工程师，并取相应的培训证书，所涉及到的培训费和差旅费由中标人承担。 ★3.5.免费提供系统软件升级。 ★3.6.保证8年内仪器配件供应。</w:t>
            </w:r>
          </w:p>
        </w:tc>
      </w:tr>
      <w:tr>
        <w:tc>
          <w:tcPr>
            <w:tcW w:type="dxa" w:w="2076"/>
          </w:tcPr>
          <w:p>
            <w:pPr>
              <w:jc w:val="center"/>
            </w:pPr>
            <w:r>
              <w:rPr/>
              <w:t>★</w:t>
            </w: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其他医疗设备</w:t>
            </w:r>
          </w:p>
        </w:tc>
        <w:tc>
          <w:tcPr>
            <w:tcW w:type="dxa" w:w="831"/>
          </w:tcPr>
          <w:p>
            <w:pPr>
              <w:jc w:val="left"/>
            </w:pPr>
            <w:r>
              <w:rPr/>
              <w:t>血液透析滤过机</w:t>
            </w:r>
          </w:p>
        </w:tc>
        <w:tc>
          <w:tcPr>
            <w:tcW w:type="dxa" w:w="831"/>
          </w:tcPr>
          <w:p>
            <w:pPr>
              <w:jc w:val="left"/>
            </w:pPr>
            <w:r>
              <w:rPr/>
              <w:t>套</w:t>
            </w:r>
          </w:p>
        </w:tc>
        <w:tc>
          <w:tcPr>
            <w:tcW w:type="dxa" w:w="831"/>
          </w:tcPr>
          <w:p>
            <w:pPr>
              <w:jc w:val="right"/>
            </w:pPr>
            <w:r>
              <w:rPr/>
              <w:t>3.00</w:t>
            </w:r>
          </w:p>
        </w:tc>
        <w:tc>
          <w:tcPr>
            <w:tcW w:type="dxa" w:w="831"/>
          </w:tcPr>
          <w:p>
            <w:pPr>
              <w:jc w:val="right"/>
            </w:pPr>
            <w:r>
              <w:rPr/>
              <w:t>258,000.00</w:t>
            </w:r>
          </w:p>
        </w:tc>
        <w:tc>
          <w:tcPr>
            <w:tcW w:type="dxa" w:w="831"/>
          </w:tcPr>
          <w:p>
            <w:pPr>
              <w:jc w:val="right"/>
            </w:pPr>
            <w:r>
              <w:rPr/>
              <w:t>774,000.00</w:t>
            </w:r>
          </w:p>
        </w:tc>
        <w:tc>
          <w:tcPr>
            <w:tcW w:type="dxa" w:w="831"/>
          </w:tcPr>
          <w:p>
            <w:r>
              <w:rPr/>
              <w:t>工业</w:t>
            </w:r>
          </w:p>
        </w:tc>
        <w:tc>
          <w:tcPr>
            <w:tcW w:type="dxa" w:w="831"/>
          </w:tcPr>
          <w:p>
            <w:r>
              <w:rPr/>
              <w:t>详见附表一</w:t>
            </w:r>
          </w:p>
        </w:tc>
      </w:tr>
    </w:tbl>
    <w:p/>
    <w:p>
      <w:r>
        <w:rPr>
          <w:b/>
        </w:rPr>
        <w:t>附表</w:t>
      </w:r>
      <w:r>
        <w:rPr>
          <w:b/>
        </w:rPr>
        <w:t>一</w:t>
      </w:r>
      <w:r>
        <w:rPr>
          <w:b/>
        </w:rPr>
        <w:t>：</w:t>
      </w:r>
      <w:r>
        <w:rPr>
          <w:b/>
        </w:rPr>
        <w:t>血液透析滤过机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1.具有碳酸盐/醋酸盐/单超透析多种透析模式，适用各种配方透析液；可用碳酸盐干粉。</w:t>
            </w:r>
          </w:p>
          <w:p>
            <w:pPr>
              <w:jc w:val="both"/>
            </w:pPr>
            <w:r>
              <w:rPr>
                <w:sz w:val="21"/>
              </w:rPr>
              <w:t>2.肝素泵可设定停泵时间，显示累积量，可作大剂量追加给药。</w:t>
            </w:r>
          </w:p>
          <w:p>
            <w:pPr>
              <w:jc w:val="both"/>
            </w:pPr>
            <w:r>
              <w:rPr>
                <w:sz w:val="21"/>
              </w:rPr>
              <w:t>3.≥1</w:t>
            </w:r>
            <w:r>
              <w:rPr>
                <w:sz w:val="21"/>
              </w:rPr>
              <w:t>5</w:t>
            </w:r>
            <w:r>
              <w:rPr>
                <w:sz w:val="21"/>
              </w:rPr>
              <w:t>英寸彩色液晶可任意调向显示屏幕，具有中文界面，可实时显示治疗过程参数和曲线。</w:t>
            </w:r>
          </w:p>
          <w:p>
            <w:pPr>
              <w:jc w:val="both"/>
            </w:pPr>
            <w:r>
              <w:rPr>
                <w:sz w:val="21"/>
              </w:rPr>
              <w:t>4.具备固定及自由设定的钠曲线，实现个体化透析治疗。</w:t>
            </w:r>
          </w:p>
          <w:p>
            <w:pPr>
              <w:jc w:val="both"/>
            </w:pPr>
            <w:r>
              <w:rPr>
                <w:sz w:val="21"/>
              </w:rPr>
              <w:t>5.具备固定及自由设定的可调超滤曲线，实现个体化透析治疗配方。</w:t>
            </w:r>
          </w:p>
          <w:p>
            <w:pPr>
              <w:jc w:val="both"/>
            </w:pPr>
            <w:r>
              <w:rPr>
                <w:sz w:val="21"/>
              </w:rPr>
              <w:t>6.超滤系统为双容量平衡腔四腔室超滤控制系统，精密容积式脱水控制，透析液连续提供，能达到零超滤。</w:t>
            </w:r>
          </w:p>
          <w:p>
            <w:pPr>
              <w:jc w:val="both"/>
            </w:pPr>
            <w:r>
              <w:rPr>
                <w:sz w:val="21"/>
              </w:rPr>
              <w:t>7.电导度检测为A/B液混合后总电导度检测。</w:t>
            </w:r>
          </w:p>
          <w:p>
            <w:pPr>
              <w:jc w:val="both"/>
            </w:pPr>
            <w:r>
              <w:rPr>
                <w:sz w:val="21"/>
              </w:rPr>
              <w:t>8.透析液温度控制在34-39℃，可实时监测及可调，并有超温保护。</w:t>
            </w:r>
          </w:p>
          <w:p>
            <w:pPr>
              <w:jc w:val="both"/>
            </w:pPr>
            <w:r>
              <w:rPr>
                <w:sz w:val="21"/>
              </w:rPr>
              <w:t>9.清洗消毒程序：进行化学/热/脱钙多种消毒清洗程序；化学热消毒（80℃以上）除钙、除脂和消毒程序一体进行；进入实质消毒阶段后机器自动进行强制冲洗，以确保无药液残留，透析液吸管可联机清洗消毒；热化学消毒时间≤40分钟。</w:t>
            </w:r>
          </w:p>
          <w:p>
            <w:pPr>
              <w:jc w:val="both"/>
            </w:pPr>
            <w:r>
              <w:rPr>
                <w:sz w:val="21"/>
              </w:rPr>
              <w:t>10.可设定自动开、关机时间，自动预冲及选择自动消毒程序。</w:t>
            </w:r>
          </w:p>
          <w:p>
            <w:pPr>
              <w:jc w:val="both"/>
            </w:pPr>
            <w:r>
              <w:rPr>
                <w:sz w:val="21"/>
              </w:rPr>
              <w:t>11.具有≥六个专用CPU控制，增加机器安全性。</w:t>
            </w:r>
          </w:p>
          <w:p>
            <w:pPr>
              <w:jc w:val="both"/>
            </w:pPr>
            <w:r>
              <w:rPr>
                <w:sz w:val="21"/>
              </w:rPr>
              <w:t>12.具有内置维修和故障诊断软件。</w:t>
            </w:r>
          </w:p>
          <w:p>
            <w:pPr>
              <w:jc w:val="both"/>
            </w:pPr>
            <w:r>
              <w:rPr>
                <w:sz w:val="21"/>
              </w:rPr>
              <w:t>13.具有数字化信息网络接口，可直接联网远程诊断和维修。</w:t>
            </w:r>
          </w:p>
          <w:p>
            <w:pPr>
              <w:jc w:val="both"/>
            </w:pPr>
            <w:r>
              <w:rPr>
                <w:sz w:val="21"/>
              </w:rPr>
              <w:t>14.具有透析液内毒素过滤器接口，对透析液进行超纯滤过。</w:t>
            </w:r>
          </w:p>
          <w:p>
            <w:pPr>
              <w:jc w:val="both"/>
            </w:pPr>
            <w:r>
              <w:rPr>
                <w:sz w:val="21"/>
              </w:rPr>
              <w:t>15.标配实时透析尿素氮清除率监测装置，可实时测量并图形显示清除率K值、Kt/V值和血浆钠值；</w:t>
            </w:r>
          </w:p>
          <w:p>
            <w:pPr>
              <w:jc w:val="both"/>
            </w:pPr>
            <w:r>
              <w:rPr>
                <w:sz w:val="21"/>
              </w:rPr>
              <w:t>16.标配碳酸氢盐干粉接口。</w:t>
            </w:r>
          </w:p>
          <w:p>
            <w:pPr>
              <w:jc w:val="both"/>
            </w:pPr>
            <w:r>
              <w:rPr>
                <w:sz w:val="21"/>
              </w:rPr>
              <w:t>17.具有直接的用户使用引导系统，发生提示或报警时在线辅助、指导功能。</w:t>
            </w:r>
          </w:p>
          <w:p>
            <w:pPr>
              <w:jc w:val="both"/>
            </w:pPr>
            <w:r>
              <w:rPr>
                <w:sz w:val="21"/>
              </w:rPr>
              <w:t>18.HDF时自动设定置换液速率以匹配有效血流量。</w:t>
            </w:r>
          </w:p>
          <w:p>
            <w:pPr>
              <w:jc w:val="both"/>
            </w:pPr>
            <w:r>
              <w:rPr>
                <w:sz w:val="21"/>
              </w:rPr>
              <w:t>19.准备结束和回血时，透析液流量为100ml/min，可预先设定。</w:t>
            </w:r>
          </w:p>
          <w:p>
            <w:pPr>
              <w:jc w:val="both"/>
            </w:pPr>
            <w:r>
              <w:rPr>
                <w:sz w:val="21"/>
              </w:rPr>
              <w:t>20.可根据血流量，自动调节透析液流量，可预先设定。</w:t>
            </w:r>
          </w:p>
          <w:p>
            <w:pPr>
              <w:jc w:val="both"/>
            </w:pPr>
            <w:r>
              <w:rPr>
                <w:sz w:val="21"/>
              </w:rPr>
              <w:t>21.具备自动连接测试功能：保证体外循环、肝素注射器、透析液系统连接正确。</w:t>
            </w:r>
          </w:p>
          <w:p>
            <w:pPr>
              <w:jc w:val="both"/>
            </w:pPr>
            <w:r>
              <w:rPr>
                <w:sz w:val="21"/>
              </w:rPr>
              <w:t>22.具备多个漏液传感器系统：体外循环或机器内部有泄漏时自动报警，保证治疗安全性。</w:t>
            </w:r>
          </w:p>
          <w:p>
            <w:pPr>
              <w:jc w:val="left"/>
            </w:pPr>
            <w:r>
              <w:rPr>
                <w:sz w:val="21"/>
              </w:rPr>
              <w:t>23.具备自动的管路扭结和凝血报警告，治疗开始后自动监测体外循环管路各接口和透析液接口连接正确无泄漏。</w:t>
            </w:r>
          </w:p>
          <w:p>
            <w:pPr>
              <w:jc w:val="left"/>
            </w:pPr>
            <w:r>
              <w:rPr>
                <w:sz w:val="21"/>
              </w:rPr>
              <w:t>24.具有HD、前或后稀释HDF、前或后稀释HF五种治疗模式可随时灵活转换。</w:t>
            </w:r>
          </w:p>
          <w:p>
            <w:pPr>
              <w:jc w:val="left"/>
            </w:pPr>
            <w:r>
              <w:rPr>
                <w:sz w:val="21"/>
              </w:rPr>
              <w:t>25.配有用户卡和病人卡，便于中心责任分级管理。</w:t>
            </w:r>
          </w:p>
          <w:p>
            <w:pPr>
              <w:jc w:val="left"/>
            </w:pPr>
            <w:r>
              <w:rPr>
                <w:sz w:val="21"/>
              </w:rPr>
              <w:t>26.标配在线血压监测组件。</w:t>
            </w:r>
          </w:p>
          <w:p>
            <w:pPr>
              <w:jc w:val="left"/>
            </w:pPr>
            <w:r>
              <w:rPr>
                <w:sz w:val="21"/>
              </w:rPr>
              <w:t>27.血泵：有效血流量30～600ml/min，血泵管径可调。</w:t>
            </w:r>
          </w:p>
          <w:p>
            <w:pPr>
              <w:jc w:val="left"/>
            </w:pPr>
            <w:r>
              <w:rPr>
                <w:sz w:val="21"/>
              </w:rPr>
              <w:t>28.肝素泵0.5～10ml/h可选用多种尺寸的注射器，可设关泵时间。</w:t>
            </w:r>
          </w:p>
          <w:p>
            <w:pPr>
              <w:jc w:val="left"/>
            </w:pPr>
            <w:r>
              <w:rPr>
                <w:sz w:val="21"/>
              </w:rPr>
              <w:t>29.静脉压力监测范围：-80mmHg～+400mmHg，精确度±7mmHg，分辨度5mmHg。</w:t>
            </w:r>
          </w:p>
          <w:p>
            <w:pPr>
              <w:jc w:val="left"/>
            </w:pPr>
            <w:r>
              <w:rPr>
                <w:sz w:val="21"/>
              </w:rPr>
              <w:t>30.动脉压力监测范围：-200mmHg～+200Hg，精确度±7mmHg，分辨度5mmHg。</w:t>
            </w:r>
          </w:p>
          <w:p>
            <w:pPr>
              <w:jc w:val="left"/>
            </w:pPr>
            <w:r>
              <w:rPr>
                <w:sz w:val="21"/>
              </w:rPr>
              <w:t>31.双重空气监测，具有高灵敏度；</w:t>
            </w:r>
          </w:p>
          <w:p>
            <w:pPr>
              <w:jc w:val="left"/>
            </w:pPr>
            <w:r>
              <w:rPr>
                <w:sz w:val="21"/>
              </w:rPr>
              <w:t>32.超滤率为0～4000ml/h，连续可调，可显示超滤目标、超滤时间、超滤速率、超滤量，精度±1%；可实现零超滤。</w:t>
            </w:r>
          </w:p>
          <w:p>
            <w:pPr>
              <w:jc w:val="left"/>
            </w:pPr>
            <w:r>
              <w:rPr>
                <w:sz w:val="21"/>
              </w:rPr>
              <w:t>33.跨膜压监测范围：-80～+400mmHg，分辨度5mmHg；具有跨膜压自动跟踪报警功能。</w:t>
            </w:r>
          </w:p>
          <w:p>
            <w:pPr>
              <w:jc w:val="left"/>
            </w:pPr>
            <w:r>
              <w:rPr>
                <w:sz w:val="21"/>
              </w:rPr>
              <w:t>34.透析液流量：0～1000ml/min，调整梯度100 ml/min。</w:t>
            </w:r>
          </w:p>
          <w:p>
            <w:pPr>
              <w:jc w:val="left"/>
            </w:pPr>
            <w:r>
              <w:rPr>
                <w:sz w:val="21"/>
              </w:rPr>
              <w:t>35.电源：电压220V（±10%）/50Hz连续工作，能抗电磁冲击、电磁干扰。</w:t>
            </w:r>
          </w:p>
          <w:p>
            <w:pPr>
              <w:jc w:val="both"/>
            </w:pPr>
            <w:r>
              <w:rPr>
                <w:sz w:val="21"/>
              </w:rPr>
              <w:t>36.随机设置内置不间断电源，断电时自动切换并可维持血泵正常运转及监测显示所有治疗数据工作≥15分钟。</w:t>
            </w:r>
          </w:p>
          <w:p>
            <w:pPr>
              <w:jc w:val="left"/>
            </w:pPr>
            <w:r>
              <w:rPr>
                <w:sz w:val="21"/>
              </w:rPr>
              <w:t>37.置换液生成系统：联机式自产置换液，包括置换液泵1只、置换量为1.5～36升/小时（25-600ml/min），精度为10%，使用两只同种规格的透析液过滤器。</w:t>
            </w:r>
          </w:p>
          <w:p>
            <w:pPr>
              <w:jc w:val="both"/>
            </w:pPr>
            <w:r>
              <w:rPr>
                <w:b/>
                <w:sz w:val="21"/>
              </w:rPr>
              <w:t>38.配置清单（每台）：</w:t>
            </w:r>
          </w:p>
          <w:tbl>
            <w:tblPr>
              <w:tblInd w:type="dxa" w:w="120"/>
              <w:tblBorders>
                <w:top w:val="none" w:color="000000" w:sz="4"/>
                <w:left w:val="none" w:color="000000" w:sz="4"/>
                <w:bottom w:val="none" w:color="000000" w:sz="4"/>
                <w:right w:val="none" w:color="000000" w:sz="4"/>
                <w:insideH w:val="none"/>
                <w:insideV w:val="none"/>
              </w:tblBorders>
            </w:tblPr>
            <w:tblGrid>
              <w:gridCol w:w="561"/>
              <w:gridCol w:w="2374"/>
              <w:gridCol w:w="782"/>
              <w:gridCol w:w="861"/>
              <w:gridCol w:w="991"/>
            </w:tblGrid>
            <w:tr>
              <w:tc>
                <w:tcPr>
                  <w:tcW w:type="dxa" w:w="56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374"/>
                  <w:tcBorders>
                    <w:top w:val="single" w:color="000000" w:sz="4"/>
                    <w:left w:val="single" w:color="000000" w:sz="4"/>
                    <w:bottom w:val="single" w:color="000000" w:sz="4"/>
                    <w:right w:val="single" w:color="000000" w:sz="4"/>
                  </w:tcBorders>
                  <w:vAlign w:val="top"/>
                </w:tcPr>
                <w:p>
                  <w:pPr>
                    <w:jc w:val="center"/>
                  </w:pPr>
                  <w:r>
                    <w:rPr>
                      <w:sz w:val="21"/>
                    </w:rPr>
                    <w:t>产品名称</w:t>
                  </w:r>
                </w:p>
              </w:tc>
              <w:tc>
                <w:tcPr>
                  <w:tcW w:type="dxa" w:w="782"/>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861"/>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991"/>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5569"/>
                  <w:gridSpan w:val="5"/>
                  <w:tcBorders>
                    <w:top w:val="none" w:color="000000" w:sz="4"/>
                    <w:left w:val="single" w:color="000000" w:sz="4"/>
                    <w:bottom w:val="single" w:color="000000" w:sz="4"/>
                    <w:right w:val="single" w:color="000000" w:sz="4"/>
                  </w:tcBorders>
                  <w:vAlign w:val="top"/>
                </w:tcPr>
                <w:p>
                  <w:pPr>
                    <w:jc w:val="left"/>
                  </w:pPr>
                  <w:r>
                    <w:rPr>
                      <w:b/>
                      <w:sz w:val="21"/>
                    </w:rPr>
                    <w:t>一、主机</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w:t>
                  </w:r>
                </w:p>
              </w:tc>
              <w:tc>
                <w:tcPr>
                  <w:tcW w:type="dxa" w:w="2374"/>
                  <w:tcBorders>
                    <w:top w:val="single" w:color="000000" w:sz="4"/>
                    <w:left w:val="single" w:color="000000" w:sz="4"/>
                    <w:bottom w:val="single" w:color="000000" w:sz="4"/>
                    <w:right w:val="single" w:color="000000" w:sz="4"/>
                  </w:tcBorders>
                  <w:vAlign w:val="top"/>
                </w:tcPr>
                <w:p>
                  <w:pPr>
                    <w:jc w:val="both"/>
                  </w:pPr>
                  <w:r>
                    <w:rPr>
                      <w:sz w:val="21"/>
                    </w:rPr>
                    <w:t>≥15英寸高分辨率显彩色可旋转式触摸屏</w:t>
                  </w:r>
                </w:p>
              </w:tc>
              <w:tc>
                <w:tcPr>
                  <w:tcW w:type="dxa" w:w="782"/>
                  <w:tcBorders>
                    <w:top w:val="single" w:color="000000" w:sz="4"/>
                    <w:left w:val="single" w:color="000000" w:sz="4"/>
                    <w:bottom w:val="single" w:color="000000" w:sz="4"/>
                    <w:right w:val="single" w:color="000000" w:sz="4"/>
                  </w:tcBorders>
                  <w:vAlign w:val="top"/>
                </w:tcPr>
                <w:p>
                  <w:pPr>
                    <w:jc w:val="both"/>
                  </w:pPr>
                  <w:r>
                    <w:rPr>
                      <w:sz w:val="21"/>
                    </w:rPr>
                    <w:t>1</w:t>
                  </w:r>
                </w:p>
              </w:tc>
              <w:tc>
                <w:tcPr>
                  <w:tcW w:type="dxa" w:w="861"/>
                  <w:tcBorders>
                    <w:top w:val="single" w:color="000000" w:sz="4"/>
                    <w:left w:val="single" w:color="000000" w:sz="4"/>
                    <w:bottom w:val="single" w:color="000000" w:sz="4"/>
                    <w:right w:val="single" w:color="000000" w:sz="4"/>
                  </w:tcBorders>
                  <w:vAlign w:val="top"/>
                </w:tcPr>
                <w:p>
                  <w:pPr>
                    <w:jc w:val="both"/>
                  </w:pPr>
                  <w:r>
                    <w:rPr>
                      <w:sz w:val="21"/>
                    </w:rPr>
                    <w:t>套</w:t>
                  </w:r>
                </w:p>
              </w:tc>
              <w:tc>
                <w:tcPr>
                  <w:tcW w:type="dxa" w:w="991"/>
                  <w:tcBorders>
                    <w:top w:val="singl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2</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血泵模组</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3</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肝素泵模组</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4</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空气监测模组</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5</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干粉装置</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6</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平衡腔水路系统</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7</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后备电源</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8</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超纯度透析液过滤装置</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9</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血滤系统</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10</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读卡器</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11</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Kt/V监测系统</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12</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体外循环保护门</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主机配置</w:t>
                  </w:r>
                </w:p>
              </w:tc>
            </w:tr>
            <w:tr>
              <w:tc>
                <w:tcPr>
                  <w:tcW w:type="dxa" w:w="5569"/>
                  <w:gridSpan w:val="5"/>
                  <w:tcBorders>
                    <w:top w:val="none" w:color="000000" w:sz="4"/>
                    <w:left w:val="single" w:color="000000" w:sz="4"/>
                    <w:bottom w:val="single" w:color="000000" w:sz="4"/>
                    <w:right w:val="single" w:color="000000" w:sz="4"/>
                  </w:tcBorders>
                  <w:vAlign w:val="top"/>
                </w:tcPr>
                <w:p>
                  <w:pPr>
                    <w:jc w:val="left"/>
                  </w:pPr>
                  <w:r>
                    <w:rPr>
                      <w:b/>
                      <w:sz w:val="21"/>
                    </w:rPr>
                    <w:t>二、附件</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w:t>
                  </w:r>
                </w:p>
              </w:tc>
              <w:tc>
                <w:tcPr>
                  <w:tcW w:type="dxa" w:w="2374"/>
                  <w:tcBorders>
                    <w:top w:val="single" w:color="000000" w:sz="4"/>
                    <w:left w:val="single" w:color="000000" w:sz="4"/>
                    <w:bottom w:val="single" w:color="000000" w:sz="4"/>
                    <w:right w:val="single" w:color="000000" w:sz="4"/>
                  </w:tcBorders>
                  <w:vAlign w:val="top"/>
                </w:tcPr>
                <w:p>
                  <w:pPr>
                    <w:jc w:val="both"/>
                  </w:pPr>
                  <w:r>
                    <w:rPr>
                      <w:sz w:val="21"/>
                    </w:rPr>
                    <w:t>动脉壶固定夹</w:t>
                  </w:r>
                  <w:r>
                    <w:rPr>
                      <w:sz w:val="21"/>
                    </w:rPr>
                    <w:t xml:space="preserve">  </w:t>
                  </w:r>
                </w:p>
              </w:tc>
              <w:tc>
                <w:tcPr>
                  <w:tcW w:type="dxa" w:w="782"/>
                  <w:tcBorders>
                    <w:top w:val="single" w:color="000000" w:sz="4"/>
                    <w:left w:val="single" w:color="000000" w:sz="4"/>
                    <w:bottom w:val="single" w:color="000000" w:sz="4"/>
                    <w:right w:val="single" w:color="000000" w:sz="4"/>
                  </w:tcBorders>
                  <w:vAlign w:val="top"/>
                </w:tcPr>
                <w:p>
                  <w:pPr>
                    <w:jc w:val="both"/>
                  </w:pPr>
                  <w:r>
                    <w:rPr>
                      <w:sz w:val="21"/>
                    </w:rPr>
                    <w:t>1</w:t>
                  </w:r>
                </w:p>
              </w:tc>
              <w:tc>
                <w:tcPr>
                  <w:tcW w:type="dxa" w:w="861"/>
                  <w:tcBorders>
                    <w:top w:val="single" w:color="000000" w:sz="4"/>
                    <w:left w:val="single" w:color="000000" w:sz="4"/>
                    <w:bottom w:val="single" w:color="000000" w:sz="4"/>
                    <w:right w:val="single" w:color="000000" w:sz="4"/>
                  </w:tcBorders>
                  <w:vAlign w:val="top"/>
                </w:tcPr>
                <w:p>
                  <w:pPr>
                    <w:jc w:val="both"/>
                  </w:pPr>
                  <w:r>
                    <w:rPr>
                      <w:sz w:val="21"/>
                    </w:rPr>
                    <w:t>个</w:t>
                  </w:r>
                </w:p>
              </w:tc>
              <w:tc>
                <w:tcPr>
                  <w:tcW w:type="dxa" w:w="991"/>
                  <w:tcBorders>
                    <w:top w:val="singl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2</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血泵摇把</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个</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3</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消毒液吸管</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条</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4</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进水过滤器</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5</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输液杆</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条</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6</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黑色进水管</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条</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7</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黑色排水管</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条</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8</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推移把手</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条</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9</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 xml:space="preserve">PVC管接头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10</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透析液安全过滤器</w:t>
                  </w:r>
                </w:p>
              </w:tc>
              <w:tc>
                <w:tcPr>
                  <w:tcW w:type="dxa" w:w="782"/>
                  <w:tcBorders>
                    <w:top w:val="none" w:color="000000" w:sz="4"/>
                    <w:left w:val="single" w:color="000000" w:sz="4"/>
                    <w:bottom w:val="single" w:color="000000" w:sz="4"/>
                    <w:right w:val="single" w:color="000000" w:sz="4"/>
                  </w:tcBorders>
                  <w:vAlign w:val="top"/>
                </w:tcPr>
                <w:p>
                  <w:pPr>
                    <w:jc w:val="both"/>
                  </w:pPr>
                  <w:r>
                    <w:rPr>
                      <w:sz w:val="21"/>
                    </w:rPr>
                    <w:t>2</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支</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11</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过滤器外罩</w:t>
                  </w:r>
                  <w:r>
                    <w:rPr>
                      <w:sz w:val="21"/>
                    </w:rPr>
                    <w:t xml:space="preserve">     </w:t>
                  </w:r>
                </w:p>
              </w:tc>
              <w:tc>
                <w:tcPr>
                  <w:tcW w:type="dxa" w:w="782"/>
                  <w:tcBorders>
                    <w:top w:val="none" w:color="000000" w:sz="4"/>
                    <w:left w:val="single" w:color="000000" w:sz="4"/>
                    <w:bottom w:val="single" w:color="000000" w:sz="4"/>
                    <w:right w:val="single" w:color="000000" w:sz="4"/>
                  </w:tcBorders>
                  <w:vAlign w:val="top"/>
                </w:tcPr>
                <w:p>
                  <w:pPr>
                    <w:jc w:val="both"/>
                  </w:pPr>
                  <w:r>
                    <w:rPr>
                      <w:sz w:val="21"/>
                    </w:rPr>
                    <w:t>2</w:t>
                  </w:r>
                </w:p>
              </w:tc>
              <w:tc>
                <w:tcPr>
                  <w:tcW w:type="dxa" w:w="861"/>
                  <w:tcBorders>
                    <w:top w:val="none" w:color="000000" w:sz="4"/>
                    <w:left w:val="single" w:color="000000" w:sz="4"/>
                    <w:bottom w:val="single" w:color="000000" w:sz="4"/>
                    <w:right w:val="single" w:color="000000" w:sz="4"/>
                  </w:tcBorders>
                  <w:vAlign w:val="top"/>
                </w:tcPr>
                <w:p>
                  <w:pPr>
                    <w:jc w:val="both"/>
                  </w:pPr>
                  <w:r>
                    <w:rPr>
                      <w:sz w:val="21"/>
                    </w:rPr>
                    <w:t>个</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12</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中文操作手册</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本</w:t>
                  </w:r>
                </w:p>
              </w:tc>
              <w:tc>
                <w:tcPr>
                  <w:tcW w:type="dxa" w:w="991"/>
                  <w:tcBorders>
                    <w:top w:val="none" w:color="000000" w:sz="4"/>
                    <w:left w:val="single" w:color="000000" w:sz="4"/>
                    <w:bottom w:val="single" w:color="000000" w:sz="4"/>
                    <w:right w:val="single" w:color="000000" w:sz="4"/>
                  </w:tcBorders>
                  <w:vAlign w:val="top"/>
                </w:tcPr>
                <w:p>
                  <w:pPr>
                    <w:jc w:val="both"/>
                  </w:pP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13</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自动血压监测系统</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选配件</w:t>
                  </w:r>
                </w:p>
              </w:tc>
            </w:tr>
            <w:tr>
              <w:tc>
                <w:tcPr>
                  <w:tcW w:type="dxa" w:w="561"/>
                  <w:tcBorders>
                    <w:top w:val="none" w:color="000000" w:sz="4"/>
                    <w:left w:val="single" w:color="000000" w:sz="4"/>
                    <w:bottom w:val="single" w:color="000000" w:sz="4"/>
                    <w:right w:val="single" w:color="000000" w:sz="4"/>
                  </w:tcBorders>
                  <w:vAlign w:val="top"/>
                </w:tcPr>
                <w:p>
                  <w:pPr>
                    <w:jc w:val="both"/>
                  </w:pPr>
                  <w:r>
                    <w:rPr>
                      <w:sz w:val="21"/>
                    </w:rPr>
                    <w:t>14</w:t>
                  </w:r>
                </w:p>
              </w:tc>
              <w:tc>
                <w:tcPr>
                  <w:tcW w:type="dxa" w:w="2374"/>
                  <w:tcBorders>
                    <w:top w:val="none" w:color="000000" w:sz="4"/>
                    <w:left w:val="single" w:color="000000" w:sz="4"/>
                    <w:bottom w:val="single" w:color="000000" w:sz="4"/>
                    <w:right w:val="single" w:color="000000" w:sz="4"/>
                  </w:tcBorders>
                  <w:vAlign w:val="top"/>
                </w:tcPr>
                <w:p>
                  <w:pPr>
                    <w:jc w:val="both"/>
                  </w:pPr>
                  <w:r>
                    <w:rPr>
                      <w:sz w:val="21"/>
                    </w:rPr>
                    <w:t>自动血温监测系统</w:t>
                  </w:r>
                </w:p>
              </w:tc>
              <w:tc>
                <w:tcPr>
                  <w:tcW w:type="dxa" w:w="782"/>
                  <w:tcBorders>
                    <w:top w:val="none" w:color="000000" w:sz="4"/>
                    <w:left w:val="single" w:color="000000" w:sz="4"/>
                    <w:bottom w:val="single" w:color="000000" w:sz="4"/>
                    <w:right w:val="single" w:color="000000" w:sz="4"/>
                  </w:tcBorders>
                  <w:vAlign w:val="top"/>
                </w:tcPr>
                <w:p>
                  <w:pPr>
                    <w:jc w:val="both"/>
                  </w:pPr>
                  <w:r>
                    <w:rPr>
                      <w:sz w:val="21"/>
                    </w:rPr>
                    <w:t>1</w:t>
                  </w:r>
                </w:p>
              </w:tc>
              <w:tc>
                <w:tcPr>
                  <w:tcW w:type="dxa" w:w="861"/>
                  <w:tcBorders>
                    <w:top w:val="none" w:color="000000" w:sz="4"/>
                    <w:left w:val="single" w:color="000000" w:sz="4"/>
                    <w:bottom w:val="single" w:color="000000" w:sz="4"/>
                    <w:right w:val="single" w:color="000000" w:sz="4"/>
                  </w:tcBorders>
                  <w:vAlign w:val="top"/>
                </w:tcPr>
                <w:p>
                  <w:pPr>
                    <w:jc w:val="both"/>
                  </w:pPr>
                  <w:r>
                    <w:rPr>
                      <w:sz w:val="21"/>
                    </w:rPr>
                    <w:t>套</w:t>
                  </w:r>
                </w:p>
              </w:tc>
              <w:tc>
                <w:tcPr>
                  <w:tcW w:type="dxa" w:w="991"/>
                  <w:tcBorders>
                    <w:top w:val="none" w:color="000000" w:sz="4"/>
                    <w:left w:val="single" w:color="000000" w:sz="4"/>
                    <w:bottom w:val="single" w:color="000000" w:sz="4"/>
                    <w:right w:val="single" w:color="000000" w:sz="4"/>
                  </w:tcBorders>
                  <w:vAlign w:val="top"/>
                </w:tcPr>
                <w:p>
                  <w:pPr>
                    <w:jc w:val="both"/>
                  </w:pPr>
                  <w:r>
                    <w:rPr>
                      <w:sz w:val="21"/>
                    </w:rPr>
                    <w:t>选配件</w:t>
                  </w:r>
                </w:p>
              </w:tc>
            </w:tr>
          </w:tbl>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标准的80%收取各包组的招标代理服务费。中标金额计算服务费不足3000元时，按3000元计收。</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采购包1(血液透析机)：综合评分法,是指投标文件满足招标文件全部实质性要求，且按照评审因素的量化指标评审得分最高的投标人为中标候选人的评标方法。（最低报价不是中标的唯一依据。）</w:t>
      </w:r>
    </w:p>
    <w:p/>
    <w:p>
      <w:r>
        <w:rPr/>
        <w:t>采购包2(血液透析滤过机)：综合评分法,是指投标文件满足招标文件全部实质性要求，且按照评审因素的量化指标评审得分最高的投标人为中标候选人的评标方法。（最低报价不是中标的唯一依据。）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采购包1（血液透析机）：</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采购包2（血液透析滤过机）：</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本采购包不专门面向中小企业采购。</w:t>
            </w:r>
          </w:p>
        </w:tc>
      </w:tr>
    </w:tbl>
    <w:p/>
    <w:p>
      <w:r>
        <w:rPr/>
        <w:t>采购包2（血液透析滤过机）：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本采购包不专门面向中小企业采购。</w:t>
            </w:r>
          </w:p>
        </w:tc>
      </w:tr>
    </w:tbl>
    <w:p/>
    <w:p>
      <w:pPr>
        <w:ind w:firstLine="480"/>
      </w:pPr>
      <w:r>
        <w:rPr/>
        <w:t>表二符合性审查表：</w:t>
      </w:r>
    </w:p>
    <w:p>
      <w:pPr>
        <w:ind w:firstLine="480"/>
      </w:pPr>
    </w:p>
    <w:p/>
    <w:p>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投标（报价）总金额是固定价且是唯一的，未超过本项目采购包1预算总金额。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投标（报价）总金额是固定价且是唯一的，未超过本项目采购包2预算总金额。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采购包1(血液透析机):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商务部分13.0分</w:t>
            </w:r>
          </w:p>
          <w:p>
            <w:r>
              <w:rPr/>
              <w:t>技术部分57.0分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中采购包1的附表一“具体技术(参数)要求”条款的 响应情况 (22.0分)</w:t>
            </w:r>
          </w:p>
        </w:tc>
        <w:tc>
          <w:tcPr>
            <w:tcW w:type="dxa" w:w="5076"/>
          </w:tcPr>
          <w:p>
            <w:pPr>
              <w:jc w:val="left"/>
            </w:pPr>
            <w:r>
              <w:rPr/>
              <w:t>考核投标人对招标文件第二章《采购需求》中采购包1的附表一“具体技术(参数)要求”中所有条款（星号条款除外）的响应程度（每条条款最小一级序号均以一项计算）： 1.完全响应技术要求的得22分； 2.参数每负偏离一项扣1分，本项共22分，扣完为止；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(11.0分)</w:t>
            </w:r>
            <w:r>
              <w:rPr/>
              <w:t>，（等次分值选择：</w:t>
            </w:r>
            <w:r>
              <w:rPr/>
              <w:t>0.0;</w:t>
            </w:r>
            <w:r>
              <w:rPr/>
              <w:t>1.0;</w:t>
            </w:r>
            <w:r>
              <w:rPr/>
              <w:t>4.0;</w:t>
            </w:r>
            <w:r>
              <w:rPr/>
              <w:t>7.0;</w:t>
            </w:r>
            <w:r>
              <w:rPr/>
              <w:t>11.0;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1.安装、检测、验收、培训计划条理清晰，脉络分明，操作性强，人性化，能体现以人为本、服务至上的售后理念，得11分； 2.安装、检测、验收、培训计划条理较清晰，脉络较分明，操作性较强，能体现以人为本、服务至上的售后理念，得7分； 3.安装、检测、验收、培训计划条理一般，脉络一般，操作性一般，不能体现以人为本、服务至上的售后理念，得4分； 4.安装、检测、验收、培训计划条理模糊，脉络不分明，操作性差，不能体现以人为本、服务至上的售后理念，得1分； 5.未提供相关计划得0分。</w:t>
            </w:r>
          </w:p>
        </w:tc>
      </w:tr>
      <w:tr>
        <w:tc>
          <w:tcPr>
            <w:tcW w:type="dxa" w:w="922"/>
            <w:gridSpan w:val="2"/>
            <w:vMerge/>
          </w:tcPr>
          <w:p/>
        </w:tc>
        <w:tc>
          <w:tcPr>
            <w:tcW w:type="dxa" w:w="2307"/>
          </w:tcPr>
          <w:p>
            <w:pPr>
              <w:jc w:val="left"/>
            </w:pPr>
            <w:r>
              <w:rPr/>
              <w:t>产品的配置、选型及性能  (11.0分)</w:t>
            </w:r>
            <w:r>
              <w:rPr/>
              <w:t>，（等次分值选择：</w:t>
            </w:r>
            <w:r>
              <w:rPr/>
              <w:t>0.0;</w:t>
            </w:r>
            <w:r>
              <w:rPr/>
              <w:t>1.0;</w:t>
            </w:r>
            <w:r>
              <w:rPr/>
              <w:t>4.0;</w:t>
            </w:r>
            <w:r>
              <w:rPr/>
              <w:t>7.0;</w:t>
            </w:r>
            <w:r>
              <w:rPr/>
              <w:t>11.0;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1.所投产品的配置完全满足或优于招标文件要求，选型及性能非常好，完全能满足采购人需求，得11分； 2.所投产品的配置基本满足招标文件要求，选型及性能比较好，比较能满足采购人需求，得7分； 3.所投产品的配置勉强满足招标文件要求，选型及性能一般，勉强能满足采购人需求，得4分；  4.所投产品的配置不能满足招标文件要求，选型及性能不太好，不能满足采购人需求，得1分； 5.未提供得0分。</w:t>
            </w:r>
          </w:p>
        </w:tc>
      </w:tr>
      <w:tr>
        <w:tc>
          <w:tcPr>
            <w:tcW w:type="dxa" w:w="922"/>
            <w:gridSpan w:val="2"/>
            <w:vMerge/>
          </w:tcPr>
          <w:p/>
        </w:tc>
        <w:tc>
          <w:tcPr>
            <w:tcW w:type="dxa" w:w="2307"/>
          </w:tcPr>
          <w:p>
            <w:pPr>
              <w:jc w:val="left"/>
            </w:pPr>
            <w:r>
              <w:rPr/>
              <w:t>服务响应、售后及应急措施方案 (13.0分)</w:t>
            </w:r>
            <w:r>
              <w:rPr/>
              <w:t>，（等次分值选择：</w:t>
            </w:r>
            <w:r>
              <w:rPr/>
              <w:t>0.0;</w:t>
            </w:r>
            <w:r>
              <w:rPr/>
              <w:t>1.0;</w:t>
            </w:r>
            <w:r>
              <w:rPr/>
              <w:t>5.0;</w:t>
            </w:r>
            <w:r>
              <w:rPr/>
              <w:t>9.0;</w:t>
            </w:r>
            <w:r>
              <w:rPr/>
              <w:t>13.0;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2小时内响应，4小时内到达现场，8小时内处理完毕。若在12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1.服务响应时间满足或优于招标文件要求；有详细具体可行的保修、维护、服务、技术支持措施计划和承诺，处理问题能力强，售后及保修期内的服务方案优；应急措施方案非常周全、详尽、可行，得13分； 2.服务响应时间满足招标文件要求；有比较详细具体可行的保修、维护、服务、技术支持措施计划和承诺，处理问题能力较强，售后及保修期内的服务方案较好；应急措施方案比较周全、详尽、可行，得9分； 3.服务响应时间满足招标文件要求；保修、维护、服务、技术支持措施计划和承诺可行性一般，售后及保修期内的服务方案一般；应急措施方案可行性一般，得5分； 4.服务响应时间未能满足招标文件要求；保修、维护、服务、技术支持措施计划和承诺不太可行，售后及保修期内的服务方案不够具体；应急措施方案不太可行，得1分；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 6 分；每负偏离一项扣1分，本项6分，扣完为止。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3.职业健康安全管理体系认证证书（1分）。 注：1.投标人或所投设备生产厂家具备以上证书，每提供一个证书得1分，满分3分；  2.提供有效期内的证书复印件并加盖投标人的公章，不按要求提供不得分。</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2020年1月1日以来（以合同签订日期为准）投标人承接的同类项目业绩，每提供一个项目业绩得1分，最多得4分。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采购包2(血液透析滤过机):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商务部分13.0分</w:t>
            </w:r>
          </w:p>
          <w:p>
            <w:r>
              <w:rPr/>
              <w:t>技术部分57.0分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中采购包2的附表一“具体技术(参数)要求”条款的响应情况 (24.0分)</w:t>
            </w:r>
          </w:p>
        </w:tc>
        <w:tc>
          <w:tcPr>
            <w:tcW w:type="dxa" w:w="5076"/>
          </w:tcPr>
          <w:p>
            <w:pPr>
              <w:jc w:val="left"/>
            </w:pPr>
            <w:r>
              <w:rPr/>
              <w:t>考核投标人对招标文件第二章《采购需求》中采购包2的附表一“具体技术(参数)要求”中所有条款（星号条款除外）的响应程度（每条条款最小一级序号均以一项计算）： 1.完全响应技术要求的得24分； 2.参数每负偏离一项扣1分，本项共24分，扣完为止；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(11.0分)</w:t>
            </w:r>
            <w:r>
              <w:rPr/>
              <w:t>，（等次分值选择：</w:t>
            </w:r>
            <w:r>
              <w:rPr/>
              <w:t>0.0;</w:t>
            </w:r>
            <w:r>
              <w:rPr/>
              <w:t>1.0;</w:t>
            </w:r>
            <w:r>
              <w:rPr/>
              <w:t>4.0;</w:t>
            </w:r>
            <w:r>
              <w:rPr/>
              <w:t>7.0;</w:t>
            </w:r>
            <w:r>
              <w:rPr/>
              <w:t>11.0;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1.安装、检测、验收、培训计划条理清晰，脉络分明，操作性强，人性化，能体现以人为本、服务至上的售后理念，得11分； 2.安装、检测、验收、培训计划条理较清晰，脉络较分明，操作性较强，能体现以人为本、服务至上的售后理念，得7分； 3.安装、检测、验收、培训计划条理一般，脉络一般，操作性一般，不能体现以人为本、服务至上的售后理念，得4分； 4.安装、检测、验收、培训计划条理模糊，脉络不分明，操作性差，不能体现以人为本、服务至上的售后理念，得1分； 5.未提供相关计划得0分。</w:t>
            </w:r>
          </w:p>
        </w:tc>
      </w:tr>
      <w:tr>
        <w:tc>
          <w:tcPr>
            <w:tcW w:type="dxa" w:w="922"/>
            <w:gridSpan w:val="2"/>
            <w:vMerge/>
          </w:tcPr>
          <w:p/>
        </w:tc>
        <w:tc>
          <w:tcPr>
            <w:tcW w:type="dxa" w:w="2307"/>
          </w:tcPr>
          <w:p>
            <w:pPr>
              <w:jc w:val="left"/>
            </w:pPr>
            <w:r>
              <w:rPr/>
              <w:t>产品的配置、选型及性能 (11.0分)</w:t>
            </w:r>
            <w:r>
              <w:rPr/>
              <w:t>，（等次分值选择：</w:t>
            </w:r>
            <w:r>
              <w:rPr/>
              <w:t>0.0;</w:t>
            </w:r>
            <w:r>
              <w:rPr/>
              <w:t>1.0;</w:t>
            </w:r>
            <w:r>
              <w:rPr/>
              <w:t>4.0;</w:t>
            </w:r>
            <w:r>
              <w:rPr/>
              <w:t>7.0;</w:t>
            </w:r>
            <w:r>
              <w:rPr/>
              <w:t>11.0;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1.所投产品的配置完全满足或优于招标文件要求，选型及性能非常好，完全能满足采购人需求，得11分； 2.所投产品的配置基本满足招标文件要求，选型及性能比较好，比较能满足采购人需求，得7分； 3.所投产品的配置勉强满足招标文件要求，选型及性能一般，勉强能满足采购人需求，得4分；  4.所投产品的配置不能满足招标文件要求，选型及性能不太好，不能满足采购人需求，得1分； 5.未提供得0分。</w:t>
            </w:r>
          </w:p>
        </w:tc>
      </w:tr>
      <w:tr>
        <w:tc>
          <w:tcPr>
            <w:tcW w:type="dxa" w:w="922"/>
            <w:gridSpan w:val="2"/>
            <w:vMerge/>
          </w:tcPr>
          <w:p/>
        </w:tc>
        <w:tc>
          <w:tcPr>
            <w:tcW w:type="dxa" w:w="2307"/>
          </w:tcPr>
          <w:p>
            <w:pPr>
              <w:jc w:val="left"/>
            </w:pPr>
            <w:r>
              <w:rPr/>
              <w:t>服务响应、售后及应急措施方案 (11.0分)</w:t>
            </w:r>
            <w:r>
              <w:rPr/>
              <w:t>，（等次分值选择：</w:t>
            </w:r>
            <w:r>
              <w:rPr/>
              <w:t>0.0;</w:t>
            </w:r>
            <w:r>
              <w:rPr/>
              <w:t>1.0;</w:t>
            </w:r>
            <w:r>
              <w:rPr/>
              <w:t>4.0;</w:t>
            </w:r>
            <w:r>
              <w:rPr/>
              <w:t>7.0;</w:t>
            </w:r>
            <w:r>
              <w:rPr/>
              <w:t>11.0;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2小时内响应，4小时内到达现场，8小时内处理完毕。若在12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1.服务响应时间满足或优于招标文件要求；有详细具体可行的保修、维护、服务、技术支持措施计划和承诺，处理问题能力强，售后及保修期内的服务方案优；应急措施方案非常周全、详尽、可行，得11分； 2.服务响应时间满足招标文件要求；有比较详细具体可行的保修、维护、服务、技术支持措施计划和承诺，处理问题能力较强，售后及保修期内的服务方案较好；应急措施方案比较周全、详尽、可行，得7分； 3.服务响应时间满足招标文件要求；保修、维护、服务、技术支持措施计划和承诺可行性一般，售后及保修期内的服务方案一般；应急措施方案可行性一般，得4分； 4.服务响应时间未能满足招标文件要求；保修、维护、服务、技术支持措施计划和承诺不太可行，售后及保修期内的服务方案不够具体；应急措施方案不太可行，得1分；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 6 分；每负偏离一项扣1分，本项6分，扣完为止。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3.职业健康安全管理体系认证证书（1分）。 注：1.投标人或所投设备生产厂家具备以上证书，每提供一个证书得1分，满分3分。  2.提供有效期内的证书复印件并加盖投标人的公章，不按要求提供不得分。</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2020年1月1日以来（以合同签订日期为准）投标人承接的同类项目业绩，每提供一个项目业绩得1分，最多得4分。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b/>
          <w:color w:val="000000"/>
          <w:sz w:val="24"/>
        </w:rPr>
        <w:t>(</w:t>
      </w:r>
      <w:r>
        <w:rPr>
          <w:b/>
          <w:color w:val="000000"/>
          <w:sz w:val="24"/>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sz w:val="21"/>
        </w:rPr>
        <w:t xml:space="preserve"> </w:t>
      </w:r>
    </w:p>
    <w:p>
      <w:pPr>
        <w:jc w:val="both"/>
      </w:pPr>
      <w:r>
        <w:rPr>
          <w:sz w:val="21"/>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 xml:space="preserve">             </w:t>
      </w:r>
      <w:r>
        <w:rPr>
          <w:b/>
          <w:sz w:val="24"/>
        </w:rPr>
        <w:t>项目名称：</w:t>
      </w:r>
      <w:r>
        <w:rPr>
          <w:b/>
          <w:sz w:val="21"/>
          <w:u w:val="single"/>
        </w:rPr>
        <w:t xml:space="preserve">                            </w:t>
      </w:r>
    </w:p>
    <w:p>
      <w:pPr>
        <w:ind w:firstLine="1687"/>
        <w:jc w:val="left"/>
      </w:pPr>
      <w:r>
        <w:rPr>
          <w:b/>
          <w:sz w:val="24"/>
        </w:rPr>
        <w:t xml:space="preserve">             </w:t>
      </w:r>
      <w:r>
        <w:rPr>
          <w:b/>
          <w:sz w:val="24"/>
        </w:rPr>
        <w:t>甲</w:t>
      </w:r>
      <w:r>
        <w:rPr>
          <w:b/>
          <w:sz w:val="24"/>
        </w:rPr>
        <w:t xml:space="preserve">   </w:t>
      </w:r>
      <w:r>
        <w:rPr>
          <w:b/>
          <w:sz w:val="24"/>
        </w:rPr>
        <w:t>方：</w:t>
      </w:r>
      <w:r>
        <w:rPr>
          <w:b/>
          <w:sz w:val="21"/>
          <w:u w:val="single"/>
        </w:rPr>
        <w:t xml:space="preserve">                            </w:t>
      </w:r>
    </w:p>
    <w:p>
      <w:pPr>
        <w:ind w:firstLine="1687"/>
        <w:jc w:val="left"/>
      </w:pPr>
      <w:r>
        <w:rPr>
          <w:b/>
          <w:sz w:val="24"/>
        </w:rPr>
        <w:t xml:space="preserve">             </w:t>
      </w:r>
      <w:r>
        <w:rPr>
          <w:b/>
          <w:sz w:val="24"/>
        </w:rPr>
        <w:t>乙</w:t>
      </w:r>
      <w:r>
        <w:rPr>
          <w:b/>
          <w:sz w:val="24"/>
        </w:rPr>
        <w:t xml:space="preserve">   </w:t>
      </w:r>
      <w:r>
        <w:rPr>
          <w:b/>
          <w:sz w:val="24"/>
        </w:rPr>
        <w:t>方：</w:t>
      </w:r>
      <w:r>
        <w:rPr>
          <w:b/>
          <w:sz w:val="21"/>
          <w:u w:val="single"/>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t xml:space="preserve"> </w:t>
      </w:r>
    </w:p>
    <w:p>
      <w:pPr>
        <w:ind w:firstLine="1687"/>
        <w:jc w:val="left"/>
      </w:pPr>
      <w:r>
        <w:rPr/>
        <w:t xml:space="preserve"> </w:t>
      </w:r>
    </w:p>
    <w:p>
      <w:pPr>
        <w:ind w:firstLine="1687"/>
        <w:jc w:val="left"/>
      </w:pPr>
      <w:r>
        <w:rPr>
          <w:sz w:val="21"/>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91"/>
        <w:gridCol w:w="1191"/>
        <w:gridCol w:w="799"/>
        <w:gridCol w:w="859"/>
        <w:gridCol w:w="859"/>
        <w:gridCol w:w="1251"/>
        <w:gridCol w:w="1251"/>
        <w:gridCol w:w="904"/>
      </w:tblGrid>
      <w:tr>
        <w:tc>
          <w:tcPr>
            <w:tcW w:type="dxa" w:w="1191"/>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1"/>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51"/>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51"/>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91"/>
            <w:tcBorders>
              <w:top w:val="none" w:color="000000" w:sz="4"/>
              <w:left w:val="single" w:color="000000" w:sz="4"/>
              <w:bottom w:val="single" w:color="000000" w:sz="4"/>
              <w:right w:val="single" w:color="000000" w:sz="4"/>
            </w:tcBorders>
            <w:vAlign w:val="top"/>
          </w:tcPr>
          <w:p>
            <w:pPr>
              <w:jc w:val="both"/>
            </w:pPr>
          </w:p>
        </w:tc>
        <w:tc>
          <w:tcPr>
            <w:tcW w:type="dxa" w:w="1191"/>
            <w:tcBorders>
              <w:top w:val="none" w:color="000000" w:sz="4"/>
              <w:left w:val="none" w:color="000000" w:sz="4"/>
              <w:bottom w:val="single" w:color="000000" w:sz="4"/>
              <w:right w:val="single" w:color="000000" w:sz="4"/>
            </w:tcBorders>
            <w:vAlign w:val="top"/>
          </w:tcPr>
          <w:p>
            <w:pPr>
              <w:ind w:firstLine="200"/>
              <w:jc w:val="both"/>
            </w:pPr>
          </w:p>
        </w:tc>
        <w:tc>
          <w:tcPr>
            <w:tcW w:type="dxa" w:w="79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904"/>
            <w:tcBorders>
              <w:top w:val="none" w:color="000000" w:sz="4"/>
              <w:left w:val="none" w:color="000000" w:sz="4"/>
              <w:bottom w:val="single" w:color="000000" w:sz="4"/>
              <w:right w:val="single" w:color="000000" w:sz="4"/>
            </w:tcBorders>
            <w:vAlign w:val="top"/>
          </w:tcPr>
          <w:p>
            <w:pPr>
              <w:ind w:firstLine="200"/>
              <w:jc w:val="both"/>
            </w:pPr>
          </w:p>
        </w:tc>
      </w:tr>
      <w:tr>
        <w:tc>
          <w:tcPr>
            <w:tcW w:type="dxa" w:w="1191"/>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4"/>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w:t>
      </w:r>
      <w:r>
        <w:rPr>
          <w:sz w:val="24"/>
        </w:rPr>
        <w:t>次。</w:t>
      </w:r>
    </w:p>
    <w:p>
      <w:pPr>
        <w:ind w:firstLine="480"/>
        <w:jc w:val="both"/>
      </w:pPr>
      <w:r>
        <w:rPr>
          <w:sz w:val="24"/>
        </w:rPr>
        <w:t>8.</w:t>
      </w:r>
      <w:r>
        <w:rPr>
          <w:sz w:val="24"/>
        </w:rPr>
        <w:t>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w:t>
      </w:r>
      <w:r>
        <w:rPr>
          <w:sz w:val="24"/>
        </w:rPr>
        <w:t>%</w:t>
      </w:r>
      <w:r>
        <w:rPr>
          <w:sz w:val="24"/>
        </w:rPr>
        <w:t>（即￥</w:t>
      </w:r>
      <w:r>
        <w:rPr>
          <w:sz w:val="21"/>
          <w:u w:val="single"/>
        </w:rPr>
        <w:t xml:space="preserve">     </w:t>
      </w:r>
      <w:r>
        <w:rPr>
          <w:sz w:val="24"/>
        </w:rPr>
        <w:t>）作为履约保证金或提交银行保函。合同履约服务期满，经甲方考核合格后，履约保证金不计利息一次性返还。若乙方未按时交付履约保证金或提交银行保函，即视为乙方违约，甲方有权终止合同。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 xml:space="preserve">  </w:t>
      </w:r>
      <w:r>
        <w:rPr>
          <w:sz w:val="24"/>
        </w:rPr>
        <w:t>银行账户：</w:t>
      </w:r>
      <w:r>
        <w:rPr>
          <w:sz w:val="21"/>
          <w:u w:val="single"/>
        </w:rPr>
        <w:t xml:space="preserve">             </w:t>
      </w:r>
    </w:p>
    <w:p>
      <w:pPr>
        <w:ind w:firstLine="480"/>
        <w:jc w:val="left"/>
      </w:pPr>
      <w:r>
        <w:rPr>
          <w:sz w:val="24"/>
        </w:rPr>
        <w:t xml:space="preserve">  </w:t>
      </w:r>
      <w:r>
        <w:rPr>
          <w:sz w:val="24"/>
        </w:rPr>
        <w:t>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p>
            <w:pPr>
              <w:ind w:firstLine="200"/>
              <w:jc w:val="both"/>
            </w:pPr>
          </w:p>
        </w:tc>
      </w:tr>
    </w:tbl>
    <w:p>
      <w:pPr>
        <w:jc w:val="center"/>
      </w:pPr>
    </w:p>
    <w:p>
      <w:pPr>
        <w:jc w:val="center"/>
      </w:pPr>
    </w:p>
    <w:p>
      <w:pPr>
        <w:jc w:val="center"/>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442000-2023-00602</w:t>
      </w:r>
    </w:p>
    <w:p>
      <w:pPr>
        <w:jc w:val="center"/>
      </w:pPr>
      <w:r>
        <w:rPr>
          <w:b/>
          <w:sz w:val="24"/>
        </w:rPr>
        <w:t>采购项目编号：</w:t>
      </w:r>
      <w:r>
        <w:rPr>
          <w:b/>
          <w:sz w:val="24"/>
        </w:rPr>
        <w:t>442000-2023-00602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中山市人民医院血液透析机和血液透析滤过机采购项目</w:t>
      </w:r>
      <w:r>
        <w:rPr>
          <w:u w:val="single"/>
        </w:rPr>
        <w:t>”</w:t>
      </w:r>
      <w:r>
        <w:rPr/>
        <w:t>项目的招标[采购项目编号为：</w:t>
      </w:r>
      <w:r>
        <w:rPr>
          <w:u w:val="single"/>
        </w:rPr>
        <w:t>442000-2023-00602</w:t>
      </w:r>
      <w:r>
        <w:rPr/>
        <w:t>]，我方愿参与投标。</w:t>
      </w:r>
    </w:p>
    <w:p>
      <w:pPr>
        <w:ind w:firstLine="480"/>
      </w:pPr>
      <w:r>
        <w:rPr/>
        <w:t>我方确认收到贵方提供的</w:t>
      </w:r>
      <w:r>
        <w:rPr>
          <w:u w:val="single"/>
        </w:rPr>
        <w:t>“</w:t>
      </w:r>
      <w:r>
        <w:rPr>
          <w:u w:val="single"/>
        </w:rPr>
        <w:t>中山市人民医院血液透析机和血液透析滤过机采购项目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中山市人民医院血液透析机和血液透析滤过机采购项目</w:t>
      </w:r>
      <w:r>
        <w:rPr/>
        <w:t>”项目采购[采购项目编号为</w:t>
      </w:r>
      <w:r>
        <w:rPr/>
        <w:t>442000-2023-00602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中山市人民医院血液透析机和血液透析滤过机采购项目</w:t>
      </w:r>
      <w:r>
        <w:rPr/>
        <w:t>招标中获中标（采购项目编号：</w:t>
      </w:r>
      <w:r>
        <w:rPr/>
        <w:t>442000-2023-00602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中山市人民医院血液透析机和血液透析滤过机采购项目</w:t>
      </w:r>
      <w:r>
        <w:rPr/>
        <w:t>”项目（采购项目编号：</w:t>
      </w:r>
      <w:r>
        <w:rPr/>
        <w:t>442000-2023-00602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