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442000003-2023-01250</w:t>
      </w:r>
    </w:p>
    <w:p>
      <w:pPr>
        <w:jc w:val="center"/>
      </w:pPr>
      <w:r>
        <w:rPr>
          <w:b/>
          <w:sz w:val="24"/>
        </w:rPr>
        <w:t>采购项目编号：</w:t>
      </w:r>
      <w:r>
        <w:rPr>
          <w:b/>
          <w:sz w:val="24"/>
        </w:rPr>
        <w:t>442000003-2023-01250</w:t>
      </w:r>
    </w:p>
    <w:p>
      <w:pPr>
        <w:jc w:val="center"/>
      </w:pPr>
      <w:r>
        <w:rPr>
          <w:b/>
          <w:sz w:val="24"/>
        </w:rPr>
        <w:t>项目名称：</w:t>
      </w:r>
      <w:r>
        <w:rPr>
          <w:b/>
          <w:sz w:val="24"/>
        </w:rPr>
        <w:t>中山火炬开发区（含民众街道）2023年采购规划论证服务项目(二次)</w:t>
      </w:r>
    </w:p>
    <w:p>
      <w:pPr>
        <w:jc w:val="center"/>
      </w:pPr>
      <w:r>
        <w:rPr>
          <w:b/>
          <w:sz w:val="24"/>
        </w:rPr>
        <w:t>采购人：</w:t>
      </w:r>
      <w:r>
        <w:rPr>
          <w:b/>
          <w:sz w:val="24"/>
        </w:rPr>
        <w:t>中山火炬高技术产业开发区城乡建设服务中心(土地房屋征收中心）</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中山火炬高技术产业开发区城乡建设服务中心(土地房屋征收中心）</w:t>
      </w:r>
      <w:r>
        <w:rPr/>
        <w:t>的委托，采用</w:t>
      </w:r>
      <w:r>
        <w:rPr/>
        <w:t>公开招标</w:t>
      </w:r>
      <w:r>
        <w:rPr/>
        <w:t>方式组织采购</w:t>
      </w:r>
      <w:r>
        <w:rPr/>
        <w:t>中山火炬开发区（含民众街道）2023年采购规划论证服务项目(二次)</w:t>
      </w:r>
      <w:r>
        <w:rPr/>
        <w:t>。欢迎符合资格条件的国内供应商参加投标。</w:t>
      </w:r>
    </w:p>
    <w:p>
      <w:r>
        <w:rPr>
          <w:b/>
          <w:sz w:val="28"/>
        </w:rPr>
        <w:t>一.项目概述</w:t>
      </w:r>
    </w:p>
    <w:p>
      <w:r>
        <w:rPr>
          <w:b/>
          <w:sz w:val="24"/>
        </w:rPr>
        <w:t>1.名称与编号</w:t>
      </w:r>
    </w:p>
    <w:p>
      <w:pPr>
        <w:ind w:firstLine="480"/>
      </w:pPr>
      <w:r>
        <w:rPr/>
        <w:t>项目名称：</w:t>
      </w:r>
      <w:r>
        <w:rPr/>
        <w:t>中山火炬开发区（含民众街道）2023年采购规划论证服务项目(二次)</w:t>
      </w:r>
    </w:p>
    <w:p>
      <w:pPr>
        <w:ind w:firstLine="480"/>
      </w:pPr>
      <w:r>
        <w:rPr/>
        <w:t>采购计划编号：</w:t>
      </w:r>
      <w:r>
        <w:rPr/>
        <w:t>442000003-2023-01250</w:t>
      </w:r>
    </w:p>
    <w:p>
      <w:pPr>
        <w:ind w:firstLine="480"/>
      </w:pPr>
      <w:r>
        <w:rPr/>
        <w:t>采购项目编号：</w:t>
      </w:r>
      <w:r>
        <w:rPr/>
        <w:t>442000003-2023-01250</w:t>
      </w:r>
    </w:p>
    <w:p>
      <w:pPr>
        <w:ind w:firstLine="480"/>
      </w:pPr>
      <w:r>
        <w:rPr/>
        <w:t>采购方式：</w:t>
      </w:r>
      <w:r>
        <w:rPr/>
        <w:t>公开招标</w:t>
      </w:r>
    </w:p>
    <w:p>
      <w:pPr>
        <w:ind w:firstLine="480"/>
      </w:pPr>
      <w:r>
        <w:rPr/>
        <w:t>预算金额：</w:t>
      </w:r>
      <w:r>
        <w:rPr/>
        <w:t>1,000,000.00</w:t>
      </w:r>
      <w:r>
        <w:rPr/>
        <w:t>元</w:t>
      </w:r>
    </w:p>
    <w:p>
      <w:r>
        <w:rPr>
          <w:b/>
          <w:sz w:val="24"/>
        </w:rPr>
        <w:t>2.项目内容及需求情况（采购项目技术规格、参数及要求）</w:t>
      </w:r>
    </w:p>
    <w:p>
      <w:pPr>
        <w:ind w:firstLine="480"/>
      </w:pPr>
    </w:p>
    <w:p/>
    <w:p>
      <w:r>
        <w:rPr/>
        <w:t>采购包1(中山火炬开发区（含民众街道）2023年采购规划论证服务项目(二次)):</w:t>
      </w:r>
    </w:p>
    <w:p>
      <w:r>
        <w:rPr/>
        <w:t>采购包预算金额：1,000,000.00元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其他服务</w:t>
            </w:r>
          </w:p>
        </w:tc>
        <w:tc>
          <w:tcPr>
            <w:tcW w:type="dxa" w:w="2052"/>
          </w:tcPr>
          <w:p>
            <w:r>
              <w:rPr/>
              <w:t>中山火炬开发区（含民众街道）2023年采购规划论证服务项目(二次)</w:t>
            </w:r>
          </w:p>
        </w:tc>
        <w:tc>
          <w:tcPr>
            <w:tcW w:type="dxa" w:w="977"/>
          </w:tcPr>
          <w:p>
            <w:r>
              <w:rPr/>
              <w:t>1.00(项)</w:t>
            </w:r>
          </w:p>
        </w:tc>
        <w:tc>
          <w:tcPr>
            <w:tcW w:type="dxa" w:w="977"/>
          </w:tcPr>
          <w:p>
            <w:r>
              <w:rPr/>
              <w:t>详见第二章</w:t>
            </w:r>
          </w:p>
        </w:tc>
        <w:tc>
          <w:tcPr>
            <w:tcW w:type="dxa" w:w="977"/>
          </w:tcPr>
          <w:p>
            <w:r>
              <w:rPr/>
              <w:t>1,000,000.00</w:t>
            </w:r>
          </w:p>
        </w:tc>
        <w:tc>
          <w:tcPr>
            <w:tcW w:type="dxa" w:w="977"/>
          </w:tcPr>
          <w:p>
            <w:r>
              <w:rPr/>
              <w:t>否</w:t>
            </w:r>
          </w:p>
        </w:tc>
      </w:tr>
    </w:tbl>
    <w:p/>
    <w:p>
      <w:r>
        <w:rPr/>
        <w:t>本采购包不接受联合体投标</w:t>
      </w:r>
    </w:p>
    <w:p/>
    <w:p>
      <w:r>
        <w:rPr/>
        <w:t>合同履行期限：自合同约定生效之日起一年止或预算金额用完即止（按实际结算为准）。</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证明材料包括但不限于税务局出具的完税凭证、纳税申报表、公司或个人参保证明）。 如依法免税或不需要缴纳社会保障资金的， 提供相应证明材料或情况说明。</w:t>
      </w:r>
    </w:p>
    <w:p/>
    <w:p>
      <w:r>
        <w:rPr/>
        <w:t>3）具有良好的商业信誉和健全的财务会计制度：提供以下任意一种证明材料即可：①2021年度或2022年度财务状况报告（审计报告或年度财务报表）；②投标截止日前12个月内任意1个月或1个季度的财务报表复印件；③银行出具的资信证明材料复印件（注：财务报表至少需提供资产负债表、利润表）。</w:t>
      </w:r>
    </w:p>
    <w:p/>
    <w:p>
      <w:r>
        <w:rPr/>
        <w:t>4）履行合同所必需的设备和专业技术能力：请在投标文件里提供承诺或说明。</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采购包1（中山火炬开发区（含民众街道）2023年采购规划论证服务项目(二次)）：</w:t>
      </w:r>
      <w:r>
        <w:rPr/>
        <w:t>本项目不属于专门面向中小微企业采购的项目。</w:t>
      </w:r>
    </w:p>
    <w:p/>
    <w:p>
      <w:r>
        <w:rPr>
          <w:b/>
          <w:sz w:val="24"/>
        </w:rPr>
        <w:t>3.本项目特定的资格要求：</w:t>
      </w:r>
    </w:p>
    <w:p>
      <w:pPr>
        <w:ind w:firstLine="480"/>
      </w:pPr>
    </w:p>
    <w:p/>
    <w:p>
      <w:r>
        <w:rPr/>
        <w:t>采购包1（中山火炬开发区（含民众街道）2023年采购规划论证服务项目(二次)）：</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备有效期内的城乡规划编制甲级资质（投标文件中提供资质证书复印件）。如由于机构改革导致无法续期资质证书的，供应商须同时提供“城市规划编制单位资质认定”查询系统（https://ghbzdw.mnr.gov.cn/webserver/app/publish_cxgh/index.html）的查询截图打印页，此种情况暂不对城乡规划编制资质有效期限作出要求。</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中山火炬高技术产业开发区城乡建设服务中心(土地房屋征收中心）</w:t>
      </w:r>
    </w:p>
    <w:p>
      <w:pPr>
        <w:ind w:firstLine="480"/>
      </w:pPr>
      <w:r>
        <w:rPr/>
        <w:t>地址：</w:t>
      </w:r>
      <w:r>
        <w:rPr/>
        <w:t>广东省中山市火炬开发区华景花园华兴阁</w:t>
      </w:r>
    </w:p>
    <w:p>
      <w:pPr>
        <w:ind w:firstLine="480"/>
      </w:pPr>
      <w:r>
        <w:rPr/>
        <w:t>联系方式：</w:t>
      </w:r>
      <w:r>
        <w:rPr/>
        <w:t>0760-89938263</w:t>
      </w:r>
    </w:p>
    <w:p>
      <w:r>
        <w:rPr>
          <w:b/>
          <w:sz w:val="24"/>
        </w:rPr>
        <w:t>2.采购代理机构信息</w:t>
      </w:r>
    </w:p>
    <w:p>
      <w:pPr>
        <w:ind w:firstLine="480"/>
      </w:pPr>
      <w:r>
        <w:rPr/>
        <w:t>名称：</w:t>
      </w:r>
      <w:r>
        <w:rPr/>
        <w:t>智林招标（广东）有限公司</w:t>
      </w:r>
    </w:p>
    <w:p>
      <w:pPr>
        <w:ind w:firstLine="480"/>
      </w:pPr>
      <w:r>
        <w:rPr/>
        <w:t>地址：</w:t>
      </w:r>
      <w:r>
        <w:rPr/>
        <w:t>广东省中山市石岐街道中山市石岐区东明北路18号206卡（之十一）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2"/>
        </w:rPr>
        <w:t>1.项目名称：</w:t>
      </w:r>
      <w:r>
        <w:rPr>
          <w:sz w:val="22"/>
        </w:rPr>
        <w:t>中山火炬开发区（含民众街道）</w:t>
      </w:r>
      <w:r>
        <w:rPr>
          <w:sz w:val="22"/>
        </w:rPr>
        <w:t>2023年采购规划论证服</w:t>
      </w:r>
      <w:r>
        <w:rPr>
          <w:sz w:val="21"/>
        </w:rPr>
        <w:t>务项目(二次)</w:t>
      </w:r>
    </w:p>
    <w:p>
      <w:pPr>
        <w:jc w:val="both"/>
      </w:pPr>
      <w:r>
        <w:rPr>
          <w:sz w:val="22"/>
        </w:rPr>
        <w:t>2.采购计划编号：442000003-2023-01250</w:t>
      </w:r>
    </w:p>
    <w:p>
      <w:pPr>
        <w:jc w:val="both"/>
      </w:pPr>
      <w:r>
        <w:rPr>
          <w:sz w:val="22"/>
        </w:rPr>
        <w:t>3.采购项目编号：442000003-2023-01250</w:t>
      </w:r>
    </w:p>
    <w:p>
      <w:pPr>
        <w:jc w:val="both"/>
      </w:pPr>
      <w:r>
        <w:rPr>
          <w:sz w:val="22"/>
        </w:rPr>
        <w:t>4.采购方式：公开招标</w:t>
      </w:r>
    </w:p>
    <w:p>
      <w:pPr>
        <w:jc w:val="both"/>
      </w:pPr>
      <w:r>
        <w:rPr>
          <w:sz w:val="22"/>
        </w:rPr>
        <w:t>5.总预算金额：</w:t>
      </w:r>
      <w:r>
        <w:rPr>
          <w:sz w:val="22"/>
        </w:rPr>
        <w:t>1,000,000.00</w:t>
      </w:r>
      <w:r>
        <w:rPr>
          <w:sz w:val="22"/>
        </w:rPr>
        <w:t>元</w:t>
      </w:r>
    </w:p>
    <w:p>
      <w:pPr>
        <w:jc w:val="both"/>
      </w:pPr>
      <w:r>
        <w:rPr>
          <w:sz w:val="22"/>
        </w:rPr>
        <w:t>6</w:t>
      </w:r>
      <w:r>
        <w:rPr>
          <w:sz w:val="22"/>
        </w:rPr>
        <w:t>.本项目不属于专门面向中小微企业项目。</w:t>
      </w:r>
    </w:p>
    <w:p>
      <w:pPr>
        <w:jc w:val="both"/>
      </w:pPr>
      <w:r>
        <w:rPr>
          <w:sz w:val="22"/>
        </w:rPr>
        <w:t>7</w:t>
      </w:r>
      <w:r>
        <w:rPr>
          <w:sz w:val="22"/>
        </w:rPr>
        <w:t>.采购标的对应的中小企业划分标准所属行业为：其他未列明行业</w:t>
      </w:r>
    </w:p>
    <w:p>
      <w:pPr>
        <w:jc w:val="both"/>
      </w:pPr>
      <w:r>
        <w:rPr>
          <w:sz w:val="22"/>
        </w:rPr>
        <w:t>8</w:t>
      </w:r>
      <w:r>
        <w:rPr>
          <w:sz w:val="22"/>
        </w:rPr>
        <w:t>.本项目不接受联合体投标。</w:t>
      </w:r>
    </w:p>
    <w:p>
      <w:pPr>
        <w:jc w:val="both"/>
      </w:pPr>
      <w:r>
        <w:rPr>
          <w:sz w:val="22"/>
        </w:rPr>
        <w:t>9.合同履行期限：</w:t>
      </w:r>
      <w:r>
        <w:rPr>
          <w:sz w:val="22"/>
        </w:rPr>
        <w:t>自合同约定生效之日起一年止或预算金额用完即止（按实际结算为准）。</w:t>
      </w:r>
    </w:p>
    <w:p>
      <w:pPr>
        <w:jc w:val="both"/>
      </w:pPr>
      <w:r>
        <w:rPr>
          <w:sz w:val="22"/>
        </w:rPr>
        <w:t>10.中标人不得以任何方式转包或分包本项目。</w:t>
      </w:r>
    </w:p>
    <w:p>
      <w:pPr>
        <w:jc w:val="both"/>
      </w:pPr>
      <w:r>
        <w:rPr>
          <w:sz w:val="22"/>
        </w:rPr>
        <w:t>11.招标范围：</w:t>
      </w:r>
      <w:r>
        <w:rPr>
          <w:sz w:val="22"/>
        </w:rPr>
        <w:t>中山火炬开发区中山港街道</w:t>
      </w:r>
      <w:r>
        <w:rPr>
          <w:sz w:val="22"/>
        </w:rPr>
        <w:t>及民众街道征拆项目规划论证服务</w:t>
      </w:r>
      <w:r>
        <w:rPr>
          <w:sz w:val="22"/>
        </w:rPr>
        <w:t>。</w:t>
      </w:r>
    </w:p>
    <w:p>
      <w:pPr>
        <w:ind w:firstLine="440"/>
        <w:jc w:val="both"/>
      </w:pPr>
      <w:r>
        <w:rPr>
          <w:sz w:val="22"/>
        </w:rPr>
        <w:t>为切实提高征地拆迁工作效率，本项目将对</w:t>
      </w:r>
      <w:r>
        <w:rPr>
          <w:sz w:val="22"/>
        </w:rPr>
        <w:t>中山火炬开发区中山港街道</w:t>
      </w:r>
      <w:r>
        <w:rPr>
          <w:sz w:val="22"/>
        </w:rPr>
        <w:t>及民众街道征拆项目的规划论证服务进行公开招标，拟委托第三方有规划资质的公司根据采购人制定的工作计划和要求开</w:t>
      </w:r>
      <w:r>
        <w:rPr>
          <w:sz w:val="22"/>
        </w:rPr>
        <w:t>展征拆规划论证</w:t>
      </w:r>
      <w:r>
        <w:rPr>
          <w:sz w:val="22"/>
        </w:rPr>
        <w:t>和安置地论证服务</w:t>
      </w:r>
      <w:r>
        <w:rPr>
          <w:sz w:val="22"/>
        </w:rPr>
        <w:t>工作</w:t>
      </w:r>
      <w:r>
        <w:rPr>
          <w:sz w:val="22"/>
        </w:rPr>
        <w:t>，</w:t>
      </w:r>
      <w:r>
        <w:rPr>
          <w:sz w:val="22"/>
        </w:rPr>
        <w:t>为合理、有序开发利用项目用地和推进规划实施提供技术支持。</w:t>
      </w:r>
    </w:p>
    <w:p>
      <w:pPr>
        <w:jc w:val="both"/>
      </w:pPr>
      <w:r>
        <w:rPr>
          <w:sz w:val="22"/>
        </w:rPr>
        <w:t>1</w:t>
      </w:r>
      <w:r>
        <w:rPr>
          <w:sz w:val="22"/>
        </w:rPr>
        <w:t>2</w:t>
      </w:r>
      <w:r>
        <w:rPr>
          <w:sz w:val="22"/>
        </w:rPr>
        <w:t>.采购人有权在签订合同时对项目内容作适当修改调整或对服务内容作适量增加或减少，但不得对采购文件约定的条款作出实质性的变更。</w:t>
      </w:r>
    </w:p>
    <w:p>
      <w:pPr>
        <w:jc w:val="both"/>
      </w:pPr>
      <w:r>
        <w:rPr>
          <w:b/>
          <w:sz w:val="22"/>
        </w:rPr>
        <w:t>1</w:t>
      </w:r>
      <w:r>
        <w:rPr>
          <w:b/>
          <w:sz w:val="22"/>
        </w:rPr>
        <w:t>3</w:t>
      </w:r>
      <w:r>
        <w:rPr>
          <w:b/>
          <w:sz w:val="22"/>
        </w:rPr>
        <w:t>.招标文件中凡有“★”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jc w:val="left"/>
      </w:pPr>
      <w:r>
        <w:rPr>
          <w:b/>
          <w:sz w:val="22"/>
        </w:rPr>
        <w:t>14.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w:t>
      </w:r>
      <w:r>
        <w:rPr>
          <w:b/>
          <w:sz w:val="22"/>
        </w:rPr>
        <w:t>额外</w:t>
      </w:r>
      <w:r>
        <w:rPr>
          <w:b/>
          <w:sz w:val="22"/>
        </w:rPr>
        <w:t>费用。</w:t>
      </w:r>
    </w:p>
    <w:p>
      <w:pPr>
        <w:jc w:val="both"/>
      </w:pPr>
      <w:r>
        <w:rPr>
          <w:b/>
          <w:sz w:val="22"/>
        </w:rPr>
        <w:t>15.重要说明</w:t>
      </w:r>
    </w:p>
    <w:p>
      <w:pPr>
        <w:jc w:val="both"/>
      </w:pPr>
      <w:r>
        <w:rPr>
          <w:sz w:val="22"/>
        </w:rPr>
        <w:t>15.1.</w:t>
      </w:r>
      <w:r>
        <w:rPr>
          <w:sz w:val="22"/>
        </w:rPr>
        <w:t>为了提高采购效率，节约社会交易成本与时间，</w:t>
      </w:r>
      <w:r>
        <w:rPr>
          <w:sz w:val="22"/>
        </w:rPr>
        <w:t>请已在广东省政府采购网获取</w:t>
      </w:r>
      <w:r>
        <w:rPr>
          <w:sz w:val="22"/>
        </w:rPr>
        <w:t>采购文件而决定不参加本次投标的投标人，在投标文件递交截止时间</w:t>
      </w:r>
      <w:r>
        <w:rPr>
          <w:sz w:val="22"/>
        </w:rPr>
        <w:t>止</w:t>
      </w:r>
      <w:r>
        <w:rPr>
          <w:sz w:val="22"/>
        </w:rPr>
        <w:t>3日前，按《投标邀请》中的联系方式，以书面形式</w:t>
      </w:r>
      <w:r>
        <w:rPr>
          <w:sz w:val="22"/>
        </w:rPr>
        <w:t>或邮件</w:t>
      </w:r>
      <w:r>
        <w:rPr>
          <w:sz w:val="22"/>
        </w:rPr>
        <w:t>告知采购代理机构。</w:t>
      </w:r>
    </w:p>
    <w:p>
      <w:pPr>
        <w:jc w:val="both"/>
      </w:pPr>
      <w:r>
        <w:rPr>
          <w:sz w:val="22"/>
        </w:rPr>
        <w:t>15.2.</w:t>
      </w:r>
      <w:r>
        <w:rPr>
          <w:sz w:val="22"/>
        </w:rPr>
        <w:t>如投标人认为本招标文件中存在</w:t>
      </w:r>
      <w:r>
        <w:rPr>
          <w:sz w:val="22"/>
        </w:rPr>
        <w:t>“不合理的条件对投标人实行差别待遇或者歧视待遇”，或有其它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jc w:val="both"/>
      </w:pPr>
      <w:r>
        <w:rPr>
          <w:b/>
          <w:sz w:val="21"/>
        </w:rPr>
        <w:t>15.3.本项目采购需求中的“付款方式、履约保证金、报价要求”条款为符合性条款内容，投标人需实质性满足条款要求。</w:t>
      </w:r>
    </w:p>
    <w:p>
      <w:pPr>
        <w:jc w:val="both"/>
      </w:pPr>
      <w:r>
        <w:rPr>
          <w:sz w:val="24"/>
        </w:rPr>
        <w:t>16.《广东省城市规划收费标准的建议（2004年）》</w:t>
      </w:r>
    </w:p>
    <w:p>
      <w:pPr>
        <w:jc w:val="both"/>
      </w:pPr>
      <w:r>
        <w:rPr>
          <w:sz w:val="24"/>
        </w:rPr>
        <w:t xml:space="preserve">              控制性详细规划收费标准</w:t>
      </w:r>
    </w:p>
    <w:tbl>
      <w:tblPr>
        <w:tblW w:w="0" w:type="auto"/>
        <w:tblBorders>
          <w:top w:val="none" w:color="000000" w:sz="4"/>
          <w:left w:val="none" w:color="000000" w:sz="4"/>
          <w:bottom w:val="none" w:color="000000" w:sz="4"/>
          <w:right w:val="none" w:color="000000" w:sz="4"/>
          <w:insideH w:val="none"/>
          <w:insideV w:val="none"/>
        </w:tblBorders>
      </w:tblPr>
      <w:tblGrid>
        <w:gridCol w:w="630"/>
        <w:gridCol w:w="1245"/>
        <w:gridCol w:w="1185"/>
        <w:gridCol w:w="1215"/>
        <w:gridCol w:w="1350"/>
      </w:tblGrid>
      <w:tr>
        <w:tc>
          <w:tcPr>
            <w:tcW w:type="dxa" w:w="630"/>
            <w:tcBorders>
              <w:top w:val="single" w:color="000000" w:sz="4"/>
              <w:left w:val="single" w:color="000000" w:sz="4"/>
              <w:bottom w:val="single" w:color="000000" w:sz="4"/>
              <w:right w:val="single" w:color="000000" w:sz="4"/>
            </w:tcBorders>
            <w:shd w:fill="D9D9D9"/>
            <w:vAlign w:val="top"/>
          </w:tcPr>
          <w:p>
            <w:pPr>
              <w:jc w:val="center"/>
            </w:pPr>
            <w:r>
              <w:rPr>
                <w:sz w:val="21"/>
              </w:rPr>
              <w:t>序号</w:t>
            </w:r>
          </w:p>
        </w:tc>
        <w:tc>
          <w:tcPr>
            <w:tcW w:type="dxa" w:w="1245"/>
            <w:tcBorders>
              <w:top w:val="single" w:color="000000" w:sz="4"/>
              <w:left w:val="single" w:color="000000" w:sz="4"/>
              <w:bottom w:val="single" w:color="000000" w:sz="4"/>
              <w:right w:val="single" w:color="000000" w:sz="4"/>
            </w:tcBorders>
            <w:shd w:fill="D9D9D9"/>
            <w:vAlign w:val="top"/>
          </w:tcPr>
          <w:p>
            <w:pPr>
              <w:jc w:val="center"/>
            </w:pPr>
            <w:r>
              <w:rPr>
                <w:sz w:val="21"/>
              </w:rPr>
              <w:t>规划面积（</w:t>
            </w:r>
            <w:r>
              <w:rPr>
                <w:sz w:val="21"/>
              </w:rPr>
              <w:t>ha）</w:t>
            </w:r>
          </w:p>
        </w:tc>
        <w:tc>
          <w:tcPr>
            <w:tcW w:type="dxa" w:w="1185"/>
            <w:tcBorders>
              <w:top w:val="single" w:color="000000" w:sz="4"/>
              <w:left w:val="single" w:color="000000" w:sz="4"/>
              <w:bottom w:val="single" w:color="000000" w:sz="4"/>
              <w:right w:val="single" w:color="000000" w:sz="4"/>
            </w:tcBorders>
            <w:shd w:fill="D9D9D9"/>
            <w:vAlign w:val="top"/>
          </w:tcPr>
          <w:p>
            <w:pPr>
              <w:jc w:val="center"/>
            </w:pPr>
            <w:r>
              <w:rPr>
                <w:sz w:val="21"/>
              </w:rPr>
              <w:t>城市新区、开发区</w:t>
            </w:r>
          </w:p>
        </w:tc>
        <w:tc>
          <w:tcPr>
            <w:tcW w:type="dxa" w:w="1215"/>
            <w:tcBorders>
              <w:top w:val="single" w:color="000000" w:sz="4"/>
              <w:left w:val="single" w:color="000000" w:sz="4"/>
              <w:bottom w:val="single" w:color="000000" w:sz="4"/>
              <w:right w:val="single" w:color="000000" w:sz="4"/>
            </w:tcBorders>
            <w:shd w:fill="D9D9D9"/>
            <w:vAlign w:val="top"/>
          </w:tcPr>
          <w:p>
            <w:pPr>
              <w:jc w:val="center"/>
            </w:pPr>
            <w:r>
              <w:rPr>
                <w:sz w:val="21"/>
              </w:rPr>
              <w:t>城市一般地区</w:t>
            </w:r>
          </w:p>
        </w:tc>
        <w:tc>
          <w:tcPr>
            <w:tcW w:type="dxa" w:w="1350"/>
            <w:tcBorders>
              <w:top w:val="single" w:color="000000" w:sz="4"/>
              <w:left w:val="single" w:color="000000" w:sz="4"/>
              <w:bottom w:val="single" w:color="000000" w:sz="4"/>
              <w:right w:val="single" w:color="000000" w:sz="4"/>
            </w:tcBorders>
            <w:shd w:fill="D9D9D9"/>
            <w:vAlign w:val="top"/>
          </w:tcPr>
          <w:p>
            <w:pPr>
              <w:jc w:val="center"/>
            </w:pPr>
            <w:r>
              <w:rPr>
                <w:sz w:val="21"/>
              </w:rPr>
              <w:t>城市重点地区、旧城区</w:t>
            </w:r>
          </w:p>
        </w:tc>
      </w:tr>
      <w:tr>
        <w:tc>
          <w:tcPr>
            <w:tcW w:type="dxa" w:w="63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245"/>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1185"/>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215"/>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350"/>
            <w:tcBorders>
              <w:top w:val="none" w:color="000000" w:sz="4"/>
              <w:left w:val="single" w:color="000000" w:sz="4"/>
              <w:bottom w:val="single" w:color="000000" w:sz="4"/>
              <w:right w:val="single" w:color="000000" w:sz="4"/>
            </w:tcBorders>
            <w:vAlign w:val="top"/>
          </w:tcPr>
          <w:p>
            <w:pPr>
              <w:jc w:val="center"/>
            </w:pPr>
            <w:r>
              <w:rPr>
                <w:sz w:val="21"/>
              </w:rPr>
              <w:t>10</w:t>
            </w:r>
          </w:p>
        </w:tc>
      </w:tr>
      <w:tr>
        <w:tc>
          <w:tcPr>
            <w:tcW w:type="dxa" w:w="630"/>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245"/>
            <w:tcBorders>
              <w:top w:val="none" w:color="000000" w:sz="4"/>
              <w:left w:val="single" w:color="000000" w:sz="4"/>
              <w:bottom w:val="single" w:color="000000" w:sz="4"/>
              <w:right w:val="single" w:color="000000" w:sz="4"/>
            </w:tcBorders>
            <w:vAlign w:val="top"/>
          </w:tcPr>
          <w:p>
            <w:pPr>
              <w:jc w:val="center"/>
            </w:pPr>
            <w:r>
              <w:rPr>
                <w:sz w:val="21"/>
              </w:rPr>
              <w:t>100</w:t>
            </w:r>
          </w:p>
        </w:tc>
        <w:tc>
          <w:tcPr>
            <w:tcW w:type="dxa" w:w="1185"/>
            <w:tcBorders>
              <w:top w:val="none" w:color="000000" w:sz="4"/>
              <w:left w:val="single" w:color="000000" w:sz="4"/>
              <w:bottom w:val="single" w:color="000000" w:sz="4"/>
              <w:right w:val="single" w:color="000000" w:sz="4"/>
            </w:tcBorders>
            <w:vAlign w:val="top"/>
          </w:tcPr>
          <w:p>
            <w:pPr>
              <w:jc w:val="center"/>
            </w:pPr>
            <w:r>
              <w:rPr>
                <w:sz w:val="21"/>
              </w:rPr>
              <w:t>37</w:t>
            </w:r>
          </w:p>
        </w:tc>
        <w:tc>
          <w:tcPr>
            <w:tcW w:type="dxa" w:w="1215"/>
            <w:tcBorders>
              <w:top w:val="none" w:color="000000" w:sz="4"/>
              <w:left w:val="single" w:color="000000" w:sz="4"/>
              <w:bottom w:val="single" w:color="000000" w:sz="4"/>
              <w:right w:val="single" w:color="000000" w:sz="4"/>
            </w:tcBorders>
            <w:vAlign w:val="top"/>
          </w:tcPr>
          <w:p>
            <w:pPr>
              <w:jc w:val="center"/>
            </w:pPr>
            <w:r>
              <w:rPr>
                <w:sz w:val="21"/>
              </w:rPr>
              <w:t>42</w:t>
            </w:r>
          </w:p>
        </w:tc>
        <w:tc>
          <w:tcPr>
            <w:tcW w:type="dxa" w:w="1350"/>
            <w:tcBorders>
              <w:top w:val="none" w:color="000000" w:sz="4"/>
              <w:left w:val="single" w:color="000000" w:sz="4"/>
              <w:bottom w:val="single" w:color="000000" w:sz="4"/>
              <w:right w:val="single" w:color="000000" w:sz="4"/>
            </w:tcBorders>
            <w:vAlign w:val="top"/>
          </w:tcPr>
          <w:p>
            <w:pPr>
              <w:jc w:val="center"/>
            </w:pPr>
            <w:r>
              <w:rPr>
                <w:sz w:val="21"/>
              </w:rPr>
              <w:t>46</w:t>
            </w:r>
          </w:p>
        </w:tc>
      </w:tr>
      <w:tr>
        <w:tc>
          <w:tcPr>
            <w:tcW w:type="dxa" w:w="630"/>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245"/>
            <w:tcBorders>
              <w:top w:val="none" w:color="000000" w:sz="4"/>
              <w:left w:val="single" w:color="000000" w:sz="4"/>
              <w:bottom w:val="single" w:color="000000" w:sz="4"/>
              <w:right w:val="single" w:color="000000" w:sz="4"/>
            </w:tcBorders>
            <w:vAlign w:val="top"/>
          </w:tcPr>
          <w:p>
            <w:pPr>
              <w:jc w:val="center"/>
            </w:pPr>
            <w:r>
              <w:rPr>
                <w:sz w:val="21"/>
              </w:rPr>
              <w:t>200</w:t>
            </w:r>
          </w:p>
        </w:tc>
        <w:tc>
          <w:tcPr>
            <w:tcW w:type="dxa" w:w="1185"/>
            <w:tcBorders>
              <w:top w:val="none" w:color="000000" w:sz="4"/>
              <w:left w:val="single" w:color="000000" w:sz="4"/>
              <w:bottom w:val="single" w:color="000000" w:sz="4"/>
              <w:right w:val="single" w:color="000000" w:sz="4"/>
            </w:tcBorders>
            <w:vAlign w:val="top"/>
          </w:tcPr>
          <w:p>
            <w:pPr>
              <w:jc w:val="center"/>
            </w:pPr>
            <w:r>
              <w:rPr>
                <w:sz w:val="21"/>
              </w:rPr>
              <w:t>68</w:t>
            </w:r>
          </w:p>
        </w:tc>
        <w:tc>
          <w:tcPr>
            <w:tcW w:type="dxa" w:w="1215"/>
            <w:tcBorders>
              <w:top w:val="none" w:color="000000" w:sz="4"/>
              <w:left w:val="single" w:color="000000" w:sz="4"/>
              <w:bottom w:val="single" w:color="000000" w:sz="4"/>
              <w:right w:val="single" w:color="000000" w:sz="4"/>
            </w:tcBorders>
            <w:vAlign w:val="top"/>
          </w:tcPr>
          <w:p>
            <w:pPr>
              <w:jc w:val="center"/>
            </w:pPr>
            <w:r>
              <w:rPr>
                <w:sz w:val="21"/>
              </w:rPr>
              <w:t>80</w:t>
            </w:r>
          </w:p>
        </w:tc>
        <w:tc>
          <w:tcPr>
            <w:tcW w:type="dxa" w:w="1350"/>
            <w:tcBorders>
              <w:top w:val="none" w:color="000000" w:sz="4"/>
              <w:left w:val="single" w:color="000000" w:sz="4"/>
              <w:bottom w:val="single" w:color="000000" w:sz="4"/>
              <w:right w:val="single" w:color="000000" w:sz="4"/>
            </w:tcBorders>
            <w:vAlign w:val="top"/>
          </w:tcPr>
          <w:p>
            <w:pPr>
              <w:jc w:val="center"/>
            </w:pPr>
            <w:r>
              <w:rPr>
                <w:sz w:val="21"/>
              </w:rPr>
              <w:t>88</w:t>
            </w:r>
          </w:p>
        </w:tc>
      </w:tr>
      <w:tr>
        <w:tc>
          <w:tcPr>
            <w:tcW w:type="dxa" w:w="630"/>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245"/>
            <w:tcBorders>
              <w:top w:val="none" w:color="000000" w:sz="4"/>
              <w:left w:val="single" w:color="000000" w:sz="4"/>
              <w:bottom w:val="single" w:color="000000" w:sz="4"/>
              <w:right w:val="single" w:color="000000" w:sz="4"/>
            </w:tcBorders>
            <w:vAlign w:val="top"/>
          </w:tcPr>
          <w:p>
            <w:pPr>
              <w:jc w:val="center"/>
            </w:pPr>
            <w:r>
              <w:rPr>
                <w:sz w:val="21"/>
              </w:rPr>
              <w:t>300</w:t>
            </w:r>
          </w:p>
        </w:tc>
        <w:tc>
          <w:tcPr>
            <w:tcW w:type="dxa" w:w="1185"/>
            <w:tcBorders>
              <w:top w:val="none" w:color="000000" w:sz="4"/>
              <w:left w:val="single" w:color="000000" w:sz="4"/>
              <w:bottom w:val="single" w:color="000000" w:sz="4"/>
              <w:right w:val="single" w:color="000000" w:sz="4"/>
            </w:tcBorders>
            <w:vAlign w:val="top"/>
          </w:tcPr>
          <w:p>
            <w:pPr>
              <w:jc w:val="center"/>
            </w:pPr>
            <w:r>
              <w:rPr>
                <w:sz w:val="21"/>
              </w:rPr>
              <w:t>96</w:t>
            </w:r>
          </w:p>
        </w:tc>
        <w:tc>
          <w:tcPr>
            <w:tcW w:type="dxa" w:w="1215"/>
            <w:tcBorders>
              <w:top w:val="none" w:color="000000" w:sz="4"/>
              <w:left w:val="single" w:color="000000" w:sz="4"/>
              <w:bottom w:val="single" w:color="000000" w:sz="4"/>
              <w:right w:val="single" w:color="000000" w:sz="4"/>
            </w:tcBorders>
            <w:vAlign w:val="top"/>
          </w:tcPr>
          <w:p>
            <w:pPr>
              <w:jc w:val="center"/>
            </w:pPr>
            <w:r>
              <w:rPr>
                <w:sz w:val="21"/>
              </w:rPr>
              <w:t>114</w:t>
            </w:r>
          </w:p>
        </w:tc>
        <w:tc>
          <w:tcPr>
            <w:tcW w:type="dxa" w:w="1350"/>
            <w:tcBorders>
              <w:top w:val="none" w:color="000000" w:sz="4"/>
              <w:left w:val="single" w:color="000000" w:sz="4"/>
              <w:bottom w:val="single" w:color="000000" w:sz="4"/>
              <w:right w:val="single" w:color="000000" w:sz="4"/>
            </w:tcBorders>
            <w:vAlign w:val="top"/>
          </w:tcPr>
          <w:p>
            <w:pPr>
              <w:jc w:val="center"/>
            </w:pPr>
            <w:r>
              <w:rPr>
                <w:sz w:val="21"/>
              </w:rPr>
              <w:t>126</w:t>
            </w:r>
          </w:p>
        </w:tc>
      </w:tr>
      <w:tr>
        <w:tc>
          <w:tcPr>
            <w:tcW w:type="dxa" w:w="630"/>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245"/>
            <w:tcBorders>
              <w:top w:val="none" w:color="000000" w:sz="4"/>
              <w:left w:val="single" w:color="000000" w:sz="4"/>
              <w:bottom w:val="single" w:color="000000" w:sz="4"/>
              <w:right w:val="single" w:color="000000" w:sz="4"/>
            </w:tcBorders>
            <w:vAlign w:val="top"/>
          </w:tcPr>
          <w:p>
            <w:pPr>
              <w:jc w:val="center"/>
            </w:pPr>
            <w:r>
              <w:rPr>
                <w:sz w:val="21"/>
              </w:rPr>
              <w:t>＞</w:t>
            </w:r>
            <w:r>
              <w:rPr>
                <w:sz w:val="21"/>
              </w:rPr>
              <w:t>300</w:t>
            </w:r>
          </w:p>
        </w:tc>
        <w:tc>
          <w:tcPr>
            <w:tcW w:type="dxa" w:w="1185"/>
            <w:tcBorders>
              <w:top w:val="none" w:color="000000" w:sz="4"/>
              <w:left w:val="single" w:color="000000" w:sz="4"/>
              <w:bottom w:val="single" w:color="000000" w:sz="4"/>
              <w:right w:val="single" w:color="000000" w:sz="4"/>
            </w:tcBorders>
            <w:vAlign w:val="top"/>
          </w:tcPr>
          <w:p>
            <w:pPr>
              <w:jc w:val="center"/>
            </w:pPr>
            <w:r>
              <w:rPr>
                <w:sz w:val="21"/>
              </w:rPr>
              <w:t>3000元/ha</w:t>
            </w:r>
          </w:p>
        </w:tc>
        <w:tc>
          <w:tcPr>
            <w:tcW w:type="dxa" w:w="1215"/>
            <w:tcBorders>
              <w:top w:val="none" w:color="000000" w:sz="4"/>
              <w:left w:val="single" w:color="000000" w:sz="4"/>
              <w:bottom w:val="single" w:color="000000" w:sz="4"/>
              <w:right w:val="single" w:color="000000" w:sz="4"/>
            </w:tcBorders>
            <w:vAlign w:val="top"/>
          </w:tcPr>
          <w:p>
            <w:pPr>
              <w:jc w:val="center"/>
            </w:pPr>
            <w:r>
              <w:rPr>
                <w:sz w:val="21"/>
              </w:rPr>
              <w:t>3500元/ha</w:t>
            </w:r>
          </w:p>
        </w:tc>
        <w:tc>
          <w:tcPr>
            <w:tcW w:type="dxa" w:w="1350"/>
            <w:tcBorders>
              <w:top w:val="none" w:color="000000" w:sz="4"/>
              <w:left w:val="single" w:color="000000" w:sz="4"/>
              <w:bottom w:val="single" w:color="000000" w:sz="4"/>
              <w:right w:val="single" w:color="000000" w:sz="4"/>
            </w:tcBorders>
            <w:vAlign w:val="top"/>
          </w:tcPr>
          <w:p>
            <w:pPr>
              <w:jc w:val="center"/>
            </w:pPr>
            <w:r>
              <w:rPr>
                <w:sz w:val="21"/>
              </w:rPr>
              <w:t>4000元/ha</w:t>
            </w:r>
          </w:p>
        </w:tc>
      </w:tr>
    </w:tbl>
    <w:p/>
    <w:p>
      <w:pPr>
        <w:ind w:firstLine="480"/>
      </w:pPr>
    </w:p>
    <w:p/>
    <w:p>
      <w:r>
        <w:rPr/>
        <w:t>采购包1（中山火炬开发区（含民众街道）2023年采购规划论证服务项目(二次)）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自合同约定生效之日起一年止或预算金额用完即止（按实际结算为准）。</w:t>
            </w:r>
          </w:p>
        </w:tc>
      </w:tr>
      <w:tr>
        <w:tc>
          <w:tcPr>
            <w:tcW w:type="dxa" w:w="4153"/>
          </w:tcPr>
          <w:p>
            <w:r>
              <w:rPr/>
              <w:t>标的提供的地点</w:t>
            </w:r>
          </w:p>
        </w:tc>
        <w:tc>
          <w:tcPr>
            <w:tcW w:type="dxa" w:w="4153"/>
          </w:tcPr>
          <w:p/>
          <w:p>
            <w:r>
              <w:rPr/>
              <w:t>中山火炬开发区中山港街道及民众街道，以采购人指定地点为准。</w:t>
            </w:r>
          </w:p>
        </w:tc>
      </w:tr>
      <w:tr>
        <w:tc>
          <w:tcPr>
            <w:tcW w:type="dxa" w:w="4153"/>
          </w:tcPr>
          <w:p>
            <w:r>
              <w:rPr/>
              <w:t>付款方式</w:t>
            </w:r>
          </w:p>
        </w:tc>
        <w:tc>
          <w:tcPr>
            <w:tcW w:type="dxa" w:w="4153"/>
          </w:tcPr>
          <w:p/>
          <w:p/>
          <w:p>
            <w:r>
              <w:rPr/>
              <w:t>1期：支付比例20%,合同签订后，在收到项目开展的需求后，支付单个项目合同款的20%，用作项目前期调研、资料整理。</w:t>
            </w:r>
          </w:p>
          <w:p/>
          <w:p>
            <w:r>
              <w:rPr/>
              <w:t>2期：支付比例30%,详细规划方案完成，并通过部门联合审查和专家评审时，支付单个项目合同款的30%。</w:t>
            </w:r>
          </w:p>
          <w:p/>
          <w:p>
            <w:r>
              <w:rPr/>
              <w:t>3期：支付比例30%,规划成果经采购人验收合格，中标人按要求提供成果时，支付余下单个项目合同款的30%。</w:t>
            </w:r>
          </w:p>
          <w:p/>
          <w:p>
            <w:r>
              <w:rPr/>
              <w:t>4期：支付比例20%,提交全部正式成果，办理成果入库，并报自然资源主管部门盖章确认，支付余下单个项目合同款的20%。 备注：双方可委托银行代付代收有关费用。本项目总费用包括现场勘察费、调研费、资料费、设计费、方案修改费、公示费、专家评审费、差旅费、公布费及打印费等在内的含税价格。</w:t>
            </w:r>
          </w:p>
        </w:tc>
      </w:tr>
      <w:tr>
        <w:tc>
          <w:tcPr>
            <w:tcW w:type="dxa" w:w="4153"/>
          </w:tcPr>
          <w:p>
            <w:r>
              <w:rPr/>
              <w:t>验收要求</w:t>
            </w:r>
          </w:p>
        </w:tc>
        <w:tc>
          <w:tcPr>
            <w:tcW w:type="dxa" w:w="4153"/>
          </w:tcPr>
          <w:p/>
          <w:p/>
          <w:p/>
          <w:p>
            <w:r>
              <w:rPr/>
              <w:t>1期：按照招标文件、采购合同、投标文件及技术规范等要求按时完成采购任务并验收合格（根据采购人验收合格后，提交全部正式成果，配合采购人在主要媒体公布（如需），并报自然资源主管部门盖章确认）。</w:t>
            </w:r>
          </w:p>
        </w:tc>
      </w:tr>
      <w:tr>
        <w:tc>
          <w:tcPr>
            <w:tcW w:type="dxa" w:w="4153"/>
          </w:tcPr>
          <w:p>
            <w:r>
              <w:rPr/>
              <w:t>履约保证金</w:t>
            </w:r>
          </w:p>
        </w:tc>
        <w:tc>
          <w:tcPr>
            <w:tcW w:type="dxa" w:w="4153"/>
          </w:tcPr>
          <w:p/>
          <w:p/>
          <w:p/>
          <w:p/>
          <w:p>
            <w:r>
              <w:rPr/>
              <w:t>收取比例：5%,说明：根据《中山市关于进一步优化政府采购营商环境若干措施》的通知，符合中小企业资格的中标人如在签订合同前提供中小企业承诺书不予收取。其他企业需于签订合同前向采购人支付预算金额5%的履约保证金或银行保函；履约服务期满，经考核合格，履约保证金不计利息一次性返还。</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参照《广东省城市规划收费标准的建议（2004年）》（见项目概况第16点）收费标准的基础上按8折进行计费（计费的规划面积按建设用地进行统计），其中中山港街道范围按城市一般地区、民众街道按城市新区、开发区计费。各项目单独开展，独立结算。 1.投标报价为：折扣率（%）（精确到小数点后两位），投标人根据《广东省城市规划收费标准的建议（2004年）》收费标准，自行权衡投标风险，统一以折扣率报价。本项目最高投标上限价为95.00%，超过最高上限价为无效报价。 2.结算公式：结算价格＝费用标准×80%×折扣率。例如服务单位所报的折扣率为95.00%，当服务单位完成指定的规划论证工作后，按《广东省城市规划收费标准的建议（2004年）》收费标准计算的服务费为10000.00元，实际结算价格为7600.00元。 3.本项目报价内容已包含项目所需的场地费、公示费、设备费、耗材费、工作人员的工资费、专家评审费、差旅费、材料费、保险费、航拍费、论证所需的一切费用、相关管理费及税费等合同实施过程中的应预见和不可预见费用等完成本采购内容所需的一切费用，采购人不再另行支付其他费用。  投标人必须自行考虑在本项目服务实施期间的一切可能产生的费用，在项目的实施过程中，采购人除了支付合同规定的款项外，一切合同规定外的费用将拒绝支付。</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其他服务</w:t>
            </w:r>
          </w:p>
        </w:tc>
        <w:tc>
          <w:tcPr>
            <w:tcW w:type="dxa" w:w="831"/>
          </w:tcPr>
          <w:p>
            <w:pPr>
              <w:jc w:val="left"/>
            </w:pPr>
            <w:r>
              <w:rPr/>
              <w:t>中山火炬开发区（含民众街道）2023年采购规划论证服务项目(二次)</w:t>
            </w:r>
          </w:p>
        </w:tc>
        <w:tc>
          <w:tcPr>
            <w:tcW w:type="dxa" w:w="831"/>
          </w:tcPr>
          <w:p>
            <w:pPr>
              <w:jc w:val="left"/>
            </w:pPr>
            <w:r>
              <w:rPr/>
              <w:t>项</w:t>
            </w:r>
          </w:p>
        </w:tc>
        <w:tc>
          <w:tcPr>
            <w:tcW w:type="dxa" w:w="831"/>
          </w:tcPr>
          <w:p>
            <w:pPr>
              <w:jc w:val="right"/>
            </w:pPr>
            <w:r>
              <w:rPr/>
              <w:t>1.00</w:t>
            </w:r>
          </w:p>
        </w:tc>
        <w:tc>
          <w:tcPr>
            <w:tcW w:type="dxa" w:w="831"/>
          </w:tcPr>
          <w:p>
            <w:pPr>
              <w:jc w:val="right"/>
            </w:pPr>
            <w:r>
              <w:rPr/>
              <w:t>1,000,000.00</w:t>
            </w:r>
          </w:p>
        </w:tc>
        <w:tc>
          <w:tcPr>
            <w:tcW w:type="dxa" w:w="831"/>
          </w:tcPr>
          <w:p>
            <w:pPr>
              <w:jc w:val="right"/>
            </w:pPr>
            <w:r>
              <w:rPr/>
              <w:t>1,000,000.00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中山火炬开发区（含民众街道）2023年采购规划论证服务项目(二次)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p>
          <w:p>
            <w:pPr>
              <w:jc w:val="both"/>
            </w:pPr>
            <w:r>
              <w:rPr>
                <w:sz w:val="21"/>
              </w:rPr>
              <w:t>1</w:t>
            </w:r>
            <w:r>
              <w:rPr>
                <w:sz w:val="21"/>
              </w:rPr>
              <w:t>.1.</w:t>
            </w:r>
            <w:r>
              <w:rPr>
                <w:sz w:val="21"/>
              </w:rPr>
              <w:t>征拆规划论证范围：中山火炬开发区中山港街道及民众街道，以拟征收地块为目标</w:t>
            </w:r>
            <w:r>
              <w:rPr>
                <w:sz w:val="21"/>
              </w:rPr>
              <w:t>；</w:t>
            </w:r>
          </w:p>
          <w:p>
            <w:pPr>
              <w:jc w:val="both"/>
            </w:pPr>
            <w:r>
              <w:rPr>
                <w:sz w:val="21"/>
              </w:rPr>
              <w:t>1</w:t>
            </w:r>
            <w:r>
              <w:rPr>
                <w:sz w:val="21"/>
              </w:rPr>
              <w:t>.2.</w:t>
            </w:r>
            <w:r>
              <w:rPr>
                <w:sz w:val="21"/>
              </w:rPr>
              <w:t>工作内容及要求：</w:t>
            </w:r>
          </w:p>
          <w:p>
            <w:pPr>
              <w:jc w:val="both"/>
            </w:pPr>
            <w:r>
              <w:rPr>
                <w:sz w:val="21"/>
              </w:rPr>
              <w:t>1</w:t>
            </w:r>
            <w:r>
              <w:rPr>
                <w:sz w:val="21"/>
              </w:rPr>
              <w:t>.2.1</w:t>
            </w:r>
            <w:r>
              <w:rPr>
                <w:sz w:val="21"/>
              </w:rPr>
              <w:t>通过分析项目地块结合片区内相关规划要求，分析项目地块规划开发建设的合理性及可行性，对项目地块具备规划开发建设合理性条件依据进行分析以及对项目地块用地红线范围内，在考虑道路占压、建筑红线退让等指标，剩余用地可建面积是否满足建筑工程设计技术可行性，出具用地规划论证报告</w:t>
            </w:r>
            <w:r>
              <w:rPr>
                <w:sz w:val="21"/>
              </w:rPr>
              <w:t>；</w:t>
            </w:r>
          </w:p>
          <w:p>
            <w:pPr>
              <w:jc w:val="both"/>
            </w:pPr>
            <w:r>
              <w:rPr>
                <w:sz w:val="21"/>
              </w:rPr>
              <w:t>1</w:t>
            </w:r>
            <w:r>
              <w:rPr>
                <w:sz w:val="21"/>
              </w:rPr>
              <w:t>.2.2</w:t>
            </w:r>
            <w:r>
              <w:rPr>
                <w:sz w:val="21"/>
              </w:rPr>
              <w:t>现状概况分析。包括但不限于项目地块土地利用现状、项目地块公服设施现状、项目地块市政设施现状、项目地块权属等</w:t>
            </w:r>
            <w:r>
              <w:rPr>
                <w:sz w:val="21"/>
              </w:rPr>
              <w:t>；</w:t>
            </w:r>
          </w:p>
          <w:p>
            <w:r>
              <w:rPr>
                <w:sz w:val="21"/>
              </w:rPr>
              <w:t>1</w:t>
            </w:r>
            <w:r>
              <w:rPr>
                <w:sz w:val="21"/>
              </w:rPr>
              <w:t>.2.3</w:t>
            </w:r>
            <w:r>
              <w:rPr>
                <w:sz w:val="21"/>
              </w:rPr>
              <w:t>安置地论证。为推进区域基础设施建设，加快城市化进程，解决街道居民安置问题，根据采购人的要求，对规划地块的用地范围、性质、指标等规划条件进行明确，为下一步的建设提供技术支持</w:t>
            </w:r>
            <w:r>
              <w:rPr>
                <w:sz w:val="21"/>
              </w:rPr>
              <w:t>；</w:t>
            </w:r>
          </w:p>
          <w:p>
            <w:pPr>
              <w:jc w:val="both"/>
            </w:pPr>
            <w:r>
              <w:rPr>
                <w:sz w:val="21"/>
              </w:rPr>
              <w:t>1</w:t>
            </w:r>
            <w:r>
              <w:rPr>
                <w:sz w:val="21"/>
              </w:rPr>
              <w:t>.2.4</w:t>
            </w:r>
            <w:r>
              <w:rPr>
                <w:sz w:val="21"/>
              </w:rPr>
              <w:t>方案论证。根据建设项目的占压用地情况、地块规划发展定位、开发建设可行性等方面对初步征拆范围内的地块进行分析研判。通过分析、论证项目用地地块依据规划开发的合理性和可能性，并同步分析地块建设对周边交通、市政、公服等配套设施的影响，以及剩余地块建筑布局可行性，判定项目用地建设对于片区发展定位和目标起到的作用，为政府针对性处置项目用地提供技术支撑</w:t>
            </w:r>
            <w:r>
              <w:rPr>
                <w:sz w:val="21"/>
              </w:rPr>
              <w:t>；</w:t>
            </w:r>
          </w:p>
          <w:p>
            <w:pPr>
              <w:jc w:val="both"/>
            </w:pPr>
            <w:r>
              <w:rPr>
                <w:sz w:val="21"/>
              </w:rPr>
              <w:t>1</w:t>
            </w:r>
            <w:r>
              <w:rPr>
                <w:sz w:val="21"/>
              </w:rPr>
              <w:t>.2.5</w:t>
            </w:r>
            <w:r>
              <w:rPr>
                <w:sz w:val="21"/>
              </w:rPr>
              <w:t>规划设计方案。根据采购人的要求，依据中山市的相关技术规范，形成规划设计方案</w:t>
            </w:r>
            <w:r>
              <w:rPr>
                <w:sz w:val="21"/>
              </w:rPr>
              <w:t>；</w:t>
            </w:r>
          </w:p>
          <w:p>
            <w:pPr>
              <w:jc w:val="both"/>
            </w:pPr>
            <w:r>
              <w:rPr>
                <w:sz w:val="21"/>
              </w:rPr>
              <w:t>1</w:t>
            </w:r>
            <w:r>
              <w:rPr>
                <w:sz w:val="21"/>
              </w:rPr>
              <w:t>.2.6</w:t>
            </w:r>
            <w:r>
              <w:rPr>
                <w:sz w:val="21"/>
              </w:rPr>
              <w:t>结论与建议。结合项目地块现状建设情况、项目地块周边建设情况、规划符合性分析等进行综合分析论证，出具项目地块建筑工程技术可行性分析结论，得出项目红线范围外剩余地块是否适宜开发建设，建议是否一并征收</w:t>
            </w:r>
            <w:r>
              <w:rPr>
                <w:sz w:val="21"/>
              </w:rPr>
              <w:t>。</w:t>
            </w:r>
          </w:p>
          <w:p>
            <w:pPr>
              <w:jc w:val="both"/>
            </w:pPr>
            <w:r>
              <w:rPr>
                <w:sz w:val="21"/>
              </w:rPr>
              <w:t>1</w:t>
            </w:r>
            <w:r>
              <w:rPr>
                <w:sz w:val="21"/>
              </w:rPr>
              <w:t>.3.</w:t>
            </w:r>
            <w:r>
              <w:rPr>
                <w:sz w:val="21"/>
              </w:rPr>
              <w:t>配合服务</w:t>
            </w:r>
          </w:p>
          <w:p>
            <w:pPr>
              <w:jc w:val="both"/>
            </w:pPr>
            <w:r>
              <w:rPr>
                <w:sz w:val="21"/>
              </w:rPr>
              <w:t>1</w:t>
            </w:r>
            <w:r>
              <w:rPr>
                <w:sz w:val="21"/>
              </w:rPr>
              <w:t>.3.1</w:t>
            </w:r>
            <w:r>
              <w:rPr>
                <w:sz w:val="21"/>
              </w:rPr>
              <w:t>及时制作与项目相关的文本成果和有关汇报材料。按采购人要求提供与本项目相关的服务</w:t>
            </w:r>
            <w:r>
              <w:rPr>
                <w:sz w:val="21"/>
              </w:rPr>
              <w:t>；</w:t>
            </w:r>
          </w:p>
          <w:p>
            <w:pPr>
              <w:jc w:val="both"/>
            </w:pPr>
            <w:r>
              <w:rPr>
                <w:sz w:val="21"/>
              </w:rPr>
              <w:t>1</w:t>
            </w:r>
            <w:r>
              <w:rPr>
                <w:sz w:val="21"/>
              </w:rPr>
              <w:t>.3.2</w:t>
            </w:r>
            <w:r>
              <w:rPr>
                <w:sz w:val="21"/>
              </w:rPr>
              <w:t>中标人应根据采购人需要，派员参与项目方案的介绍，项目成果编制完成后，中标人应协助采购人做好规划的技术解决工作。</w:t>
            </w:r>
          </w:p>
          <w:p>
            <w:pPr>
              <w:jc w:val="both"/>
            </w:pPr>
            <w:r>
              <w:rPr>
                <w:sz w:val="21"/>
              </w:rPr>
              <w:t>1</w:t>
            </w:r>
            <w:r>
              <w:rPr>
                <w:sz w:val="21"/>
              </w:rPr>
              <w:t>.4.</w:t>
            </w:r>
            <w:r>
              <w:rPr>
                <w:sz w:val="21"/>
              </w:rPr>
              <w:t>规划论证成果</w:t>
            </w:r>
          </w:p>
          <w:p>
            <w:pPr>
              <w:jc w:val="both"/>
            </w:pPr>
            <w:r>
              <w:rPr>
                <w:sz w:val="21"/>
              </w:rPr>
              <w:t>1</w:t>
            </w:r>
            <w:r>
              <w:rPr>
                <w:sz w:val="21"/>
              </w:rPr>
              <w:t>.4.1</w:t>
            </w:r>
            <w:r>
              <w:rPr>
                <w:sz w:val="21"/>
              </w:rPr>
              <w:t>各阶段纸质成果</w:t>
            </w:r>
            <w:r>
              <w:rPr>
                <w:sz w:val="21"/>
              </w:rPr>
              <w:t>8</w:t>
            </w:r>
            <w:r>
              <w:rPr>
                <w:sz w:val="21"/>
              </w:rPr>
              <w:t>套</w:t>
            </w:r>
            <w:r>
              <w:rPr>
                <w:sz w:val="21"/>
              </w:rPr>
              <w:t>；</w:t>
            </w:r>
          </w:p>
          <w:p>
            <w:r>
              <w:rPr>
                <w:sz w:val="21"/>
              </w:rPr>
              <w:t>1</w:t>
            </w:r>
            <w:r>
              <w:rPr>
                <w:sz w:val="21"/>
              </w:rPr>
              <w:t>.4.2</w:t>
            </w:r>
            <w:r>
              <w:rPr>
                <w:sz w:val="21"/>
              </w:rPr>
              <w:t>各阶段成果提交电子光盘</w:t>
            </w:r>
            <w:r>
              <w:rPr>
                <w:sz w:val="21"/>
              </w:rPr>
              <w:t>1</w:t>
            </w:r>
            <w:r>
              <w:rPr>
                <w:sz w:val="21"/>
              </w:rPr>
              <w:t>套。文本为</w:t>
            </w:r>
            <w:r>
              <w:rPr>
                <w:sz w:val="21"/>
              </w:rPr>
              <w:t>DOC/PDF</w:t>
            </w:r>
            <w:r>
              <w:rPr>
                <w:sz w:val="21"/>
              </w:rPr>
              <w:t>格式；图纸为</w:t>
            </w:r>
            <w:r>
              <w:rPr>
                <w:sz w:val="21"/>
              </w:rPr>
              <w:t>JPG</w:t>
            </w:r>
            <w:r>
              <w:rPr>
                <w:sz w:val="21"/>
              </w:rPr>
              <w:t>格式和</w:t>
            </w:r>
            <w:r>
              <w:rPr>
                <w:sz w:val="21"/>
              </w:rPr>
              <w:t>DWG</w:t>
            </w:r>
            <w:r>
              <w:rPr>
                <w:sz w:val="21"/>
              </w:rPr>
              <w:t>格式；现状调研资料图片（包括航拍）为</w:t>
            </w:r>
            <w:r>
              <w:rPr>
                <w:sz w:val="21"/>
              </w:rPr>
              <w:t>JPG</w:t>
            </w:r>
            <w:r>
              <w:rPr>
                <w:sz w:val="21"/>
              </w:rPr>
              <w:t>格式，扫描文件为</w:t>
            </w:r>
            <w:r>
              <w:rPr>
                <w:sz w:val="21"/>
              </w:rPr>
              <w:t>PDF</w:t>
            </w:r>
            <w:r>
              <w:rPr>
                <w:sz w:val="21"/>
              </w:rPr>
              <w:t>或</w:t>
            </w:r>
            <w:r>
              <w:rPr>
                <w:sz w:val="21"/>
              </w:rPr>
              <w:t>JPG</w:t>
            </w:r>
            <w:r>
              <w:rPr>
                <w:sz w:val="21"/>
              </w:rPr>
              <w:t>格式</w:t>
            </w:r>
            <w:r>
              <w:rPr>
                <w:sz w:val="21"/>
              </w:rPr>
              <w:t>。</w:t>
            </w:r>
          </w:p>
          <w:p>
            <w:pPr>
              <w:jc w:val="both"/>
            </w:pPr>
            <w:r>
              <w:rPr>
                <w:sz w:val="21"/>
              </w:rPr>
              <w:t>1</w:t>
            </w:r>
            <w:r>
              <w:rPr>
                <w:sz w:val="21"/>
              </w:rPr>
              <w:t>.5.</w:t>
            </w:r>
            <w:r>
              <w:rPr>
                <w:sz w:val="21"/>
              </w:rPr>
              <w:t>中标人根据《中华人民共和国城乡规划法》和《城市规划编制方法》和采购人规划要求的内容和深度，按时保质完成规划成果</w:t>
            </w:r>
            <w:r>
              <w:rPr>
                <w:sz w:val="21"/>
              </w:rPr>
              <w:t>；</w:t>
            </w:r>
          </w:p>
          <w:p>
            <w:pPr>
              <w:jc w:val="both"/>
            </w:pPr>
            <w:r>
              <w:rPr>
                <w:sz w:val="21"/>
              </w:rPr>
              <w:t>1</w:t>
            </w:r>
            <w:r>
              <w:rPr>
                <w:sz w:val="21"/>
              </w:rPr>
              <w:t>.6.</w:t>
            </w:r>
            <w:r>
              <w:rPr>
                <w:sz w:val="21"/>
              </w:rPr>
              <w:t>由于中标人自身原因，延误了成果文件交付时间，每延误一天，应减收该项目总设计费的千分之二，累计最高赔偿总额以服务费总额</w:t>
            </w:r>
            <w:r>
              <w:rPr>
                <w:sz w:val="21"/>
              </w:rPr>
              <w:t>(</w:t>
            </w:r>
            <w:r>
              <w:rPr>
                <w:sz w:val="21"/>
              </w:rPr>
              <w:t>不包括税金</w:t>
            </w:r>
            <w:r>
              <w:rPr>
                <w:sz w:val="21"/>
              </w:rPr>
              <w:t>)</w:t>
            </w:r>
            <w:r>
              <w:rPr>
                <w:sz w:val="21"/>
              </w:rPr>
              <w:t>为限</w:t>
            </w:r>
            <w:r>
              <w:rPr>
                <w:sz w:val="21"/>
              </w:rPr>
              <w:t>；</w:t>
            </w:r>
          </w:p>
          <w:p>
            <w:pPr>
              <w:jc w:val="both"/>
            </w:pPr>
            <w:r>
              <w:rPr>
                <w:sz w:val="21"/>
              </w:rPr>
              <w:t>1</w:t>
            </w:r>
            <w:r>
              <w:rPr>
                <w:sz w:val="21"/>
              </w:rPr>
              <w:t>.7.</w:t>
            </w:r>
            <w:r>
              <w:rPr>
                <w:sz w:val="21"/>
              </w:rPr>
              <w:t>中标人不得向第三方扩散、转让采购人提交的产品图纸等技术经济资料，中标人不得提交错误、不合格的规划条件论证报告。如发生以上情况，采购人有权索赔并解除合同。中标人应当赔偿采购人违约金</w:t>
            </w:r>
            <w:r>
              <w:rPr>
                <w:sz w:val="21"/>
              </w:rPr>
              <w:t>10</w:t>
            </w:r>
            <w:r>
              <w:rPr>
                <w:sz w:val="21"/>
              </w:rPr>
              <w:t>万元，违约金不足以赔偿采购人损失的，中标人应赔偿采购人全部经济损失</w:t>
            </w:r>
            <w:r>
              <w:rPr>
                <w:sz w:val="21"/>
              </w:rPr>
              <w:t>；</w:t>
            </w:r>
          </w:p>
          <w:p>
            <w:pPr>
              <w:jc w:val="both"/>
            </w:pPr>
            <w:r>
              <w:rPr>
                <w:sz w:val="21"/>
              </w:rPr>
              <w:t>1</w:t>
            </w:r>
            <w:r>
              <w:rPr>
                <w:sz w:val="21"/>
              </w:rPr>
              <w:t>.8.</w:t>
            </w:r>
            <w:r>
              <w:rPr>
                <w:sz w:val="21"/>
              </w:rPr>
              <w:t>项目保密要求</w:t>
            </w:r>
          </w:p>
          <w:p>
            <w:pPr>
              <w:jc w:val="both"/>
            </w:pPr>
            <w:r>
              <w:rPr>
                <w:sz w:val="21"/>
              </w:rPr>
              <w:t>1</w:t>
            </w:r>
            <w:r>
              <w:rPr>
                <w:sz w:val="21"/>
              </w:rPr>
              <w:t>.8.1.</w:t>
            </w:r>
            <w:r>
              <w:rPr>
                <w:sz w:val="21"/>
              </w:rPr>
              <w:t>保密内容：与本项目有关的全部资料，包括但不限于数据、个人信息、文字资料、图纸、技术文档等</w:t>
            </w:r>
            <w:r>
              <w:rPr>
                <w:sz w:val="21"/>
              </w:rPr>
              <w:t>；</w:t>
            </w:r>
          </w:p>
          <w:p>
            <w:r>
              <w:rPr>
                <w:sz w:val="21"/>
              </w:rPr>
              <w:t>1</w:t>
            </w:r>
            <w:r>
              <w:rPr>
                <w:sz w:val="21"/>
              </w:rPr>
              <w:t>.8.2.</w:t>
            </w:r>
            <w:r>
              <w:rPr>
                <w:sz w:val="21"/>
              </w:rPr>
              <w:t>涉密人员范围：双方参与本项目的所有有关人员</w:t>
            </w:r>
            <w:r>
              <w:rPr>
                <w:sz w:val="21"/>
              </w:rPr>
              <w:t>；</w:t>
            </w:r>
          </w:p>
          <w:p>
            <w:r>
              <w:rPr>
                <w:sz w:val="21"/>
              </w:rPr>
              <w:t>1</w:t>
            </w:r>
            <w:r>
              <w:rPr>
                <w:sz w:val="21"/>
              </w:rPr>
              <w:t>.8.3.</w:t>
            </w:r>
            <w:r>
              <w:rPr>
                <w:sz w:val="21"/>
              </w:rPr>
              <w:t>保密期限：长期。不论本项目政府采购合同是否变更、解除或终止，合同关于保密的条款将持续有效。合同解除或者终止时，掌握相关方保密内容的合同各方应将相关方提交的载有保密内容的信息资料归还相关方，并从全部有关记忆装置中删除相关方的保密内容，并且不得继续使用</w:t>
            </w:r>
            <w:r>
              <w:rPr>
                <w:sz w:val="21"/>
              </w:rPr>
              <w:t>；</w:t>
            </w:r>
          </w:p>
          <w:p>
            <w:r>
              <w:rPr>
                <w:sz w:val="21"/>
              </w:rPr>
              <w:t>1</w:t>
            </w:r>
            <w:r>
              <w:rPr>
                <w:sz w:val="21"/>
              </w:rPr>
              <w:t>.8.4.</w:t>
            </w:r>
            <w:r>
              <w:rPr>
                <w:sz w:val="21"/>
              </w:rPr>
              <w:t>泄密责任：中标人及其工作人员不得私自保留和提供、泄漏给任何第三方，否则，采购人可按国家有关保密的法律、法规等追究泄密者责任，并有权要求</w:t>
            </w:r>
            <w:r>
              <w:rPr>
                <w:sz w:val="21"/>
              </w:rPr>
              <w:t>中标人</w:t>
            </w:r>
            <w:r>
              <w:rPr>
                <w:sz w:val="21"/>
              </w:rPr>
              <w:t>对因泄密造成的损失承担赔偿责任。</w:t>
            </w:r>
          </w:p>
          <w:p>
            <w:pPr>
              <w:jc w:val="both"/>
            </w:pPr>
            <w:r>
              <w:rPr>
                <w:sz w:val="21"/>
              </w:rPr>
              <w:t>1</w:t>
            </w:r>
            <w:r>
              <w:rPr>
                <w:sz w:val="21"/>
              </w:rPr>
              <w:t>.9.</w:t>
            </w:r>
            <w:r>
              <w:rPr>
                <w:sz w:val="21"/>
              </w:rPr>
              <w:t>规划设计依据</w:t>
            </w:r>
          </w:p>
          <w:p>
            <w:pPr>
              <w:jc w:val="both"/>
            </w:pPr>
            <w:r>
              <w:rPr>
                <w:sz w:val="21"/>
              </w:rPr>
              <w:t>1</w:t>
            </w:r>
            <w:r>
              <w:rPr>
                <w:sz w:val="21"/>
              </w:rPr>
              <w:t>.9.1</w:t>
            </w:r>
            <w:r>
              <w:rPr>
                <w:sz w:val="21"/>
              </w:rPr>
              <w:t>主要法律、法规</w:t>
            </w:r>
          </w:p>
          <w:p>
            <w:pPr>
              <w:jc w:val="both"/>
            </w:pPr>
            <w:r>
              <w:rPr>
                <w:sz w:val="21"/>
              </w:rPr>
              <w:t>《中华人民共和国城乡规划法》（</w:t>
            </w:r>
            <w:r>
              <w:rPr>
                <w:sz w:val="21"/>
              </w:rPr>
              <w:t>2019</w:t>
            </w:r>
            <w:r>
              <w:rPr>
                <w:sz w:val="21"/>
              </w:rPr>
              <w:t>年修正）；</w:t>
            </w:r>
          </w:p>
          <w:p>
            <w:pPr>
              <w:jc w:val="both"/>
            </w:pPr>
            <w:r>
              <w:rPr>
                <w:sz w:val="21"/>
              </w:rPr>
              <w:t>《城市用地分类与规划建设用地标准》（</w:t>
            </w:r>
            <w:r>
              <w:rPr>
                <w:sz w:val="21"/>
              </w:rPr>
              <w:t>GB50137</w:t>
            </w:r>
            <w:r>
              <w:rPr>
                <w:sz w:val="21"/>
              </w:rPr>
              <w:t>—</w:t>
            </w:r>
            <w:r>
              <w:rPr>
                <w:sz w:val="21"/>
              </w:rPr>
              <w:t>2011</w:t>
            </w:r>
            <w:r>
              <w:rPr>
                <w:sz w:val="21"/>
              </w:rPr>
              <w:t>）</w:t>
            </w:r>
            <w:r>
              <w:rPr>
                <w:sz w:val="21"/>
              </w:rPr>
              <w:t>；</w:t>
            </w:r>
          </w:p>
          <w:p>
            <w:pPr>
              <w:jc w:val="both"/>
            </w:pPr>
            <w:r>
              <w:rPr>
                <w:sz w:val="21"/>
              </w:rPr>
              <w:t>《中山市城乡规划管理电子数据标准》（</w:t>
            </w:r>
            <w:r>
              <w:rPr>
                <w:sz w:val="21"/>
              </w:rPr>
              <w:t>2019</w:t>
            </w:r>
            <w:r>
              <w:rPr>
                <w:sz w:val="21"/>
              </w:rPr>
              <w:t>年）</w:t>
            </w:r>
            <w:r>
              <w:rPr>
                <w:sz w:val="21"/>
              </w:rPr>
              <w:t>；</w:t>
            </w:r>
          </w:p>
          <w:p>
            <w:pPr>
              <w:jc w:val="both"/>
            </w:pPr>
            <w:r>
              <w:rPr>
                <w:sz w:val="21"/>
              </w:rPr>
              <w:t>《城市居住区规划设计标准》</w:t>
            </w:r>
            <w:r>
              <w:rPr>
                <w:sz w:val="21"/>
              </w:rPr>
              <w:t>；</w:t>
            </w:r>
          </w:p>
          <w:p>
            <w:pPr>
              <w:jc w:val="both"/>
            </w:pPr>
            <w:r>
              <w:rPr>
                <w:sz w:val="21"/>
              </w:rPr>
              <w:t>《社区生活圈规划技术指南》</w:t>
            </w:r>
            <w:r>
              <w:rPr>
                <w:sz w:val="21"/>
              </w:rPr>
              <w:t>；</w:t>
            </w:r>
          </w:p>
          <w:p>
            <w:pPr>
              <w:jc w:val="both"/>
            </w:pPr>
            <w:r>
              <w:rPr>
                <w:sz w:val="21"/>
              </w:rPr>
              <w:t>《广东省城乡规划条例》</w:t>
            </w:r>
            <w:r>
              <w:rPr>
                <w:sz w:val="21"/>
              </w:rPr>
              <w:t>；</w:t>
            </w:r>
          </w:p>
          <w:p>
            <w:pPr>
              <w:jc w:val="both"/>
            </w:pPr>
            <w:r>
              <w:rPr>
                <w:sz w:val="21"/>
              </w:rPr>
              <w:t>《中山市建设用地规划条件管理办法》</w:t>
            </w:r>
            <w:r>
              <w:rPr>
                <w:sz w:val="21"/>
              </w:rPr>
              <w:t>；</w:t>
            </w:r>
          </w:p>
          <w:p>
            <w:pPr>
              <w:jc w:val="both"/>
            </w:pPr>
            <w:r>
              <w:rPr>
                <w:sz w:val="21"/>
              </w:rPr>
              <w:t>《中山市控制性详细规划管理办法》</w:t>
            </w:r>
            <w:r>
              <w:rPr>
                <w:sz w:val="21"/>
              </w:rPr>
              <w:t>；</w:t>
            </w:r>
          </w:p>
          <w:p>
            <w:pPr>
              <w:jc w:val="both"/>
            </w:pPr>
            <w:r>
              <w:rPr>
                <w:sz w:val="21"/>
              </w:rPr>
              <w:t>《中山市控制性详细规划管理实施细则（试行）》</w:t>
            </w:r>
            <w:r>
              <w:rPr>
                <w:sz w:val="21"/>
              </w:rPr>
              <w:t>；</w:t>
            </w:r>
          </w:p>
          <w:p>
            <w:pPr>
              <w:jc w:val="both"/>
            </w:pPr>
            <w:r>
              <w:rPr>
                <w:sz w:val="21"/>
              </w:rPr>
              <w:t>《中山市城市规划技术标准与准则（</w:t>
            </w:r>
            <w:r>
              <w:rPr>
                <w:sz w:val="21"/>
              </w:rPr>
              <w:t>2016</w:t>
            </w:r>
            <w:r>
              <w:rPr>
                <w:sz w:val="21"/>
              </w:rPr>
              <w:t>年）》</w:t>
            </w:r>
            <w:r>
              <w:rPr>
                <w:sz w:val="21"/>
              </w:rPr>
              <w:t>；</w:t>
            </w:r>
          </w:p>
          <w:p>
            <w:pPr>
              <w:jc w:val="both"/>
            </w:pPr>
            <w:r>
              <w:rPr>
                <w:sz w:val="21"/>
              </w:rPr>
              <w:t>1</w:t>
            </w:r>
            <w:r>
              <w:rPr>
                <w:sz w:val="21"/>
              </w:rPr>
              <w:t>.9.2</w:t>
            </w:r>
            <w:r>
              <w:rPr>
                <w:sz w:val="21"/>
              </w:rPr>
              <w:t>主要上位</w:t>
            </w:r>
            <w:r>
              <w:rPr>
                <w:sz w:val="21"/>
              </w:rPr>
              <w:t>规划</w:t>
            </w:r>
            <w:r>
              <w:rPr>
                <w:sz w:val="21"/>
              </w:rPr>
              <w:t>及相关规划</w:t>
            </w:r>
          </w:p>
          <w:p>
            <w:pPr>
              <w:jc w:val="both"/>
            </w:pPr>
            <w:r>
              <w:rPr>
                <w:sz w:val="21"/>
              </w:rPr>
              <w:t>《中山市土地利用总体规划（</w:t>
            </w:r>
            <w:r>
              <w:rPr>
                <w:sz w:val="21"/>
              </w:rPr>
              <w:t>2006-2020</w:t>
            </w:r>
            <w:r>
              <w:rPr>
                <w:sz w:val="21"/>
              </w:rPr>
              <w:t>年）》</w:t>
            </w:r>
            <w:r>
              <w:rPr>
                <w:sz w:val="21"/>
              </w:rPr>
              <w:t>；</w:t>
            </w:r>
          </w:p>
          <w:p>
            <w:pPr>
              <w:jc w:val="both"/>
            </w:pPr>
            <w:r>
              <w:rPr>
                <w:sz w:val="21"/>
              </w:rPr>
              <w:t>《中山市城市总体规划（</w:t>
            </w:r>
            <w:r>
              <w:rPr>
                <w:sz w:val="21"/>
              </w:rPr>
              <w:t>2010-2020</w:t>
            </w:r>
            <w:r>
              <w:rPr>
                <w:sz w:val="21"/>
              </w:rPr>
              <w:t>）》</w:t>
            </w:r>
            <w:r>
              <w:rPr>
                <w:sz w:val="21"/>
              </w:rPr>
              <w:t>；</w:t>
            </w:r>
          </w:p>
          <w:p>
            <w:pPr>
              <w:jc w:val="both"/>
            </w:pPr>
            <w:r>
              <w:rPr>
                <w:sz w:val="21"/>
              </w:rPr>
              <w:t>《中山市国土空间总体规划（</w:t>
            </w:r>
            <w:r>
              <w:rPr>
                <w:sz w:val="21"/>
              </w:rPr>
              <w:t>2020-2035</w:t>
            </w:r>
            <w:r>
              <w:rPr>
                <w:sz w:val="21"/>
              </w:rPr>
              <w:t>年）》（在编）；</w:t>
            </w:r>
          </w:p>
          <w:p>
            <w:pPr>
              <w:jc w:val="both"/>
            </w:pPr>
            <w:r>
              <w:rPr>
                <w:sz w:val="21"/>
              </w:rPr>
              <w:t>《中山市域组团发展规划（</w:t>
            </w:r>
            <w:r>
              <w:rPr>
                <w:sz w:val="21"/>
              </w:rPr>
              <w:t>2017-2035</w:t>
            </w:r>
            <w:r>
              <w:rPr>
                <w:sz w:val="21"/>
              </w:rPr>
              <w:t>年）》</w:t>
            </w:r>
            <w:r>
              <w:rPr>
                <w:sz w:val="21"/>
              </w:rPr>
              <w:t>；</w:t>
            </w:r>
          </w:p>
          <w:p>
            <w:pPr>
              <w:jc w:val="both"/>
            </w:pPr>
            <w:r>
              <w:rPr>
                <w:sz w:val="21"/>
              </w:rPr>
              <w:t>《中山火炬开发区整体城市设计及发展单元规划大纲》</w:t>
            </w:r>
            <w:r>
              <w:rPr>
                <w:sz w:val="21"/>
              </w:rPr>
              <w:t>；</w:t>
            </w:r>
          </w:p>
          <w:p>
            <w:pPr>
              <w:jc w:val="both"/>
            </w:pPr>
            <w:r>
              <w:rPr>
                <w:sz w:val="21"/>
              </w:rPr>
              <w:t>《中山火炬开发区扩容提质行动规划暨火炬国家高技术开发区（产业园）城市设计》</w:t>
            </w:r>
            <w:r>
              <w:rPr>
                <w:sz w:val="21"/>
              </w:rPr>
              <w:t>；</w:t>
            </w:r>
          </w:p>
          <w:p>
            <w:pPr>
              <w:jc w:val="both"/>
            </w:pPr>
            <w:r>
              <w:rPr>
                <w:sz w:val="21"/>
              </w:rPr>
              <w:t>《中山市产业平台（民众园）城市设计》</w:t>
            </w:r>
            <w:r>
              <w:rPr>
                <w:sz w:val="21"/>
              </w:rPr>
              <w:t>；</w:t>
            </w:r>
          </w:p>
          <w:p>
            <w:pPr>
              <w:jc w:val="both"/>
            </w:pPr>
            <w:r>
              <w:rPr>
                <w:sz w:val="21"/>
              </w:rPr>
              <w:t>《民众镇产业新城概念规划及城市设计》</w:t>
            </w:r>
            <w:r>
              <w:rPr>
                <w:sz w:val="21"/>
              </w:rPr>
              <w:t>；</w:t>
            </w:r>
          </w:p>
          <w:p>
            <w:pPr>
              <w:jc w:val="both"/>
            </w:pPr>
            <w:r>
              <w:rPr>
                <w:sz w:val="21"/>
              </w:rPr>
              <w:t>《深中合作创新区综合规划及总体城市设计》（在编）</w:t>
            </w:r>
            <w:r>
              <w:rPr>
                <w:sz w:val="21"/>
              </w:rPr>
              <w:t>；</w:t>
            </w:r>
          </w:p>
          <w:p>
            <w:pPr>
              <w:jc w:val="both"/>
            </w:pPr>
            <w:r>
              <w:rPr>
                <w:sz w:val="21"/>
              </w:rPr>
              <w:t>相关企业及政府职能部门提供的其他相关资料。</w:t>
            </w:r>
          </w:p>
          <w:p>
            <w:pPr>
              <w:jc w:val="both"/>
            </w:pPr>
          </w:p>
        </w:tc>
      </w:tr>
      <w:tr>
        <w:tc>
          <w:tcPr>
            <w:tcW w:type="dxa" w:w="2076"/>
          </w:tcPr>
          <w:p/>
        </w:tc>
        <w:tc>
          <w:tcPr>
            <w:tcW w:type="dxa" w:w="415"/>
          </w:tcPr>
          <w:p>
            <w:r>
              <w:rPr/>
              <w:t>2</w:t>
            </w:r>
          </w:p>
        </w:tc>
        <w:tc>
          <w:tcPr>
            <w:tcW w:type="dxa" w:w="5814"/>
          </w:tcPr>
          <w:p>
            <w:pPr>
              <w:jc w:val="both"/>
            </w:pPr>
            <w:r>
              <w:rPr>
                <w:sz w:val="21"/>
              </w:rPr>
              <w:t>2</w:t>
            </w:r>
            <w:r>
              <w:rPr>
                <w:sz w:val="21"/>
              </w:rPr>
              <w:t>.</w:t>
            </w:r>
            <w:r>
              <w:rPr>
                <w:sz w:val="21"/>
              </w:rPr>
              <w:t>其他要求</w:t>
            </w:r>
          </w:p>
          <w:p>
            <w:r>
              <w:rPr>
                <w:sz w:val="21"/>
              </w:rPr>
              <w:t>2</w:t>
            </w:r>
            <w:r>
              <w:rPr>
                <w:sz w:val="21"/>
              </w:rPr>
              <w:t>.1.</w:t>
            </w:r>
            <w:r>
              <w:rPr>
                <w:sz w:val="21"/>
              </w:rPr>
              <w:t>中标人拟投入本项目的服务人员必须具备相应的经验和资历，确保人员充足，投标文件中需提供《拟投入人员一览表》，中标人签订合同时，需同时提交投入人员确认函（确认函中投入人员必须签字确认），投入人员确认函必须严格履行投标文件中拟投入设计服务的人员承诺，项目负责人更换一次（离职或重大疾病等不可抗拒因素除外）减扣合同金额的</w:t>
            </w:r>
            <w:r>
              <w:rPr>
                <w:sz w:val="21"/>
              </w:rPr>
              <w:t>20%</w:t>
            </w:r>
            <w:r>
              <w:rPr>
                <w:sz w:val="21"/>
              </w:rPr>
              <w:t>作为违约金，其他人员（不含项目负责人）（涉及商务评分中有得分的人员）更换一人（离职或重大疾病等不可抗拒因素除外）减扣合同金额的</w:t>
            </w:r>
            <w:r>
              <w:rPr>
                <w:sz w:val="21"/>
              </w:rPr>
              <w:t>10%</w:t>
            </w:r>
            <w:r>
              <w:rPr>
                <w:sz w:val="21"/>
              </w:rPr>
              <w:t>作为违约金。</w:t>
            </w:r>
          </w:p>
          <w:p>
            <w:r>
              <w:rPr>
                <w:sz w:val="21"/>
              </w:rPr>
              <w:t>2</w:t>
            </w:r>
            <w:r>
              <w:rPr>
                <w:sz w:val="21"/>
              </w:rPr>
              <w:t>.2.</w:t>
            </w:r>
            <w:r>
              <w:rPr>
                <w:sz w:val="21"/>
              </w:rPr>
              <w:t>设计原始资料：采购人提供本项目部分必要的资料，中标人需要与采购人签订关于使用该资料的保密协议。中标人应根据实际需要，自行收集或购买规划图及所涉及的其他图纸或资料，自费进行工程测量、研究试验及有关协调、调查和资料收集等工作。</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中山火炬高技术产业开发区城乡建设服务中心(土地房屋征收中心）</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采购包1：折扣率</w:t>
            </w:r>
          </w:p>
        </w:tc>
      </w:tr>
      <w:tr>
        <w:tc>
          <w:tcPr>
            <w:tcW w:type="dxa" w:w="1051"/>
          </w:tcPr>
          <w:p>
            <w:r>
              <w:rPr/>
              <w:t>6</w:t>
            </w:r>
          </w:p>
        </w:tc>
        <w:tc>
          <w:tcPr>
            <w:tcW w:type="dxa" w:w="2252"/>
          </w:tcPr>
          <w:p>
            <w:r>
              <w:rPr/>
              <w:t>报价要求</w:t>
            </w:r>
          </w:p>
        </w:tc>
        <w:tc>
          <w:tcPr>
            <w:tcW w:type="dxa" w:w="5004"/>
          </w:tcPr>
          <w:p/>
          <w:p>
            <w:r>
              <w:rPr/>
              <w:t>采购包1：0% - 95%</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本次采购向中标人收取招标代理服务费。参照国家发展计划委员会颁发的发改价格〔2015〕299号《国家发展改革委关于进一步放开建设项目专业服务价格的通知》规定，本次招标中标供应商须向采购代理机构缴交招标代理服务费金额为：¥6000.00元（大写：人民币陆仟元整）。</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三、采购标的对应的中小企业划分标准所属行业，其他未列明行业。</w:t>
            </w:r>
          </w:p>
          <w:p>
            <w:pPr>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 府采购质押融资业务的银行机构报备的联系方式如下：政府采购质押融资业务的银行机构联系人名单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www.crcrfsp.com）和中山市社会征信和金融服务一体化系统（网址：www.zsyt hxt.zs.gov.cn）向辖区内特定或非特 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火炬开发区（含民众街道）2023年采购规划论证服务项目(二次))：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采购包1（中山火炬开发区（含民众街道）2023年采购规划论证服务项目(二次)）：</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采购包1（中山火炬开发区（含民众街道）2023年采购规划论证服务项目(二次)）：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提供投标截止日前12个月内任意1个月依法缴纳税收和社会保障资金的相关材料（证明材料包括但不限于税务局出具的完税凭证、纳税申报表、公司或个人参保证明）。 如依法免税或不需要缴纳社会保障资金的， 提供相应证明材料或情况说明。</w:t>
            </w:r>
          </w:p>
        </w:tc>
      </w:tr>
      <w:tr>
        <w:tc>
          <w:tcPr>
            <w:tcW w:type="dxa" w:w="890"/>
          </w:tcPr>
          <w:p>
            <w:r>
              <w:rPr/>
              <w:t>3</w:t>
            </w:r>
          </w:p>
        </w:tc>
        <w:tc>
          <w:tcPr>
            <w:tcW w:type="dxa" w:w="3178"/>
          </w:tcPr>
          <w:p>
            <w:r>
              <w:rPr/>
              <w:t>具有良好的商业信誉和健全的财务会计制度</w:t>
            </w:r>
          </w:p>
        </w:tc>
        <w:tc>
          <w:tcPr>
            <w:tcW w:type="dxa" w:w="4238"/>
          </w:tcPr>
          <w:p>
            <w:r>
              <w:rPr/>
              <w:t>提供以下任意一种证明材料即可：①2021年度或2022年度财务状况报告（审计报告或年度财务报表）；②投标截止日前12个月内任意1个月或1个季度的财务报表复印件；③银行出具的资信证明材料复印件（注：财务报表至少需提供资产负债表、利润表）。</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请在投标文件里提供承诺或说明。</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本项目特定的资格要求</w:t>
            </w:r>
          </w:p>
        </w:tc>
        <w:tc>
          <w:tcPr>
            <w:tcW w:type="dxa" w:w="4238"/>
          </w:tcPr>
          <w:p>
            <w:r>
              <w:rPr/>
              <w:t>供应商须具备有效期内的城乡规划编制甲级资质（投标文件中提供资质证书复印件）。如由于机构改革导致无法续期资质证书的，供应商须同时提供“城市规划编制单位资质认定”查询系统（https://ghbzdw.mnr.gov.cn/webserver/app/publish_cxgh/index.html）的查询截图打印页，此种情况暂不对城乡规划编制资质有效期限作出要求。</w:t>
            </w:r>
          </w:p>
        </w:tc>
      </w:tr>
      <w:tr>
        <w:tc>
          <w:tcPr>
            <w:tcW w:type="dxa" w:w="890"/>
          </w:tcPr>
          <w:p>
            <w:r>
              <w:rPr/>
              <w:t>9</w:t>
            </w:r>
          </w:p>
        </w:tc>
        <w:tc>
          <w:tcPr>
            <w:tcW w:type="dxa" w:w="3178"/>
          </w:tcPr>
          <w:p>
            <w:r>
              <w:rPr/>
              <w:t>落实政府采购政策需满足的资格要求</w:t>
            </w:r>
          </w:p>
        </w:tc>
        <w:tc>
          <w:tcPr>
            <w:tcW w:type="dxa" w:w="4238"/>
          </w:tcPr>
          <w:p>
            <w:r>
              <w:rPr/>
              <w:t>本项目不属于专门面向中小微企业采购的项目。</w:t>
            </w:r>
          </w:p>
        </w:tc>
      </w:tr>
    </w:tbl>
    <w:p/>
    <w:p>
      <w:pPr>
        <w:ind w:firstLine="480"/>
      </w:pPr>
      <w:r>
        <w:rPr/>
        <w:t>表二符合性审查表：</w:t>
      </w:r>
    </w:p>
    <w:p>
      <w:pPr>
        <w:ind w:firstLine="480"/>
      </w:pPr>
    </w:p>
    <w:p/>
    <w:p>
      <w:r>
        <w:rPr/>
        <w:t>采购包1（中山火炬开发区（含民众街道）2023年采购规划论证服务项目(二次)）：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投标（报价）折扣率是固定价且是唯一的，不是负数或未超过投标报价上限价。</w:t>
            </w:r>
          </w:p>
        </w:tc>
      </w:tr>
      <w:tr>
        <w:tc>
          <w:tcPr>
            <w:tcW w:type="dxa" w:w="890"/>
          </w:tcPr>
          <w:p>
            <w:r>
              <w:rPr/>
              <w:t>5</w:t>
            </w:r>
          </w:p>
        </w:tc>
        <w:tc>
          <w:tcPr>
            <w:tcW w:type="dxa" w:w="3178"/>
          </w:tcPr>
          <w:p>
            <w:r>
              <w:rPr/>
              <w:t>实质性响应要求</w:t>
            </w:r>
          </w:p>
        </w:tc>
        <w:tc>
          <w:tcPr>
            <w:tcW w:type="dxa" w:w="4238"/>
          </w:tcPr>
          <w:p>
            <w:r>
              <w:rPr/>
              <w:t>实质性满足采购需求中付款方式、履约保证金、报价要求的条款要求。</w:t>
            </w:r>
          </w:p>
        </w:tc>
      </w:tr>
      <w:tr>
        <w:tc>
          <w:tcPr>
            <w:tcW w:type="dxa" w:w="890"/>
          </w:tcPr>
          <w:p>
            <w:r>
              <w:rPr/>
              <w:t>6</w:t>
            </w:r>
          </w:p>
        </w:tc>
        <w:tc>
          <w:tcPr>
            <w:tcW w:type="dxa" w:w="3178"/>
          </w:tcPr>
          <w:p>
            <w:r>
              <w:rPr/>
              <w:t>其他情形</w:t>
            </w:r>
          </w:p>
        </w:tc>
        <w:tc>
          <w:tcPr>
            <w:tcW w:type="dxa" w:w="4238"/>
          </w:tcPr>
          <w:p>
            <w:r>
              <w:rPr/>
              <w:t>无投标文件或法规明确规定可以废标的其他情形。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采购包1(中山火炬开发区（含民众街道）2023年采购规划论证服务项目(二次)):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技术部分60.0分</w:t>
            </w:r>
          </w:p>
          <w:p>
            <w:r>
              <w:rPr/>
              <w:t>报价得分10.0分</w:t>
            </w:r>
          </w:p>
        </w:tc>
      </w:tr>
      <w:tr>
        <w:tc>
          <w:tcPr>
            <w:tcW w:type="dxa" w:w="922"/>
            <w:gridSpan w:val="2"/>
            <w:vMerge w:val="restart"/>
          </w:tcPr>
          <w:p>
            <w:pPr>
              <w:jc w:val="center"/>
            </w:pPr>
            <w:r>
              <w:rPr/>
              <w:t>技术部分</w:t>
            </w:r>
          </w:p>
        </w:tc>
        <w:tc>
          <w:tcPr>
            <w:tcW w:type="dxa" w:w="2307"/>
          </w:tcPr>
          <w:p>
            <w:pPr>
              <w:jc w:val="left"/>
            </w:pPr>
            <w:r>
              <w:rPr/>
              <w:t>对招标文件第二章《采购需求》 中“附表一”的“具体技术（参数）要求”条款的响应情况 (5.0分)</w:t>
            </w:r>
            <w:r>
              <w:rPr/>
              <w:t>，（等次分值选择：</w:t>
            </w:r>
            <w:r>
              <w:rPr/>
              <w:t>0.0;</w:t>
            </w:r>
            <w:r>
              <w:rPr/>
              <w:t>1.0;</w:t>
            </w:r>
            <w:r>
              <w:rPr/>
              <w:t>3.0;</w:t>
            </w:r>
            <w:r>
              <w:rPr/>
              <w:t>5.0;</w:t>
            </w:r>
            <w:r>
              <w:rPr/>
              <w:t>）</w:t>
            </w:r>
          </w:p>
        </w:tc>
        <w:tc>
          <w:tcPr>
            <w:tcW w:type="dxa" w:w="5076"/>
          </w:tcPr>
          <w:p>
            <w:pPr>
              <w:jc w:val="left"/>
            </w:pPr>
            <w:r>
              <w:rPr/>
              <w:t>考核投标人对招标文件第二章《采购需求》“附表一”中所有条款的响应程度（每条条款最小一级序号均以一项计算）： 1、优于招标文件采购需求的要求，有正偏离的，得5分；  2、完全符合招标文件采购需求的要求，无负偏离的，得3分；  3、低于招标文件采购需求的要求，有1个负偏离的，得1分；  4、低于招标文件采购需求的要求，有2个或以上（含2个）负偏离的，得0分。</w:t>
            </w:r>
          </w:p>
        </w:tc>
      </w:tr>
      <w:tr>
        <w:tc>
          <w:tcPr>
            <w:tcW w:type="dxa" w:w="922"/>
            <w:gridSpan w:val="2"/>
            <w:vMerge/>
          </w:tcPr>
          <w:p/>
        </w:tc>
        <w:tc>
          <w:tcPr>
            <w:tcW w:type="dxa" w:w="2307"/>
          </w:tcPr>
          <w:p>
            <w:pPr>
              <w:jc w:val="left"/>
            </w:pPr>
            <w:r>
              <w:rPr/>
              <w:t>对当地规划情况理解（项目背景理解）  (10.0分)</w:t>
            </w:r>
            <w:r>
              <w:rPr/>
              <w:t>，（等次分值选择：</w:t>
            </w:r>
            <w:r>
              <w:rPr/>
              <w:t>0.0;</w:t>
            </w:r>
            <w:r>
              <w:rPr/>
              <w:t>1.0;</w:t>
            </w:r>
            <w:r>
              <w:rPr/>
              <w:t>4.0;</w:t>
            </w:r>
            <w:r>
              <w:rPr/>
              <w:t>7.0;</w:t>
            </w:r>
            <w:r>
              <w:rPr/>
              <w:t>10.0;</w:t>
            </w:r>
            <w:r>
              <w:rPr/>
              <w:t>）</w:t>
            </w:r>
          </w:p>
        </w:tc>
        <w:tc>
          <w:tcPr>
            <w:tcW w:type="dxa" w:w="5076"/>
          </w:tcPr>
          <w:p>
            <w:pPr>
              <w:jc w:val="left"/>
            </w:pPr>
            <w:r>
              <w:rPr/>
              <w:t>评标委员会按照投标人提供的对当地规划情况理解（项目背景理解）进行评审： 1、对项目的编制的时间背景及政策背景理解认识非常深刻、准确，能详细描述出规划编制的必要性，内容及工作目的描述准确，得10分； 2、对项目的编制的时间背景及政策背景理解较为准确，能较为详细描述出规划编制的必要性，内容及工作目的描述较清晰，得7分； 3、对项目的编制的时间背景及政策背景理解基本准确，基本能描述出规划编制的必要性，内容及工作目的描述基本清晰，或者上述内容理解有部分偏离但该偏离不影响项目的实施，得4分； 4、对项目的编制的时间背景及政策背景及项目编制的必要性描述混乱、不准确，体现出投标人不理解项目的背景情况，得1分； 5、无表述或不提供，得0分。</w:t>
            </w:r>
          </w:p>
        </w:tc>
      </w:tr>
      <w:tr>
        <w:tc>
          <w:tcPr>
            <w:tcW w:type="dxa" w:w="922"/>
            <w:gridSpan w:val="2"/>
            <w:vMerge/>
          </w:tcPr>
          <w:p/>
        </w:tc>
        <w:tc>
          <w:tcPr>
            <w:tcW w:type="dxa" w:w="2307"/>
          </w:tcPr>
          <w:p>
            <w:pPr>
              <w:jc w:val="left"/>
            </w:pPr>
            <w:r>
              <w:rPr/>
              <w:t>对当地规划情况理解（现状情况了解） (10.0分)</w:t>
            </w:r>
            <w:r>
              <w:rPr/>
              <w:t>，（等次分值选择：</w:t>
            </w:r>
            <w:r>
              <w:rPr/>
              <w:t>0.0;</w:t>
            </w:r>
            <w:r>
              <w:rPr/>
              <w:t>1.0;</w:t>
            </w:r>
            <w:r>
              <w:rPr/>
              <w:t>4.0;</w:t>
            </w:r>
            <w:r>
              <w:rPr/>
              <w:t>7.0;</w:t>
            </w:r>
            <w:r>
              <w:rPr/>
              <w:t>10.0;</w:t>
            </w:r>
            <w:r>
              <w:rPr/>
              <w:t>）</w:t>
            </w:r>
          </w:p>
        </w:tc>
        <w:tc>
          <w:tcPr>
            <w:tcW w:type="dxa" w:w="5076"/>
          </w:tcPr>
          <w:p>
            <w:pPr>
              <w:jc w:val="left"/>
            </w:pPr>
            <w:r>
              <w:rPr/>
              <w:t>评标委员会按照投标人提供的对当地规划情况理解（现状情况了解）进行评审： 1、对项目所在地区的底蕴及内涵，项目所在地区在中山市内所承载的功能和现状十分了解，对相关规划资料的掌握十分准确，能将项目的情况融入相关规划资料中，对工作总体情况有深入了解，得10分；   2、对项目所在地区的底蕴及内涵，项目所在地区在中山市内所承载的功能和现状较为了解或了解有微小偏差，但该偏差不影响项目的实施，且有一定的相关规划资料，基本能描述除工作总体情况，得7分；  3、对项目所在地区的底蕴及内涵，项目所在地区在中山市内所承载的功能和现状了解有一定的偏差，这种偏差可能会影响项目的实施，对所掌握的相关规划资料较少，比较普遍，可能会影响到投标人对工作总体情况的了解，得4分； 4、对项目所在地区的底蕴及内涵，项目所在地区在中山市内所承载的功能和现状描述较差，内容粗糙，而且对相关规划资料掌握较差，反映出投标人对项目所在地区、城市的熟悉程度及相关规划资料的掌握程度较差，得1分。  5、无表述或不提供，得0分。</w:t>
            </w:r>
          </w:p>
        </w:tc>
      </w:tr>
      <w:tr>
        <w:tc>
          <w:tcPr>
            <w:tcW w:type="dxa" w:w="922"/>
            <w:gridSpan w:val="2"/>
            <w:vMerge/>
          </w:tcPr>
          <w:p/>
        </w:tc>
        <w:tc>
          <w:tcPr>
            <w:tcW w:type="dxa" w:w="2307"/>
          </w:tcPr>
          <w:p>
            <w:pPr>
              <w:jc w:val="left"/>
            </w:pPr>
            <w:r>
              <w:rPr/>
              <w:t>项目规划总体思路（技术路线） (10.0分)</w:t>
            </w:r>
            <w:r>
              <w:rPr/>
              <w:t>，（等次分值选择：</w:t>
            </w:r>
            <w:r>
              <w:rPr/>
              <w:t>0.0;</w:t>
            </w:r>
            <w:r>
              <w:rPr/>
              <w:t>1.0;</w:t>
            </w:r>
            <w:r>
              <w:rPr/>
              <w:t>4.0;</w:t>
            </w:r>
            <w:r>
              <w:rPr/>
              <w:t>7.0;</w:t>
            </w:r>
            <w:r>
              <w:rPr/>
              <w:t>10.0;</w:t>
            </w:r>
            <w:r>
              <w:rPr/>
              <w:t>）</w:t>
            </w:r>
          </w:p>
        </w:tc>
        <w:tc>
          <w:tcPr>
            <w:tcW w:type="dxa" w:w="5076"/>
          </w:tcPr>
          <w:p>
            <w:pPr>
              <w:jc w:val="left"/>
            </w:pPr>
            <w:r>
              <w:rPr/>
              <w:t>评标委员会按照投标人提供的项目规划总体思路（技术路线）进行评审： 1、明晰编制思路，能制定完整技术路线且有很强的逻辑性、有层次，并具有可操作性，得10分； 2、基本能明晰编制思路，制定的技术路线基本对每个技术路线均有解析或说明，或者说明有较小的内容缺失，但该缺失不影响项目的实施质量，得7分； 3、编制思路一般，技术路线的掌握一般，基本能说明策划技术情况，或有部分内容缺失，得4分； 4、不太明晰编制思路，技术路线说明较差，可操作不强，得1分； 5、无表述或不提供，得0分。</w:t>
            </w:r>
          </w:p>
        </w:tc>
      </w:tr>
      <w:tr>
        <w:tc>
          <w:tcPr>
            <w:tcW w:type="dxa" w:w="922"/>
            <w:gridSpan w:val="2"/>
            <w:vMerge/>
          </w:tcPr>
          <w:p/>
        </w:tc>
        <w:tc>
          <w:tcPr>
            <w:tcW w:type="dxa" w:w="2307"/>
          </w:tcPr>
          <w:p>
            <w:pPr>
              <w:jc w:val="left"/>
            </w:pPr>
            <w:r>
              <w:rPr/>
              <w:t>项目规划总体思路（重难点把握） (10.0分)</w:t>
            </w:r>
            <w:r>
              <w:rPr/>
              <w:t>，（等次分值选择：</w:t>
            </w:r>
            <w:r>
              <w:rPr/>
              <w:t>0.0;</w:t>
            </w:r>
            <w:r>
              <w:rPr/>
              <w:t>1.0;</w:t>
            </w:r>
            <w:r>
              <w:rPr/>
              <w:t>4.0;</w:t>
            </w:r>
            <w:r>
              <w:rPr/>
              <w:t>7.0;</w:t>
            </w:r>
            <w:r>
              <w:rPr/>
              <w:t>10.0;</w:t>
            </w:r>
            <w:r>
              <w:rPr/>
              <w:t>）</w:t>
            </w:r>
          </w:p>
        </w:tc>
        <w:tc>
          <w:tcPr>
            <w:tcW w:type="dxa" w:w="5076"/>
          </w:tcPr>
          <w:p>
            <w:pPr>
              <w:jc w:val="left"/>
            </w:pPr>
            <w:r>
              <w:rPr/>
              <w:t>评标委员会按照投标人提供的项目规划总体思路（重难点把握）进行评审： 1、能针对项目实施准确地分析和认定重点，内容详细，理解充分。且能清晰地剖析实施难点的情况，针对各重点、难点提出非常详细的解决方案，易于实行，有利于项目的实施，得10分；  2、针对项目实施的重点有较准确和详细的分析和认定，理解较充分。同时能较为清晰地剖析实施的难点，基本能针对各重点、难点提出相应的解决方案，得7分；  3、能基本对项目实施的重点进行分析和认定，亦有对实施难点的剖析，但内容较为一般、普通，或者内容有较小的内容缺失，但该缺失不影响项目的实施质量，基本能满足项目要求，得4分； 4、重点、难点分析及把握较为简单，内容普通或有较大内容的缺失，这种内容缺失可能会影响项目的实施，可操作性一般，得1分；  5、无表述或不提供，得0分。</w:t>
            </w:r>
          </w:p>
        </w:tc>
      </w:tr>
      <w:tr>
        <w:tc>
          <w:tcPr>
            <w:tcW w:type="dxa" w:w="922"/>
            <w:gridSpan w:val="2"/>
            <w:vMerge/>
          </w:tcPr>
          <w:p/>
        </w:tc>
        <w:tc>
          <w:tcPr>
            <w:tcW w:type="dxa" w:w="2307"/>
          </w:tcPr>
          <w:p>
            <w:pPr>
              <w:jc w:val="left"/>
            </w:pPr>
            <w:r>
              <w:rPr/>
              <w:t>项目规划总体思路（规划对策） (5.0分)</w:t>
            </w:r>
            <w:r>
              <w:rPr/>
              <w:t>，（等次分值选择：</w:t>
            </w:r>
            <w:r>
              <w:rPr/>
              <w:t>0.0;</w:t>
            </w:r>
            <w:r>
              <w:rPr/>
              <w:t>0.5;</w:t>
            </w:r>
            <w:r>
              <w:rPr/>
              <w:t>2.0;</w:t>
            </w:r>
            <w:r>
              <w:rPr/>
              <w:t>3.5;</w:t>
            </w:r>
            <w:r>
              <w:rPr/>
              <w:t>5.0;</w:t>
            </w:r>
            <w:r>
              <w:rPr/>
              <w:t>）</w:t>
            </w:r>
          </w:p>
        </w:tc>
        <w:tc>
          <w:tcPr>
            <w:tcW w:type="dxa" w:w="5076"/>
          </w:tcPr>
          <w:p>
            <w:pPr>
              <w:jc w:val="left"/>
            </w:pPr>
            <w:r>
              <w:rPr/>
              <w:t>评标委员会按照投标人提供的项目规划总体思路（规划对策）进行评审： 1、方案中能准确、合理地借鉴并运用前期同类案例经验。基于重点、难点提出的对策很好地符合中山市以及火炬区的实际情况且满足下一阶段项目需要，系统性、针对性和可操作性强并能提出一定的建议，有利于项目下一阶段的实施，得5分；  2、方案中能较为准确、合理地借鉴并运用前期同类案例经验。基于重点、难点提出的对策较好地符合中山市及火炬区的实际情况且基本满足下一阶段项目需要，系统性、针对性和可操作性较强，在一定程度上有利于项目下一阶段的实施，得3.5分；  3、简单借鉴了前期案例经验，或借鉴的案例经验与本项目关联不大，基于重点、难点提出的对策基本符合中山市及火炬区的实际情况，下一阶段的工作衔接性一般，基本满足项目的工作，得2分；  4、对策方案内容粗糙、混乱或没有相关借鉴内容，得0.5分；  5、无表述或不提供，得0分。</w:t>
            </w:r>
          </w:p>
        </w:tc>
      </w:tr>
      <w:tr>
        <w:tc>
          <w:tcPr>
            <w:tcW w:type="dxa" w:w="922"/>
            <w:gridSpan w:val="2"/>
            <w:vMerge/>
          </w:tcPr>
          <w:p/>
        </w:tc>
        <w:tc>
          <w:tcPr>
            <w:tcW w:type="dxa" w:w="2307"/>
          </w:tcPr>
          <w:p>
            <w:pPr>
              <w:jc w:val="left"/>
            </w:pPr>
            <w:r>
              <w:rPr/>
              <w:t>进度控制及服务质量保证（服务质量保证） (5.0分)</w:t>
            </w:r>
            <w:r>
              <w:rPr/>
              <w:t>，（等次分值选择：</w:t>
            </w:r>
            <w:r>
              <w:rPr/>
              <w:t>0.0;</w:t>
            </w:r>
            <w:r>
              <w:rPr/>
              <w:t>0.5;</w:t>
            </w:r>
            <w:r>
              <w:rPr/>
              <w:t>2.0;</w:t>
            </w:r>
            <w:r>
              <w:rPr/>
              <w:t>3.5;</w:t>
            </w:r>
            <w:r>
              <w:rPr/>
              <w:t>5.0;</w:t>
            </w:r>
            <w:r>
              <w:rPr/>
              <w:t>）</w:t>
            </w:r>
          </w:p>
        </w:tc>
        <w:tc>
          <w:tcPr>
            <w:tcW w:type="dxa" w:w="5076"/>
          </w:tcPr>
          <w:p>
            <w:pPr>
              <w:jc w:val="left"/>
            </w:pPr>
            <w:r>
              <w:rPr/>
              <w:t>评标委员会按照投标人提供的进度控制及服务质量保证（服务质量保证）进行评审： 1、能结合项目所在地区的实际管理情况，提出详细的服务质量保证及后续质量保证措施，能清晰地描述出各实施阶段的质量控制要点或关键节点且能提出各要点或关键节的具体措施，保证策划成果的质量。服务质量承诺满足项目的要求，得5分；  2、基本能结合项目所在地区的实际管理情况，提出较为详细的服务质量保证及后续质量保证措施，能描述出各实施阶段的质量控制要点或关键节点且能提出各要点或关键节的具体措施，或者部分内容有微小缺失但缺失不影响策划成果的质量。服务质量承诺较好地满足项目的要求，得3.5分；  3、服务质量保证及后续质量保证措施内容一般，基本能保证策划成果的质量，得2分；  4、不太明晰策划及概念策划编制思路与专题研究思路，技术路线说明较差，可操作不强，得0.5分；  5、无表述或不提供，得0分。</w:t>
            </w:r>
          </w:p>
        </w:tc>
      </w:tr>
      <w:tr>
        <w:tc>
          <w:tcPr>
            <w:tcW w:type="dxa" w:w="922"/>
            <w:gridSpan w:val="2"/>
            <w:vMerge/>
          </w:tcPr>
          <w:p/>
        </w:tc>
        <w:tc>
          <w:tcPr>
            <w:tcW w:type="dxa" w:w="2307"/>
          </w:tcPr>
          <w:p>
            <w:pPr>
              <w:jc w:val="left"/>
            </w:pPr>
            <w:r>
              <w:rPr/>
              <w:t>进度控制及服务质量保证（项目进度控制） (5.0分)</w:t>
            </w:r>
            <w:r>
              <w:rPr/>
              <w:t>，（等次分值选择：</w:t>
            </w:r>
            <w:r>
              <w:rPr/>
              <w:t>0.0;</w:t>
            </w:r>
            <w:r>
              <w:rPr/>
              <w:t>0.5;</w:t>
            </w:r>
            <w:r>
              <w:rPr/>
              <w:t>2.0;</w:t>
            </w:r>
            <w:r>
              <w:rPr/>
              <w:t>3.5;</w:t>
            </w:r>
            <w:r>
              <w:rPr/>
              <w:t>5.0;</w:t>
            </w:r>
            <w:r>
              <w:rPr/>
              <w:t>）</w:t>
            </w:r>
          </w:p>
        </w:tc>
        <w:tc>
          <w:tcPr>
            <w:tcW w:type="dxa" w:w="5076"/>
          </w:tcPr>
          <w:p>
            <w:pPr>
              <w:jc w:val="left"/>
            </w:pPr>
            <w:r>
              <w:rPr/>
              <w:t>评标委员会按照投标人提供的进度控制及服务质量保证（项目进度控制）进行评审： 1、能详细且准确地描述出项目整体工作的各个阶段及各个阶段的具体任务，内容详细、清晰且划分合理。能科学地把握各个关键节点或“工作里程碑”，逻辑性强，可操作性强。针对项目的实际，在各工作任务，有详细的进度保障措施，易于实行，有利于项目的实施，得5分；  2、能基本将整体工作的各个阶段及各个阶段的任务进行描述且基本清晰，亦有对关键节点或“工作里程碑”进行描述，内容基本满足项目需要，或者有微小的偏差，但该偏差不影响项目的实际实施，得3.5分；  3、整体工作的各个阶段及各个阶段的任务的描述一般，对关键节点或“工作里程碑”理解一般，内容简单，或者有部分内容缺失，而且该缺失可能会影响到项目的实施，得2分；  4、工作进度控制安排不太具体、不太合理，未能达到项目需求的要求，有较多地方无法满足项目要求，得0.5分。 5、无表述或不提供，得0分。</w:t>
            </w:r>
          </w:p>
        </w:tc>
      </w:tr>
      <w:tr>
        <w:tc>
          <w:tcPr>
            <w:tcW w:type="dxa" w:w="922"/>
            <w:gridSpan w:val="2"/>
            <w:vMerge w:val="restart"/>
          </w:tcPr>
          <w:p>
            <w:pPr>
              <w:jc w:val="center"/>
            </w:pPr>
            <w:r>
              <w:rPr/>
              <w:t>商务部分</w:t>
            </w:r>
          </w:p>
        </w:tc>
        <w:tc>
          <w:tcPr>
            <w:tcW w:type="dxa" w:w="2307"/>
          </w:tcPr>
          <w:p>
            <w:pPr>
              <w:jc w:val="left"/>
            </w:pPr>
            <w:r>
              <w:rPr/>
              <w:t>同类业绩 (15.0分)</w:t>
            </w:r>
          </w:p>
        </w:tc>
        <w:tc>
          <w:tcPr>
            <w:tcW w:type="dxa" w:w="5076"/>
          </w:tcPr>
          <w:p>
            <w:pPr>
              <w:jc w:val="left"/>
            </w:pPr>
            <w:r>
              <w:rPr/>
              <w:t>评标委员会根据投标人提供的同类业绩情况进行评审： 2021年1月1日以来（以合同签订日期或合同约定生效日期或合同履约期限为准）投标人独立编制过类似项目（与本项目服务内容相当）业绩的，每提供一个项目业绩得3分，最高得15分。  注：按招标文件格式填写《投标人业绩情况表》并提供加盖投标人公章的业绩合同关键页复印件（《投标人业绩情况表》里客户名称、项目名称及合同金额、签订合同时间为必填项；关键页内容必须清晰阐明项目名称、双方单位名称、合同签订时间或合同约定生效日期或履约期限、合同履行主要内容），未按要求提供材料或所提供资料模糊不清的，得0分。</w:t>
            </w:r>
          </w:p>
        </w:tc>
      </w:tr>
      <w:tr>
        <w:tc>
          <w:tcPr>
            <w:tcW w:type="dxa" w:w="922"/>
            <w:gridSpan w:val="2"/>
            <w:vMerge/>
          </w:tcPr>
          <w:p/>
        </w:tc>
        <w:tc>
          <w:tcPr>
            <w:tcW w:type="dxa" w:w="2307"/>
          </w:tcPr>
          <w:p>
            <w:pPr>
              <w:jc w:val="left"/>
            </w:pPr>
            <w:r>
              <w:rPr/>
              <w:t>体系认证 (3.0分)</w:t>
            </w:r>
          </w:p>
        </w:tc>
        <w:tc>
          <w:tcPr>
            <w:tcW w:type="dxa" w:w="5076"/>
          </w:tcPr>
          <w:p>
            <w:pPr>
              <w:jc w:val="left"/>
            </w:pPr>
            <w:r>
              <w:rPr/>
              <w:t>1、投标人具有有效期内的ISO质量管理体系证书的，得1分； 2、投标人具有有效期内的职业健康安全管理体系证书的，得1分； 3、投标人具有有效期内的环境管理体系认证证书的，得1分； 本项最高得3分。  备注：1、提供“认证证书复印件”及在“中国国家认证认可监督管理委员会查询平台（网址：http://cx.cnca.cn/CertECloud/result/skipResultList）查询截图”加盖投标人公章，不提供不得分；  2、由于成立时间不足导致不能办理相应认证证书的，提供认证机构出具的“成立时间不足，不能办理认证”的书面证明材料，按已经获得计分。</w:t>
            </w:r>
          </w:p>
        </w:tc>
      </w:tr>
      <w:tr>
        <w:tc>
          <w:tcPr>
            <w:tcW w:type="dxa" w:w="922"/>
            <w:gridSpan w:val="2"/>
            <w:vMerge/>
          </w:tcPr>
          <w:p/>
        </w:tc>
        <w:tc>
          <w:tcPr>
            <w:tcW w:type="dxa" w:w="2307"/>
          </w:tcPr>
          <w:p>
            <w:pPr>
              <w:jc w:val="left"/>
            </w:pPr>
            <w:r>
              <w:rPr/>
              <w:t>拟投入本项目项目负责人（限1人） (6.0分)</w:t>
            </w:r>
          </w:p>
        </w:tc>
        <w:tc>
          <w:tcPr>
            <w:tcW w:type="dxa" w:w="5076"/>
          </w:tcPr>
          <w:p>
            <w:pPr>
              <w:jc w:val="left"/>
            </w:pPr>
            <w:r>
              <w:rPr/>
              <w:t>项目负责人： 1、具备注册城乡规划师的，得3分； 2、具备高级工程师（或以上职称）的，得3分。 本项最高得6分。 注：1、提供项目负责人资质（或者职称、资格）证书复印件； 2、投标截止时间前12个月内投标人为其购买任意一个月的参保证明复印件并加盖公章，若投标人未能提供该人员社保的，可以在投标文件中提供相关承诺书原件并加盖公章，格式自拟，承诺书内容包括但不限于以下内容：“若我单位中标，合同签订前保证按投标文件中所配备投入本项目的人员全部到位并提供所投人员以我单位名义缴纳的社保证明，否则视为我单位放弃中标资格”，视为满足评审要求。不提供或材料不齐全的不得分。</w:t>
            </w:r>
          </w:p>
        </w:tc>
      </w:tr>
      <w:tr>
        <w:tc>
          <w:tcPr>
            <w:tcW w:type="dxa" w:w="922"/>
            <w:gridSpan w:val="2"/>
            <w:vMerge/>
          </w:tcPr>
          <w:p/>
        </w:tc>
        <w:tc>
          <w:tcPr>
            <w:tcW w:type="dxa" w:w="2307"/>
          </w:tcPr>
          <w:p>
            <w:pPr>
              <w:jc w:val="left"/>
            </w:pPr>
            <w:r>
              <w:rPr/>
              <w:t>拟投入本项目其他人员（不含项目负责人） (6.0分)</w:t>
            </w:r>
          </w:p>
        </w:tc>
        <w:tc>
          <w:tcPr>
            <w:tcW w:type="dxa" w:w="5076"/>
          </w:tcPr>
          <w:p>
            <w:pPr>
              <w:jc w:val="left"/>
            </w:pPr>
            <w:r>
              <w:rPr/>
              <w:t>拟投入本项目的其他人员（不含项目负责人）： 具备注册城乡规划师或高级工程师（或以上职称）的，每提供一名得1分，本项最多得6分。 注：1、提供上述委派人员的资质（或者职称、资格）证书复印件，不提供或材料不齐全的不得分： 2、投标截止时间前12个月内投标人为其购买任意一个月的参保证明复印件并加盖公章，若投标人未能提供该人员社保的，可以在投标文件中提供相关承诺书原件并加盖公章，格式自拟，承诺书内容包括但不限于以下内容：“若我单位中标，合同签订前保证按投标文件中所配备投入本项目的人员全部到位并提供所投人员以我单位名义缴纳的社保证明，否则视为我单位放弃中标资格”，视为满足评审要求。不提供或材料不齐全的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r>
        <w:rPr/>
        <w:t xml:space="preserve"> </w:t>
      </w:r>
    </w:p>
    <w:p>
      <w:r>
        <w:rPr/>
        <w:t xml:space="preserve"> </w:t>
      </w:r>
    </w:p>
    <w:p>
      <w:r>
        <w:rPr/>
        <w:t xml:space="preserve"> </w:t>
      </w:r>
    </w:p>
    <w:p>
      <w:r>
        <w:rPr/>
        <w:t xml:space="preserve"> </w:t>
      </w:r>
    </w:p>
    <w:p>
      <w:r>
        <w:rPr/>
        <w:t xml:space="preserve"> </w:t>
      </w:r>
    </w:p>
    <w:p>
      <w:r>
        <w:rPr/>
        <w:t xml:space="preserve"> </w:t>
      </w:r>
    </w:p>
    <w:p/>
    <w:p>
      <w:pPr>
        <w:jc w:val="center"/>
      </w:pPr>
      <w:r>
        <w:rPr>
          <w:b/>
          <w:sz w:val="33"/>
        </w:rPr>
        <w:t>中山火炬开发区（含民众街道）2023年采购规划论证服务项目</w:t>
      </w:r>
    </w:p>
    <w:p>
      <w:pPr>
        <w:jc w:val="center"/>
      </w:pPr>
      <w:r>
        <w:rPr>
          <w:b/>
          <w:sz w:val="33"/>
        </w:rPr>
        <w:t>(二次)</w:t>
      </w:r>
    </w:p>
    <w:p>
      <w:pPr>
        <w:jc w:val="center"/>
      </w:pPr>
      <w:r>
        <w:rPr>
          <w:sz w:val="21"/>
        </w:rPr>
        <w:t xml:space="preserve"> </w:t>
      </w:r>
    </w:p>
    <w:p>
      <w:pPr>
        <w:jc w:val="center"/>
      </w:pPr>
      <w:r>
        <w:rPr>
          <w:sz w:val="21"/>
        </w:rPr>
        <w:t xml:space="preserve"> </w:t>
      </w:r>
    </w:p>
    <w:p>
      <w:pPr>
        <w:jc w:val="center"/>
      </w:pPr>
      <w:r>
        <w:rPr>
          <w:b/>
          <w:sz w:val="39"/>
        </w:rPr>
        <w:t>广东省政府采购</w:t>
      </w:r>
    </w:p>
    <w:p>
      <w:pPr>
        <w:jc w:val="both"/>
      </w:pPr>
      <w:r>
        <w:rPr>
          <w:sz w:val="21"/>
        </w:rPr>
        <w:t xml:space="preserve"> </w:t>
      </w:r>
    </w:p>
    <w:p>
      <w:pPr>
        <w:jc w:val="center"/>
      </w:pPr>
      <w:r>
        <w:rPr>
          <w:b/>
          <w:sz w:val="39"/>
        </w:rPr>
        <w:t>合　同　书</w:t>
      </w:r>
    </w:p>
    <w:p>
      <w:pPr>
        <w:jc w:val="center"/>
      </w:pPr>
      <w:r>
        <w:rPr>
          <w:sz w:val="21"/>
        </w:rPr>
        <w:t xml:space="preserve"> </w:t>
      </w:r>
    </w:p>
    <w:p>
      <w:pPr>
        <w:jc w:val="center"/>
      </w:pPr>
      <w:r>
        <w:rPr>
          <w:b/>
          <w:color w:val="000000"/>
          <w:sz w:val="21"/>
        </w:rPr>
        <w:t>(</w:t>
      </w:r>
      <w:r>
        <w:rPr>
          <w:b/>
          <w:color w:val="000000"/>
          <w:sz w:val="21"/>
        </w:rPr>
        <w:t>本合同范本仅供参考，成交人与采购人可根据双方的具体要求进行修订，双方所签订的合同不得对招标文件确定的事项和成交人投标文件作实质性修改。）</w:t>
      </w:r>
    </w:p>
    <w:p>
      <w:pPr>
        <w:jc w:val="center"/>
      </w:pPr>
      <w:r>
        <w:br/>
      </w:r>
      <w:r>
        <w:br/>
      </w:r>
      <w:r>
        <w:br/>
      </w:r>
      <w:r>
        <w:br/>
      </w:r>
      <w:r>
        <w:br/>
      </w:r>
      <w:r>
        <w:br/>
      </w:r>
      <w:r>
        <w:rPr>
          <w:sz w:val="21"/>
        </w:rPr>
        <w:t xml:space="preserve"> </w:t>
      </w:r>
    </w:p>
    <w:p>
      <w:pPr>
        <w:ind w:firstLine="1680"/>
        <w:jc w:val="both"/>
      </w:pPr>
      <w:r>
        <w:rPr>
          <w:color w:val="222222"/>
          <w:sz w:val="28"/>
        </w:rPr>
        <w:t>采购计划编号：</w:t>
      </w:r>
      <w:r>
        <w:rPr>
          <w:sz w:val="21"/>
          <w:u w:val="single"/>
        </w:rPr>
        <w:t xml:space="preserve">                          </w:t>
      </w:r>
    </w:p>
    <w:p>
      <w:pPr>
        <w:jc w:val="both"/>
      </w:pPr>
      <w:r>
        <w:rPr>
          <w:sz w:val="21"/>
        </w:rPr>
        <w:t xml:space="preserve"> </w:t>
      </w:r>
    </w:p>
    <w:p>
      <w:pPr>
        <w:ind w:firstLine="1680"/>
        <w:jc w:val="both"/>
      </w:pPr>
      <w:r>
        <w:rPr>
          <w:color w:val="222222"/>
          <w:sz w:val="28"/>
        </w:rPr>
        <w:t>项目编号：</w:t>
      </w:r>
      <w:r>
        <w:rPr>
          <w:sz w:val="21"/>
          <w:u w:val="single"/>
        </w:rPr>
        <w:t xml:space="preserve">                              </w:t>
      </w:r>
    </w:p>
    <w:p>
      <w:pPr>
        <w:jc w:val="both"/>
      </w:pPr>
      <w:r>
        <w:rPr>
          <w:sz w:val="21"/>
        </w:rPr>
        <w:t xml:space="preserve"> </w:t>
      </w:r>
    </w:p>
    <w:p>
      <w:pPr>
        <w:ind w:firstLine="1680"/>
        <w:jc w:val="both"/>
      </w:pPr>
      <w:r>
        <w:rPr>
          <w:color w:val="222222"/>
          <w:sz w:val="28"/>
        </w:rPr>
        <w:t>项目名称：</w:t>
      </w:r>
      <w:r>
        <w:rPr>
          <w:sz w:val="21"/>
          <w:u w:val="single"/>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br/>
      </w:r>
      <w:r>
        <w:rPr>
          <w:sz w:val="21"/>
        </w:rPr>
        <w:t xml:space="preserve"> </w:t>
      </w:r>
    </w:p>
    <w:p>
      <w:pPr>
        <w:ind w:firstLine="420"/>
        <w:jc w:val="both"/>
      </w:pPr>
    </w:p>
    <w:p>
      <w:pPr>
        <w:jc w:val="both"/>
      </w:pPr>
      <w:r>
        <w:rPr>
          <w:b/>
          <w:sz w:val="22"/>
        </w:rPr>
        <w:t>甲方：</w:t>
      </w:r>
      <w:r>
        <w:rPr>
          <w:b/>
          <w:sz w:val="21"/>
          <w:u w:val="single"/>
        </w:rPr>
        <w:t xml:space="preserve"> </w:t>
      </w:r>
      <w:r>
        <w:rPr>
          <w:sz w:val="21"/>
          <w:u w:val="single"/>
        </w:rPr>
        <w:t xml:space="preserve"> </w:t>
      </w:r>
    </w:p>
    <w:p>
      <w:pPr>
        <w:jc w:val="both"/>
      </w:pPr>
      <w:r>
        <w:rPr>
          <w:color w:val="222222"/>
          <w:sz w:val="22"/>
        </w:rPr>
        <w:t>电话：</w:t>
      </w:r>
      <w:r>
        <w:rPr>
          <w:sz w:val="21"/>
          <w:u w:val="single"/>
        </w:rPr>
        <w:t xml:space="preserve">  </w:t>
      </w:r>
      <w:r>
        <w:rPr>
          <w:color w:val="222222"/>
          <w:sz w:val="22"/>
        </w:rPr>
        <w:t>传真：</w:t>
      </w:r>
      <w:r>
        <w:rPr>
          <w:sz w:val="21"/>
          <w:u w:val="single"/>
        </w:rPr>
        <w:t xml:space="preserve"> </w:t>
      </w:r>
      <w:r>
        <w:rPr>
          <w:color w:val="222222"/>
          <w:sz w:val="22"/>
        </w:rPr>
        <w:t>地址：</w:t>
      </w:r>
      <w:r>
        <w:rPr>
          <w:sz w:val="21"/>
          <w:u w:val="single"/>
        </w:rPr>
        <w:t xml:space="preserve">     </w:t>
      </w:r>
    </w:p>
    <w:p>
      <w:pPr>
        <w:jc w:val="both"/>
      </w:pPr>
      <w:r>
        <w:rPr>
          <w:b/>
          <w:sz w:val="22"/>
        </w:rPr>
        <w:t>乙方：</w:t>
      </w:r>
      <w:r>
        <w:rPr>
          <w:sz w:val="21"/>
          <w:u w:val="single"/>
        </w:rPr>
        <w:t xml:space="preserve"> </w:t>
      </w:r>
    </w:p>
    <w:p>
      <w:pPr>
        <w:jc w:val="both"/>
      </w:pPr>
      <w:r>
        <w:rPr>
          <w:color w:val="222222"/>
          <w:sz w:val="22"/>
        </w:rPr>
        <w:t>电话：</w:t>
      </w:r>
      <w:r>
        <w:rPr>
          <w:sz w:val="21"/>
          <w:u w:val="single"/>
        </w:rPr>
        <w:t xml:space="preserve">  </w:t>
      </w:r>
      <w:r>
        <w:rPr>
          <w:color w:val="222222"/>
          <w:sz w:val="22"/>
        </w:rPr>
        <w:t>传真：</w:t>
      </w:r>
      <w:r>
        <w:rPr>
          <w:sz w:val="21"/>
          <w:u w:val="single"/>
        </w:rPr>
        <w:t xml:space="preserve">  </w:t>
      </w:r>
      <w:r>
        <w:rPr>
          <w:color w:val="222222"/>
          <w:sz w:val="22"/>
        </w:rPr>
        <w:t>地址：</w:t>
      </w:r>
      <w:r>
        <w:rPr>
          <w:sz w:val="21"/>
          <w:u w:val="single"/>
        </w:rPr>
        <w:t xml:space="preserve">  </w:t>
      </w:r>
    </w:p>
    <w:p>
      <w:pPr>
        <w:jc w:val="both"/>
      </w:pPr>
      <w:r>
        <w:rPr>
          <w:sz w:val="21"/>
        </w:rPr>
        <w:t xml:space="preserve"> </w:t>
      </w:r>
    </w:p>
    <w:p>
      <w:pPr>
        <w:jc w:val="both"/>
      </w:pPr>
      <w:r>
        <w:rPr>
          <w:color w:val="222222"/>
          <w:sz w:val="22"/>
        </w:rPr>
        <w:t xml:space="preserve">  </w:t>
      </w:r>
      <w:r>
        <w:rPr>
          <w:color w:val="222222"/>
          <w:sz w:val="22"/>
        </w:rPr>
        <w:t>根据</w:t>
      </w:r>
      <w:r>
        <w:rPr>
          <w:sz w:val="21"/>
          <w:u w:val="single"/>
        </w:rPr>
        <w:t xml:space="preserve"> </w:t>
      </w:r>
      <w:r>
        <w:rPr>
          <w:sz w:val="21"/>
          <w:u w:val="single"/>
        </w:rPr>
        <w:t>中山火炬开发区（含民众街道）</w:t>
      </w:r>
      <w:r>
        <w:rPr>
          <w:sz w:val="21"/>
          <w:u w:val="single"/>
        </w:rPr>
        <w:t>2023</w:t>
      </w:r>
      <w:r>
        <w:rPr>
          <w:sz w:val="21"/>
          <w:u w:val="single"/>
        </w:rPr>
        <w:t>年采购规划论证服务项</w:t>
      </w:r>
      <w:r>
        <w:rPr>
          <w:sz w:val="21"/>
          <w:u w:val="single"/>
        </w:rPr>
        <w:t xml:space="preserve">目(二次) </w:t>
      </w:r>
      <w:r>
        <w:rPr>
          <w:color w:val="222222"/>
          <w:sz w:val="22"/>
        </w:rPr>
        <w:t>的采购结果，按照《中华人民共和国政府采购法》，《中华人民共和国民法典</w:t>
      </w:r>
      <w:r>
        <w:rPr>
          <w:color w:val="222222"/>
          <w:sz w:val="22"/>
        </w:rPr>
        <w:t>(</w:t>
      </w:r>
      <w:r>
        <w:rPr>
          <w:color w:val="222222"/>
          <w:sz w:val="22"/>
        </w:rPr>
        <w:t>合同编</w:t>
      </w:r>
      <w:r>
        <w:rPr>
          <w:color w:val="222222"/>
          <w:sz w:val="22"/>
        </w:rPr>
        <w:t>)</w:t>
      </w:r>
      <w:r>
        <w:rPr>
          <w:color w:val="222222"/>
          <w:sz w:val="22"/>
        </w:rPr>
        <w:t>》的规定，经双方协商，本着平等互利和诚实信用的原则，一致同意遵守本合同如下。</w:t>
      </w:r>
    </w:p>
    <w:p>
      <w:pPr>
        <w:jc w:val="both"/>
      </w:pPr>
      <w:r>
        <w:rPr>
          <w:b/>
          <w:sz w:val="22"/>
        </w:rPr>
        <w:t>一、合同金额</w:t>
      </w:r>
    </w:p>
    <w:p>
      <w:pPr>
        <w:jc w:val="both"/>
      </w:pPr>
      <w:r>
        <w:rPr>
          <w:color w:val="222222"/>
          <w:sz w:val="22"/>
        </w:rPr>
        <w:t>　　合同金额为（大写）：</w:t>
      </w:r>
      <w:r>
        <w:rPr>
          <w:color w:val="222222"/>
          <w:sz w:val="22"/>
        </w:rPr>
        <w:t>_____________</w:t>
      </w:r>
      <w:r>
        <w:rPr>
          <w:color w:val="222222"/>
          <w:sz w:val="22"/>
        </w:rPr>
        <w:t>元（￥</w:t>
      </w:r>
      <w:r>
        <w:rPr>
          <w:color w:val="222222"/>
          <w:sz w:val="22"/>
        </w:rPr>
        <w:t>_________</w:t>
      </w:r>
      <w:r>
        <w:rPr>
          <w:color w:val="222222"/>
          <w:sz w:val="22"/>
        </w:rPr>
        <w:t>元）人民币。</w:t>
      </w:r>
    </w:p>
    <w:p>
      <w:pPr>
        <w:jc w:val="both"/>
      </w:pPr>
      <w:r>
        <w:rPr>
          <w:b/>
          <w:sz w:val="22"/>
        </w:rPr>
        <w:t>二、服务范围</w:t>
      </w:r>
    </w:p>
    <w:p>
      <w:pPr>
        <w:jc w:val="both"/>
      </w:pPr>
      <w:r>
        <w:rPr>
          <w:color w:val="222222"/>
          <w:sz w:val="22"/>
        </w:rPr>
        <w:t>　　甲方聘请乙方提供以下服务：</w:t>
      </w:r>
    </w:p>
    <w:p>
      <w:pPr>
        <w:jc w:val="both"/>
      </w:pPr>
      <w:r>
        <w:rPr>
          <w:sz w:val="22"/>
        </w:rPr>
        <w:t>1</w:t>
      </w:r>
      <w:r>
        <w:rPr>
          <w:sz w:val="22"/>
        </w:rPr>
        <w:t>.</w:t>
      </w:r>
      <w:r>
        <w:rPr>
          <w:sz w:val="22"/>
        </w:rPr>
        <w:t>1.</w:t>
      </w:r>
      <w:r>
        <w:rPr>
          <w:sz w:val="22"/>
        </w:rPr>
        <w:t>通过分析项目地块结合片区内相关规划要求，分析项目地块规划开发建设的合理性及可行性，对项目地块具备规划开发建设合理性条件依据进行分析以及对项目地块用地红线范围内，在考虑道路占压、建筑红线退让等指标，剩余用地可建面积是否满足建筑工程设计技术可行性，出具用地规划论证报告。</w:t>
      </w:r>
    </w:p>
    <w:p>
      <w:pPr>
        <w:jc w:val="both"/>
      </w:pPr>
      <w:r>
        <w:rPr>
          <w:sz w:val="22"/>
        </w:rPr>
        <w:t>1</w:t>
      </w:r>
      <w:r>
        <w:rPr>
          <w:sz w:val="22"/>
        </w:rPr>
        <w:t>.2</w:t>
      </w:r>
      <w:r>
        <w:rPr>
          <w:sz w:val="22"/>
        </w:rPr>
        <w:t>.</w:t>
      </w:r>
      <w:r>
        <w:rPr>
          <w:sz w:val="22"/>
        </w:rPr>
        <w:t>现状概况分析。包括但不限于项目地块土地利用现状、项目地块公服设施现状、项目地块市政设施现状、项目地块权属等。</w:t>
      </w:r>
    </w:p>
    <w:p>
      <w:pPr>
        <w:jc w:val="both"/>
      </w:pPr>
      <w:r>
        <w:rPr>
          <w:sz w:val="22"/>
        </w:rPr>
        <w:t>1.</w:t>
      </w:r>
      <w:r>
        <w:rPr>
          <w:sz w:val="22"/>
        </w:rPr>
        <w:t>3</w:t>
      </w:r>
      <w:r>
        <w:rPr>
          <w:sz w:val="22"/>
        </w:rPr>
        <w:t>安置地论证。为推进区域基础设施建设，加快城市化进程，解决街道居民安置问题，根据采购人的要求，对规划地块的用地范围、性质、指标等规划条件进行明确，为下一步的建设提供技术支持。</w:t>
      </w:r>
    </w:p>
    <w:p>
      <w:pPr>
        <w:jc w:val="both"/>
      </w:pPr>
      <w:r>
        <w:rPr>
          <w:sz w:val="22"/>
        </w:rPr>
        <w:t>1</w:t>
      </w:r>
      <w:r>
        <w:rPr>
          <w:sz w:val="22"/>
        </w:rPr>
        <w:t>.4</w:t>
      </w:r>
      <w:r>
        <w:rPr>
          <w:sz w:val="22"/>
        </w:rPr>
        <w:t>.</w:t>
      </w:r>
      <w:r>
        <w:rPr>
          <w:sz w:val="22"/>
        </w:rPr>
        <w:t>方案论证。根据建设项目的占压用地情况、地块规划发展定位、开发建设可行性等方面对初步征拆范围内的地块进行全面的分析研判。通过分析、论证项目用地地块依据规划开发的合理性和可能性，并同步分析地块建设对周边交通、市政、公服等配套设施的影响，以及剩余地块建筑布局可行性，判定项目用地建设对于片区发展定位和目标起到的作用，为政府针对性处置项目用地提供技术支撑。</w:t>
      </w:r>
    </w:p>
    <w:p>
      <w:pPr>
        <w:jc w:val="both"/>
      </w:pPr>
      <w:r>
        <w:rPr>
          <w:sz w:val="22"/>
        </w:rPr>
        <w:t>1</w:t>
      </w:r>
      <w:r>
        <w:rPr>
          <w:sz w:val="22"/>
        </w:rPr>
        <w:t>.5</w:t>
      </w:r>
      <w:r>
        <w:rPr>
          <w:sz w:val="22"/>
        </w:rPr>
        <w:t>.</w:t>
      </w:r>
      <w:r>
        <w:rPr>
          <w:sz w:val="22"/>
        </w:rPr>
        <w:t>规划设计方案。根据</w:t>
      </w:r>
      <w:r>
        <w:rPr>
          <w:sz w:val="22"/>
        </w:rPr>
        <w:t>甲方</w:t>
      </w:r>
      <w:r>
        <w:rPr>
          <w:sz w:val="22"/>
        </w:rPr>
        <w:t>的要求，依据中山市的相关技术规范，形成规划设计方案。</w:t>
      </w:r>
    </w:p>
    <w:p>
      <w:pPr>
        <w:jc w:val="both"/>
      </w:pPr>
      <w:r>
        <w:rPr>
          <w:sz w:val="22"/>
        </w:rPr>
        <w:t>1</w:t>
      </w:r>
      <w:r>
        <w:rPr>
          <w:sz w:val="22"/>
        </w:rPr>
        <w:t>.6</w:t>
      </w:r>
      <w:r>
        <w:rPr>
          <w:sz w:val="22"/>
        </w:rPr>
        <w:t>.</w:t>
      </w:r>
      <w:r>
        <w:rPr>
          <w:sz w:val="22"/>
        </w:rPr>
        <w:t>结论与建议。结合项目地块现状建设情况、</w:t>
      </w:r>
      <w:r>
        <w:rPr>
          <w:sz w:val="22"/>
        </w:rPr>
        <w:t>项目地块周边建设情况、规划符合性分析等进行综合分析论证，出具项目地块建筑工程技术可行性分析结论，得出项目红线范围外剩余地块是否适宜开发建设，建议是否一并征收。</w:t>
      </w:r>
    </w:p>
    <w:p>
      <w:pPr>
        <w:jc w:val="both"/>
      </w:pPr>
      <w:r>
        <w:rPr>
          <w:sz w:val="22"/>
        </w:rPr>
        <w:t>......</w:t>
      </w:r>
    </w:p>
    <w:p>
      <w:pPr>
        <w:jc w:val="both"/>
      </w:pPr>
      <w:r>
        <w:rPr>
          <w:b/>
          <w:sz w:val="22"/>
        </w:rPr>
        <w:t>三、甲方乙方的权利和义务</w:t>
      </w:r>
    </w:p>
    <w:p>
      <w:pPr>
        <w:jc w:val="left"/>
      </w:pPr>
      <w:r>
        <w:rPr>
          <w:color w:val="222222"/>
          <w:sz w:val="22"/>
        </w:rPr>
        <w:t>1.</w:t>
      </w:r>
      <w:r>
        <w:rPr>
          <w:color w:val="222222"/>
          <w:sz w:val="22"/>
        </w:rPr>
        <w:t>甲方的权利和义务</w:t>
      </w:r>
    </w:p>
    <w:p>
      <w:pPr>
        <w:jc w:val="both"/>
      </w:pPr>
      <w:r>
        <w:rPr>
          <w:color w:val="222222"/>
          <w:sz w:val="22"/>
        </w:rPr>
        <w:t>2.</w:t>
      </w:r>
      <w:r>
        <w:rPr>
          <w:color w:val="222222"/>
          <w:sz w:val="22"/>
        </w:rPr>
        <w:t>乙方的权利和义务</w:t>
      </w:r>
    </w:p>
    <w:p>
      <w:pPr>
        <w:jc w:val="both"/>
      </w:pPr>
      <w:r>
        <w:rPr>
          <w:b/>
          <w:sz w:val="22"/>
        </w:rPr>
        <w:t>四、服务期间（项目完成期限）</w:t>
      </w:r>
    </w:p>
    <w:p>
      <w:pPr>
        <w:jc w:val="both"/>
      </w:pPr>
      <w:r>
        <w:rPr>
          <w:color w:val="222222"/>
          <w:sz w:val="22"/>
        </w:rPr>
        <w:t>1.</w:t>
      </w:r>
      <w:r>
        <w:rPr>
          <w:color w:val="222222"/>
          <w:sz w:val="22"/>
        </w:rPr>
        <w:t>委托服务期间自</w:t>
      </w:r>
      <w:r>
        <w:rPr>
          <w:color w:val="222222"/>
          <w:sz w:val="22"/>
        </w:rPr>
        <w:t>______</w:t>
      </w:r>
      <w:r>
        <w:rPr>
          <w:color w:val="222222"/>
          <w:sz w:val="22"/>
        </w:rPr>
        <w:t>年</w:t>
      </w:r>
      <w:r>
        <w:rPr>
          <w:color w:val="222222"/>
          <w:sz w:val="22"/>
        </w:rPr>
        <w:t>______</w:t>
      </w:r>
      <w:r>
        <w:rPr>
          <w:color w:val="222222"/>
          <w:sz w:val="22"/>
        </w:rPr>
        <w:t>月至</w:t>
      </w:r>
      <w:r>
        <w:rPr>
          <w:color w:val="222222"/>
          <w:sz w:val="22"/>
        </w:rPr>
        <w:t>______</w:t>
      </w:r>
      <w:r>
        <w:rPr>
          <w:color w:val="222222"/>
          <w:sz w:val="22"/>
        </w:rPr>
        <w:t>年</w:t>
      </w:r>
      <w:r>
        <w:rPr>
          <w:color w:val="222222"/>
          <w:sz w:val="22"/>
        </w:rPr>
        <w:t>______</w:t>
      </w:r>
      <w:r>
        <w:rPr>
          <w:color w:val="222222"/>
          <w:sz w:val="22"/>
        </w:rPr>
        <w:t>月止。</w:t>
      </w:r>
    </w:p>
    <w:p>
      <w:pPr>
        <w:jc w:val="both"/>
      </w:pPr>
      <w:r>
        <w:rPr>
          <w:b/>
          <w:sz w:val="22"/>
        </w:rPr>
        <w:t>五、付款方式</w:t>
      </w:r>
    </w:p>
    <w:p>
      <w:pPr>
        <w:jc w:val="both"/>
      </w:pPr>
      <w:r>
        <w:rPr>
          <w:sz w:val="22"/>
        </w:rPr>
        <w:t>1</w:t>
      </w:r>
      <w:r>
        <w:rPr>
          <w:sz w:val="22"/>
        </w:rPr>
        <w:t>期</w:t>
      </w:r>
      <w:r>
        <w:rPr>
          <w:sz w:val="22"/>
        </w:rPr>
        <w:t>:</w:t>
      </w:r>
      <w:r>
        <w:rPr>
          <w:sz w:val="22"/>
        </w:rPr>
        <w:t>支付比例</w:t>
      </w:r>
      <w:r>
        <w:rPr>
          <w:sz w:val="22"/>
        </w:rPr>
        <w:t>20%</w:t>
      </w:r>
      <w:r>
        <w:rPr>
          <w:sz w:val="22"/>
        </w:rPr>
        <w:t>，合同签定后，在收到项目开展的需求后，支付合同款的</w:t>
      </w:r>
      <w:r>
        <w:rPr>
          <w:sz w:val="22"/>
        </w:rPr>
        <w:t>20%</w:t>
      </w:r>
      <w:r>
        <w:rPr>
          <w:sz w:val="22"/>
        </w:rPr>
        <w:t>，用作项目前期调研、资料整理。</w:t>
      </w:r>
    </w:p>
    <w:p>
      <w:pPr>
        <w:jc w:val="both"/>
      </w:pPr>
      <w:r>
        <w:rPr>
          <w:sz w:val="22"/>
        </w:rPr>
        <w:t>2</w:t>
      </w:r>
      <w:r>
        <w:rPr>
          <w:sz w:val="22"/>
        </w:rPr>
        <w:t>期</w:t>
      </w:r>
      <w:r>
        <w:rPr>
          <w:sz w:val="22"/>
        </w:rPr>
        <w:t>:</w:t>
      </w:r>
      <w:r>
        <w:rPr>
          <w:sz w:val="22"/>
        </w:rPr>
        <w:t>支付比例</w:t>
      </w:r>
      <w:r>
        <w:rPr>
          <w:sz w:val="22"/>
        </w:rPr>
        <w:t>30%</w:t>
      </w:r>
      <w:r>
        <w:rPr>
          <w:sz w:val="22"/>
        </w:rPr>
        <w:t>，详细规划方案完成，并通过部门联合审查和专家评审时，支付单个项目合同款的</w:t>
      </w:r>
      <w:r>
        <w:rPr>
          <w:sz w:val="22"/>
        </w:rPr>
        <w:t>30%</w:t>
      </w:r>
      <w:r>
        <w:rPr>
          <w:sz w:val="22"/>
        </w:rPr>
        <w:t>。</w:t>
      </w:r>
    </w:p>
    <w:p>
      <w:pPr>
        <w:jc w:val="both"/>
      </w:pPr>
      <w:r>
        <w:rPr>
          <w:sz w:val="22"/>
        </w:rPr>
        <w:t>3</w:t>
      </w:r>
      <w:r>
        <w:rPr>
          <w:sz w:val="22"/>
        </w:rPr>
        <w:t>期</w:t>
      </w:r>
      <w:r>
        <w:rPr>
          <w:sz w:val="22"/>
        </w:rPr>
        <w:t>:</w:t>
      </w:r>
      <w:r>
        <w:rPr>
          <w:sz w:val="22"/>
        </w:rPr>
        <w:t>支付比例</w:t>
      </w:r>
      <w:r>
        <w:rPr>
          <w:sz w:val="22"/>
        </w:rPr>
        <w:t>30%</w:t>
      </w:r>
      <w:r>
        <w:rPr>
          <w:sz w:val="22"/>
        </w:rPr>
        <w:t>，规划成果经</w:t>
      </w:r>
      <w:r>
        <w:rPr>
          <w:sz w:val="22"/>
        </w:rPr>
        <w:t>甲方</w:t>
      </w:r>
      <w:r>
        <w:rPr>
          <w:sz w:val="22"/>
        </w:rPr>
        <w:t>验收合格，</w:t>
      </w:r>
      <w:r>
        <w:rPr>
          <w:sz w:val="22"/>
        </w:rPr>
        <w:t>乙方</w:t>
      </w:r>
      <w:r>
        <w:rPr>
          <w:sz w:val="22"/>
        </w:rPr>
        <w:t>按要求提供成果时，支付余下</w:t>
      </w:r>
      <w:r>
        <w:rPr>
          <w:sz w:val="22"/>
        </w:rPr>
        <w:t>30%</w:t>
      </w:r>
      <w:r>
        <w:rPr>
          <w:sz w:val="22"/>
        </w:rPr>
        <w:t>的合同款。</w:t>
      </w:r>
    </w:p>
    <w:p>
      <w:pPr>
        <w:jc w:val="both"/>
      </w:pPr>
      <w:r>
        <w:rPr>
          <w:sz w:val="22"/>
        </w:rPr>
        <w:t>4</w:t>
      </w:r>
      <w:r>
        <w:rPr>
          <w:sz w:val="22"/>
        </w:rPr>
        <w:t>期</w:t>
      </w:r>
      <w:r>
        <w:rPr>
          <w:sz w:val="22"/>
        </w:rPr>
        <w:t>:</w:t>
      </w:r>
      <w:r>
        <w:rPr>
          <w:sz w:val="22"/>
        </w:rPr>
        <w:t>支付比例</w:t>
      </w:r>
      <w:r>
        <w:rPr>
          <w:sz w:val="22"/>
        </w:rPr>
        <w:t>20%</w:t>
      </w:r>
      <w:r>
        <w:rPr>
          <w:sz w:val="22"/>
        </w:rPr>
        <w:t>，提交全部正式成果，办理成果入库，并报自然资源主管部门盖章确认，支付余下</w:t>
      </w:r>
      <w:r>
        <w:rPr>
          <w:sz w:val="22"/>
        </w:rPr>
        <w:t>20%</w:t>
      </w:r>
      <w:r>
        <w:rPr>
          <w:sz w:val="22"/>
        </w:rPr>
        <w:t>的合同款。</w:t>
      </w:r>
    </w:p>
    <w:p>
      <w:pPr>
        <w:jc w:val="both"/>
      </w:pPr>
      <w:r>
        <w:rPr>
          <w:sz w:val="22"/>
        </w:rPr>
        <w:t>备注：双方可委托银行代付代收有关费用。本项目总费用包括现场勘察费、调研费、资料费、设计费、方案修改费、公示费、专家评审费、差旅费、公布费及打印费等在内的含税价格。</w:t>
      </w:r>
    </w:p>
    <w:p>
      <w:pPr>
        <w:jc w:val="both"/>
      </w:pPr>
      <w:r>
        <w:rPr>
          <w:b/>
          <w:sz w:val="22"/>
        </w:rPr>
        <w:t>六、知识产权归属</w:t>
      </w:r>
    </w:p>
    <w:p>
      <w:pPr>
        <w:jc w:val="both"/>
      </w:pPr>
      <w:r>
        <w:rPr>
          <w:b/>
          <w:sz w:val="22"/>
        </w:rPr>
        <w:t>七、保密</w:t>
      </w:r>
    </w:p>
    <w:p>
      <w:pPr>
        <w:jc w:val="both"/>
      </w:pPr>
      <w:r>
        <w:rPr>
          <w:b/>
          <w:sz w:val="22"/>
        </w:rPr>
        <w:t>八、违约责任与赔偿损失</w:t>
      </w:r>
    </w:p>
    <w:p>
      <w:pPr>
        <w:jc w:val="both"/>
      </w:pPr>
      <w:r>
        <w:rPr>
          <w:color w:val="222222"/>
          <w:sz w:val="22"/>
        </w:rPr>
        <w:t>1.</w:t>
      </w:r>
      <w:r>
        <w:rPr>
          <w:color w:val="222222"/>
          <w:sz w:val="22"/>
        </w:rPr>
        <w:t>乙方提供的服务不符合本合同规定的，甲方有权拒收，并且乙方须向甲方方支付本合同总价</w:t>
      </w:r>
      <w:r>
        <w:rPr>
          <w:color w:val="222222"/>
          <w:sz w:val="22"/>
        </w:rPr>
        <w:t>5%</w:t>
      </w:r>
      <w:r>
        <w:rPr>
          <w:color w:val="222222"/>
          <w:sz w:val="22"/>
        </w:rPr>
        <w:t>的违约金。</w:t>
      </w:r>
    </w:p>
    <w:p>
      <w:pPr>
        <w:jc w:val="both"/>
      </w:pPr>
      <w:r>
        <w:rPr>
          <w:color w:val="222222"/>
          <w:sz w:val="22"/>
        </w:rPr>
        <w:t>2.</w:t>
      </w:r>
      <w:r>
        <w:rPr>
          <w:color w:val="222222"/>
          <w:sz w:val="22"/>
        </w:rPr>
        <w:t>乙方未能按本合同规定的交货时间提供服务，从逾期之日起每日按本合同总价</w:t>
      </w:r>
      <w:r>
        <w:rPr>
          <w:color w:val="222222"/>
          <w:sz w:val="22"/>
        </w:rPr>
        <w:t>3‰</w:t>
      </w:r>
      <w:r>
        <w:rPr>
          <w:color w:val="222222"/>
          <w:sz w:val="22"/>
        </w:rPr>
        <w:t>的数额向甲方支付违约金；逾期半个月以上的，甲方有权终止合同，由此造成的甲方经济损失由乙方承担。</w:t>
      </w:r>
    </w:p>
    <w:p>
      <w:pPr>
        <w:jc w:val="both"/>
      </w:pPr>
      <w:r>
        <w:rPr>
          <w:color w:val="222222"/>
          <w:sz w:val="22"/>
        </w:rPr>
        <w:t>3.</w:t>
      </w:r>
      <w:r>
        <w:rPr>
          <w:color w:val="222222"/>
          <w:sz w:val="22"/>
        </w:rPr>
        <w:t>甲方无正当理由拒收接受服务，到期拒付服务款项的，甲方向乙方偿付本合同总的</w:t>
      </w:r>
      <w:r>
        <w:rPr>
          <w:color w:val="222222"/>
          <w:sz w:val="22"/>
        </w:rPr>
        <w:t>5%</w:t>
      </w:r>
      <w:r>
        <w:rPr>
          <w:color w:val="222222"/>
          <w:sz w:val="22"/>
        </w:rPr>
        <w:t>的违约金。甲方人逾期付款，则每日按本合同总价的</w:t>
      </w:r>
      <w:r>
        <w:rPr>
          <w:color w:val="222222"/>
          <w:sz w:val="22"/>
        </w:rPr>
        <w:t>3‰</w:t>
      </w:r>
      <w:r>
        <w:rPr>
          <w:color w:val="222222"/>
          <w:sz w:val="22"/>
        </w:rPr>
        <w:t>向乙方偿付违约金。</w:t>
      </w:r>
    </w:p>
    <w:p>
      <w:pPr>
        <w:jc w:val="both"/>
      </w:pPr>
      <w:r>
        <w:rPr>
          <w:color w:val="222222"/>
          <w:sz w:val="22"/>
        </w:rPr>
        <w:t>4.</w:t>
      </w:r>
      <w:r>
        <w:rPr>
          <w:color w:val="222222"/>
          <w:sz w:val="22"/>
        </w:rPr>
        <w:t>对于因甲方原因导致变更、中止或者终止政府采购合同的，甲方应当依照以下合同约定对供应商受到的损失予以赔偿或者补偿：</w:t>
      </w:r>
    </w:p>
    <w:p>
      <w:pPr>
        <w:jc w:val="both"/>
      </w:pPr>
      <w:r>
        <w:rPr>
          <w:sz w:val="21"/>
          <w:u w:val="single"/>
        </w:rPr>
        <w:t xml:space="preserve">              </w:t>
      </w:r>
    </w:p>
    <w:p>
      <w:pPr>
        <w:jc w:val="both"/>
      </w:pPr>
      <w:r>
        <w:rPr>
          <w:color w:val="222222"/>
          <w:sz w:val="22"/>
        </w:rPr>
        <w:t>5.</w:t>
      </w:r>
      <w:r>
        <w:rPr>
          <w:color w:val="222222"/>
          <w:sz w:val="22"/>
        </w:rPr>
        <w:t>其它违约责任按《中华人民共和国民法典</w:t>
      </w:r>
      <w:r>
        <w:rPr>
          <w:color w:val="222222"/>
          <w:sz w:val="22"/>
        </w:rPr>
        <w:t>(</w:t>
      </w:r>
      <w:r>
        <w:rPr>
          <w:color w:val="222222"/>
          <w:sz w:val="22"/>
        </w:rPr>
        <w:t>合同编</w:t>
      </w:r>
      <w:r>
        <w:rPr>
          <w:color w:val="222222"/>
          <w:sz w:val="22"/>
        </w:rPr>
        <w:t>)</w:t>
      </w:r>
      <w:r>
        <w:rPr>
          <w:color w:val="222222"/>
          <w:sz w:val="22"/>
        </w:rPr>
        <w:t>》处理。</w:t>
      </w:r>
    </w:p>
    <w:p>
      <w:pPr>
        <w:jc w:val="both"/>
      </w:pPr>
      <w:r>
        <w:rPr>
          <w:b/>
          <w:sz w:val="22"/>
        </w:rPr>
        <w:t>九、争议的解决</w:t>
      </w:r>
    </w:p>
    <w:p>
      <w:pPr>
        <w:ind w:firstLine="400"/>
        <w:jc w:val="both"/>
      </w:pPr>
      <w:r>
        <w:rPr>
          <w:color w:val="222222"/>
          <w:sz w:val="22"/>
        </w:rPr>
        <w:t>合同执行过程中发生的任何争议，如双方不能通过友好协商解决，按相关法律法规处理。</w:t>
      </w:r>
      <w:r>
        <w:rPr>
          <w:color w:val="222222"/>
          <w:sz w:val="22"/>
        </w:rPr>
        <w:t xml:space="preserve">  </w:t>
      </w:r>
    </w:p>
    <w:p>
      <w:pPr>
        <w:jc w:val="both"/>
      </w:pPr>
      <w:r>
        <w:rPr>
          <w:b/>
          <w:sz w:val="22"/>
        </w:rPr>
        <w:t>十、不可抗力</w:t>
      </w:r>
    </w:p>
    <w:p>
      <w:pPr>
        <w:jc w:val="both"/>
      </w:pPr>
      <w:r>
        <w:rPr>
          <w:color w:val="222222"/>
          <w:sz w:val="22"/>
        </w:rPr>
        <w:t>　　任何一方由于不可抗力原因不能履行合同时，应在不可抗力事件结束后</w:t>
      </w:r>
      <w:r>
        <w:rPr>
          <w:color w:val="222222"/>
          <w:sz w:val="22"/>
        </w:rPr>
        <w:t>1</w:t>
      </w:r>
      <w:r>
        <w:rPr>
          <w:color w:val="222222"/>
          <w:sz w:val="22"/>
        </w:rPr>
        <w:t>日内向对方通报，以减轻可能给对方造成的损失，在取得有关机构的不可抗力证明或双方谅解确认后，允许延期履行或修订合同，并根据情况可部分或全部免于承担违约责任。</w:t>
      </w:r>
    </w:p>
    <w:p>
      <w:pPr>
        <w:jc w:val="both"/>
      </w:pPr>
      <w:r>
        <w:rPr>
          <w:b/>
          <w:sz w:val="22"/>
        </w:rPr>
        <w:t>十一、税费</w:t>
      </w:r>
    </w:p>
    <w:p>
      <w:pPr>
        <w:jc w:val="both"/>
      </w:pPr>
      <w:r>
        <w:rPr>
          <w:color w:val="222222"/>
          <w:sz w:val="22"/>
        </w:rPr>
        <w:t>　　在中国境内、外发生的与本合同执行有关的一切税费均由乙方负担。</w:t>
      </w:r>
    </w:p>
    <w:p>
      <w:pPr>
        <w:jc w:val="both"/>
      </w:pPr>
      <w:r>
        <w:rPr>
          <w:b/>
          <w:sz w:val="22"/>
        </w:rPr>
        <w:t>十二、其它</w:t>
      </w:r>
    </w:p>
    <w:p>
      <w:pPr>
        <w:jc w:val="both"/>
      </w:pPr>
      <w:r>
        <w:rPr>
          <w:color w:val="222222"/>
          <w:sz w:val="22"/>
        </w:rPr>
        <w:t>1.</w:t>
      </w:r>
      <w:r>
        <w:rPr>
          <w:color w:val="222222"/>
          <w:sz w:val="22"/>
        </w:rPr>
        <w:t>本合同所有附件、招标文件、投标文件、中标通知书均为合同的有效组成部分，与本合同具有同等法律效力。</w:t>
      </w:r>
    </w:p>
    <w:p>
      <w:pPr>
        <w:jc w:val="both"/>
      </w:pPr>
      <w:r>
        <w:rPr>
          <w:color w:val="222222"/>
          <w:sz w:val="22"/>
        </w:rPr>
        <w:t>2.</w:t>
      </w:r>
      <w:r>
        <w:rPr>
          <w:color w:val="222222"/>
          <w:sz w:val="22"/>
        </w:rPr>
        <w:t>在执行本合同的过程中，所有经双方签署确认的文件（包括会议纪要、补充协议、往来信函）即成为本合同的有效组成部分。</w:t>
      </w:r>
    </w:p>
    <w:p>
      <w:pPr>
        <w:jc w:val="both"/>
      </w:pPr>
      <w:r>
        <w:rPr>
          <w:color w:val="222222"/>
          <w:sz w:val="22"/>
        </w:rPr>
        <w:t>3.</w:t>
      </w:r>
      <w:r>
        <w:rPr>
          <w:color w:val="222222"/>
          <w:sz w:val="22"/>
        </w:rPr>
        <w:t>如一方地址、电话、传真号码有变更，应在变更当日内书面通知对方，否则，应承担相应责任。</w:t>
      </w:r>
    </w:p>
    <w:p>
      <w:pPr>
        <w:jc w:val="both"/>
      </w:pPr>
      <w:r>
        <w:rPr>
          <w:color w:val="222222"/>
          <w:sz w:val="22"/>
        </w:rPr>
        <w:t>4.</w:t>
      </w:r>
      <w:r>
        <w:rPr>
          <w:color w:val="222222"/>
          <w:sz w:val="22"/>
        </w:rPr>
        <w:t>除甲方事先书面同意外，乙方不得部分或全部转让其应履行的合同项下的义务。</w:t>
      </w:r>
    </w:p>
    <w:p>
      <w:pPr>
        <w:jc w:val="both"/>
      </w:pPr>
      <w:r>
        <w:rPr>
          <w:b/>
          <w:sz w:val="22"/>
        </w:rPr>
        <w:t>十三、合同生效</w:t>
      </w:r>
    </w:p>
    <w:p>
      <w:pPr>
        <w:jc w:val="both"/>
      </w:pPr>
      <w:r>
        <w:rPr>
          <w:color w:val="222222"/>
          <w:sz w:val="22"/>
        </w:rPr>
        <w:t>1.</w:t>
      </w:r>
      <w:r>
        <w:rPr>
          <w:color w:val="222222"/>
          <w:sz w:val="22"/>
        </w:rPr>
        <w:t>本合同在甲乙双方法人代表或其授权代表签字盖章后生效。</w:t>
      </w:r>
    </w:p>
    <w:p>
      <w:pPr>
        <w:jc w:val="both"/>
      </w:pPr>
      <w:r>
        <w:rPr>
          <w:color w:val="222222"/>
          <w:sz w:val="22"/>
        </w:rPr>
        <w:t>2.</w:t>
      </w:r>
      <w:r>
        <w:rPr>
          <w:color w:val="222222"/>
          <w:sz w:val="22"/>
        </w:rPr>
        <w:t>合同一式</w:t>
      </w:r>
      <w:r>
        <w:rPr>
          <w:sz w:val="21"/>
          <w:u w:val="single"/>
        </w:rPr>
        <w:t xml:space="preserve">   </w:t>
      </w:r>
      <w:r>
        <w:rPr>
          <w:color w:val="222222"/>
          <w:sz w:val="22"/>
        </w:rPr>
        <w:t>份。具有同等法律效力，甲方执</w:t>
      </w:r>
      <w:r>
        <w:rPr>
          <w:sz w:val="21"/>
          <w:u w:val="single"/>
        </w:rPr>
        <w:t xml:space="preserve">    </w:t>
      </w:r>
      <w:r>
        <w:rPr>
          <w:color w:val="222222"/>
          <w:sz w:val="22"/>
        </w:rPr>
        <w:t>份，乙方执</w:t>
      </w:r>
      <w:r>
        <w:rPr>
          <w:sz w:val="21"/>
          <w:u w:val="single"/>
        </w:rPr>
        <w:t xml:space="preserve">    </w:t>
      </w:r>
      <w:r>
        <w:rPr>
          <w:color w:val="222222"/>
          <w:sz w:val="22"/>
        </w:rPr>
        <w:t>份，招标代理机构执</w:t>
      </w:r>
      <w:r>
        <w:rPr>
          <w:color w:val="222222"/>
          <w:sz w:val="22"/>
          <w:u w:val="single"/>
        </w:rPr>
        <w:t xml:space="preserve"> </w:t>
      </w:r>
      <w:r>
        <w:rPr>
          <w:color w:val="222222"/>
          <w:sz w:val="22"/>
          <w:u w:val="single"/>
        </w:rPr>
        <w:t>壹</w:t>
      </w:r>
      <w:r>
        <w:rPr>
          <w:color w:val="222222"/>
          <w:sz w:val="22"/>
        </w:rPr>
        <w:t>份，合同自签字之日起即日生效。</w:t>
      </w:r>
    </w:p>
    <w:p>
      <w:pPr>
        <w:jc w:val="both"/>
      </w:pPr>
      <w:r>
        <w:rPr>
          <w:sz w:val="21"/>
        </w:rPr>
        <w:t xml:space="preserve"> </w:t>
      </w:r>
    </w:p>
    <w:p>
      <w:pPr>
        <w:jc w:val="both"/>
      </w:pPr>
      <w:r>
        <w:rPr>
          <w:b/>
          <w:sz w:val="22"/>
        </w:rPr>
        <w:t>甲方（盖章）：</w:t>
      </w:r>
      <w:r>
        <w:rPr>
          <w:b/>
          <w:sz w:val="22"/>
        </w:rPr>
        <w:t xml:space="preserve">                                    </w:t>
      </w:r>
      <w:r>
        <w:rPr>
          <w:b/>
          <w:sz w:val="22"/>
        </w:rPr>
        <w:t>乙方（盖章）：</w:t>
      </w:r>
    </w:p>
    <w:p>
      <w:pPr>
        <w:jc w:val="both"/>
      </w:pPr>
      <w:r>
        <w:rPr>
          <w:b/>
          <w:sz w:val="22"/>
        </w:rPr>
        <w:t>代表：</w:t>
      </w:r>
      <w:r>
        <w:rPr>
          <w:b/>
          <w:sz w:val="22"/>
        </w:rPr>
        <w:t xml:space="preserve">                                                   </w:t>
      </w:r>
      <w:r>
        <w:rPr>
          <w:b/>
          <w:sz w:val="22"/>
        </w:rPr>
        <w:t>代表：</w:t>
      </w:r>
    </w:p>
    <w:p>
      <w:pPr>
        <w:jc w:val="both"/>
      </w:pPr>
      <w:r>
        <w:rPr>
          <w:color w:val="222222"/>
          <w:sz w:val="22"/>
        </w:rPr>
        <w:t>签订地点：</w:t>
      </w:r>
    </w:p>
    <w:p>
      <w:pPr>
        <w:jc w:val="both"/>
      </w:pPr>
      <w:r>
        <w:rPr>
          <w:color w:val="222222"/>
          <w:sz w:val="22"/>
        </w:rPr>
        <w:t>签订日期：　　　年　　月　　日</w:t>
      </w:r>
      <w:r>
        <w:rPr>
          <w:color w:val="222222"/>
          <w:sz w:val="22"/>
        </w:rPr>
        <w:t xml:space="preserve">          </w:t>
      </w:r>
      <w:r>
        <w:rPr>
          <w:color w:val="222222"/>
          <w:sz w:val="22"/>
        </w:rPr>
        <w:t>签订日期：　　　年　　月　　日</w:t>
      </w:r>
    </w:p>
    <w:p>
      <w:pPr>
        <w:jc w:val="both"/>
      </w:pPr>
      <w:r>
        <w:rPr>
          <w:color w:val="222222"/>
          <w:sz w:val="22"/>
        </w:rPr>
        <w:t>开户名称：</w:t>
      </w:r>
    </w:p>
    <w:p>
      <w:pPr>
        <w:jc w:val="both"/>
      </w:pPr>
      <w:r>
        <w:rPr>
          <w:color w:val="222222"/>
          <w:sz w:val="22"/>
        </w:rPr>
        <w:t>银行帐号：</w:t>
      </w:r>
    </w:p>
    <w:p>
      <w:pPr>
        <w:jc w:val="both"/>
      </w:pPr>
      <w:r>
        <w:rPr>
          <w:color w:val="222222"/>
          <w:sz w:val="22"/>
        </w:rPr>
        <w:t>开户行：</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442000003-2023-01250</w:t>
      </w:r>
    </w:p>
    <w:p>
      <w:pPr>
        <w:jc w:val="center"/>
      </w:pPr>
      <w:r>
        <w:rPr>
          <w:b/>
          <w:sz w:val="24"/>
        </w:rPr>
        <w:t>采购项目编号：</w:t>
      </w:r>
      <w:r>
        <w:rPr>
          <w:b/>
          <w:sz w:val="24"/>
        </w:rPr>
        <w:t>442000003-2023-01250</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中山火炬开发区（含民众街道）2023年采购规划论证服务项目(二次)</w:t>
      </w:r>
      <w:r>
        <w:rPr>
          <w:u w:val="single"/>
        </w:rPr>
        <w:t>”</w:t>
      </w:r>
      <w:r>
        <w:rPr/>
        <w:t>项目的招标[采购项目编号为：</w:t>
      </w:r>
      <w:r>
        <w:rPr>
          <w:u w:val="single"/>
        </w:rPr>
        <w:t>442000003-2023-01250</w:t>
      </w:r>
      <w:r>
        <w:rPr/>
        <w:t>]，我方愿参与投标。</w:t>
      </w:r>
    </w:p>
    <w:p>
      <w:pPr>
        <w:ind w:firstLine="480"/>
      </w:pPr>
      <w:r>
        <w:rPr/>
        <w:t>我方确认收到贵方提供的</w:t>
      </w:r>
      <w:r>
        <w:rPr>
          <w:u w:val="single"/>
        </w:rPr>
        <w:t>“</w:t>
      </w:r>
      <w:r>
        <w:rPr>
          <w:u w:val="single"/>
        </w:rPr>
        <w:t>中山火炬开发区（含民众街道）2023年采购规划论证服务项目(二次)</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中山火炬开发区（含民众街道）2023年采购规划论证服务项目(二次)</w:t>
      </w:r>
      <w:r>
        <w:rPr/>
        <w:t>”项目采购[采购项目编号为</w:t>
      </w:r>
      <w:r>
        <w:rPr/>
        <w:t>442000003-2023-01250</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中山火炬高技术产业开发区城乡建设服务中心(土地房屋征收中心）</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中山火炬开发区（含民众街道）2023年采购规划论证服务项目(二次)</w:t>
      </w:r>
      <w:r>
        <w:rPr/>
        <w:t>招标中获中标（采购项目编号：</w:t>
      </w:r>
      <w:r>
        <w:rPr/>
        <w:t>442000003-2023-01250</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中山火炬开发区（含民众街道）2023年采购规划论证服务项目(二次)</w:t>
      </w:r>
      <w:r>
        <w:rPr/>
        <w:t>”项目（采购项目编号：</w:t>
      </w:r>
      <w:r>
        <w:rPr/>
        <w:t>442000003-2023-01250</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