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442000-2024-02945</w:t>
      </w:r>
    </w:p>
    <w:p>
      <w:pPr>
        <w:pStyle w:val="null3"/>
        <w:jc w:val="center"/>
        <w:outlineLvl w:val="3"/>
      </w:pPr>
      <w:r>
        <w:rPr>
          <w:sz w:val="24"/>
          <w:b/>
        </w:rPr>
        <w:t>采购项目编号：</w:t>
      </w:r>
      <w:r>
        <w:rPr>
          <w:sz w:val="24"/>
          <w:b/>
        </w:rPr>
        <w:t>442000-2024-02945</w:t>
      </w:r>
    </w:p>
    <w:p>
      <w:pPr>
        <w:pStyle w:val="null3"/>
        <w:jc w:val="center"/>
        <w:outlineLvl w:val="3"/>
      </w:pPr>
      <w:r>
        <w:rPr>
          <w:sz w:val="24"/>
          <w:b/>
        </w:rPr>
        <w:t>项目名称：</w:t>
      </w:r>
      <w:r>
        <w:rPr>
          <w:sz w:val="24"/>
          <w:b/>
        </w:rPr>
        <w:t>中山市“质慧眼”智能快筛服务运营</w:t>
      </w:r>
    </w:p>
    <w:p>
      <w:pPr>
        <w:pStyle w:val="null3"/>
        <w:jc w:val="center"/>
        <w:outlineLvl w:val="3"/>
      </w:pPr>
      <w:r>
        <w:rPr>
          <w:sz w:val="24"/>
          <w:b/>
        </w:rPr>
        <w:t>采购人：</w:t>
      </w:r>
      <w:r>
        <w:rPr>
          <w:sz w:val="24"/>
          <w:b/>
        </w:rPr>
        <w:t>中山市市场监督管理局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中山市市场监督管理局</w:t>
      </w:r>
      <w:r>
        <w:rPr/>
        <w:t>的委托，采用</w:t>
      </w:r>
      <w:r>
        <w:rPr/>
        <w:t>竞争性磋商</w:t>
      </w:r>
      <w:r>
        <w:rPr/>
        <w:t>方式组织采购</w:t>
      </w:r>
      <w:r>
        <w:rPr/>
        <w:t>中山市“质慧眼”智能快筛服务运营</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中山市“质慧眼”智能快筛服务运营</w:t>
      </w:r>
    </w:p>
    <w:p>
      <w:pPr>
        <w:pStyle w:val="null3"/>
        <w:ind w:firstLine="480"/>
      </w:pPr>
      <w:r>
        <w:rPr/>
        <w:t>采购计划编号：</w:t>
      </w:r>
      <w:r>
        <w:rPr/>
        <w:t>442000-2024-02945</w:t>
      </w:r>
    </w:p>
    <w:p>
      <w:pPr>
        <w:pStyle w:val="null3"/>
        <w:ind w:firstLine="480"/>
      </w:pPr>
      <w:r>
        <w:rPr/>
        <w:t>采购项目编号：</w:t>
      </w:r>
      <w:r>
        <w:rPr/>
        <w:t>442000-2024-02945</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采购包1(中山市“质慧眼”智能快筛服务运营):</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中山市“质慧眼”智能快筛服务运营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合同履行期限：自合同约定生效之日起1年，成交供应商在结果公告发布后30天内签订合同。</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采购包1（中山市“质慧眼”智能快筛服务运营）：</w:t>
      </w:r>
      <w:r>
        <w:rPr/>
        <w:t>本项目不专门面向中小企业采购。</w:t>
      </w:r>
    </w:p>
    <w:p>
      <w:pPr>
        <w:pStyle w:val="null3"/>
        <w:outlineLvl w:val="3"/>
      </w:pPr>
      <w:r>
        <w:rPr>
          <w:sz w:val="24"/>
          <w:b/>
        </w:rPr>
        <w:t>3.本项目特定的资格要求：</w:t>
      </w:r>
    </w:p>
    <w:p>
      <w:pPr>
        <w:pStyle w:val="null3"/>
      </w:pPr>
      <w:r>
        <w:rPr/>
        <w:t>采购包1（中山市“质慧眼”智能快筛服务运营）：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中山市市场监督管理局</w:t>
      </w:r>
    </w:p>
    <w:p>
      <w:pPr>
        <w:pStyle w:val="null3"/>
        <w:ind w:firstLine="480"/>
      </w:pPr>
      <w:r>
        <w:rPr/>
        <w:t>地址：</w:t>
      </w:r>
      <w:r>
        <w:rPr/>
        <w:t>中山市博爱六路48号</w:t>
      </w:r>
    </w:p>
    <w:p>
      <w:pPr>
        <w:pStyle w:val="null3"/>
        <w:ind w:firstLine="480"/>
      </w:pPr>
      <w:r>
        <w:rPr/>
        <w:t>联系方式：</w:t>
      </w:r>
      <w:r>
        <w:rPr/>
        <w:t>0760-88324900 采购人纪检监察电话：88169379 联系人：曹小姐</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刘姝</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2024年中山市“质慧眼”智能快筛服务运营</w:t>
      </w:r>
    </w:p>
    <w:p>
      <w:pPr>
        <w:pStyle w:val="null3"/>
        <w:jc w:val="both"/>
      </w:pPr>
      <w:r>
        <w:rPr>
          <w:sz w:val="24"/>
        </w:rPr>
        <w:t>2.采购计划编号：</w:t>
      </w:r>
      <w:r>
        <w:rPr>
          <w:sz w:val="24"/>
        </w:rPr>
        <w:t>442000-2024-02945</w:t>
      </w:r>
    </w:p>
    <w:p>
      <w:pPr>
        <w:pStyle w:val="null3"/>
        <w:jc w:val="both"/>
      </w:pPr>
      <w:r>
        <w:rPr>
          <w:sz w:val="24"/>
        </w:rPr>
        <w:t>3.采购项目编号：</w:t>
      </w:r>
      <w:r>
        <w:rPr>
          <w:sz w:val="24"/>
        </w:rPr>
        <w:t>442000-2024-02945</w:t>
      </w:r>
    </w:p>
    <w:p>
      <w:pPr>
        <w:pStyle w:val="null3"/>
        <w:jc w:val="both"/>
      </w:pPr>
      <w:r>
        <w:rPr>
          <w:sz w:val="24"/>
        </w:rPr>
        <w:t>4.采购方式：竞争性磋商</w:t>
      </w:r>
    </w:p>
    <w:p>
      <w:pPr>
        <w:pStyle w:val="null3"/>
        <w:jc w:val="both"/>
      </w:pPr>
      <w:r>
        <w:rPr>
          <w:sz w:val="24"/>
        </w:rPr>
        <w:t>5.预算金额：</w:t>
      </w:r>
      <w:r>
        <w:rPr>
          <w:sz w:val="24"/>
        </w:rPr>
        <w:t>1,000,000.00</w:t>
      </w:r>
      <w:r>
        <w:rPr>
          <w:sz w:val="24"/>
        </w:rPr>
        <w:t>元</w:t>
      </w:r>
    </w:p>
    <w:p>
      <w:pPr>
        <w:pStyle w:val="null3"/>
        <w:jc w:val="both"/>
      </w:pPr>
      <w:r>
        <w:rPr>
          <w:sz w:val="24"/>
        </w:rPr>
        <w:t>6.本项目不属于专门面向中小企业项目。</w:t>
      </w:r>
    </w:p>
    <w:p>
      <w:pPr>
        <w:pStyle w:val="null3"/>
        <w:jc w:val="both"/>
      </w:pPr>
      <w:r>
        <w:rPr>
          <w:sz w:val="24"/>
        </w:rPr>
        <w:t>7.采购标的对应的中小企业划分标准所属行业为：其他未列明行业。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w:t>
      </w:r>
      <w:r>
        <w:rPr>
          <w:sz w:val="24"/>
        </w:rPr>
        <w:t>自合同约定生效之日起</w:t>
      </w:r>
      <w:r>
        <w:rPr>
          <w:sz w:val="24"/>
        </w:rPr>
        <w:t>1年，成交供应商在结果公告发布后30天内签订合同。</w:t>
      </w:r>
    </w:p>
    <w:p>
      <w:pPr>
        <w:pStyle w:val="null3"/>
        <w:jc w:val="both"/>
      </w:pPr>
      <w:r>
        <w:rPr>
          <w:sz w:val="24"/>
        </w:rPr>
        <w:t>10.未经采购人同意，成交人不得以任何方式转包或分包本项目。</w:t>
      </w:r>
    </w:p>
    <w:p>
      <w:pPr>
        <w:pStyle w:val="null3"/>
        <w:jc w:val="both"/>
      </w:pPr>
      <w:r>
        <w:rPr>
          <w:sz w:val="24"/>
        </w:rPr>
        <w:t>11</w:t>
      </w:r>
      <w:r>
        <w:rPr>
          <w:sz w:val="24"/>
        </w:rPr>
        <w:t>.</w:t>
      </w:r>
      <w:r>
        <w:rPr>
          <w:sz w:val="24"/>
        </w:rPr>
        <w:t>采购人有权在签订合同时对项目内容作适当修改调整或对服务内容作适量增加或减少，但不得对磋商文件约定的条款作出实质性的变更。</w:t>
      </w:r>
    </w:p>
    <w:p>
      <w:pPr>
        <w:pStyle w:val="null3"/>
        <w:jc w:val="both"/>
      </w:pPr>
      <w:r>
        <w:rPr>
          <w:sz w:val="24"/>
          <w:b/>
        </w:rPr>
        <w:t>12.磋商文件中凡有“★”标识的内容条款为关键条款，供应商必须对此作全面响应和满足，任何负偏离则将被视为无效投标。加注“▲”标识的内容为重点评标条款，供应商必须对该标识条款按照要求进行真实应答描述。</w:t>
      </w:r>
    </w:p>
    <w:p>
      <w:pPr>
        <w:pStyle w:val="null3"/>
        <w:jc w:val="both"/>
      </w:pPr>
      <w:r>
        <w:rPr>
          <w:sz w:val="24"/>
          <w:b/>
        </w:rPr>
        <w:t>13.本项目由成交人负责磋商文件对成交人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14.重要说明</w:t>
      </w:r>
    </w:p>
    <w:p>
      <w:pPr>
        <w:pStyle w:val="null3"/>
        <w:jc w:val="both"/>
      </w:pPr>
      <w:r>
        <w:rPr>
          <w:sz w:val="24"/>
        </w:rPr>
        <w:t xml:space="preserve">  </w:t>
      </w:r>
      <w:r>
        <w:rPr>
          <w:sz w:val="24"/>
        </w:rPr>
        <w:t>如供应商认为本磋商文件中存在</w:t>
      </w:r>
      <w:r>
        <w:rPr>
          <w:sz w:val="24"/>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b/>
        </w:rPr>
        <w:t>15.供应商需参照以下格式在响应文件中出具《无围标、串标行为承诺书》。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2024年中山市“质慧眼”智能快筛服务运营</w:t>
      </w:r>
      <w:r>
        <w:rPr>
          <w:u w:val="single"/>
        </w:rPr>
        <w:t xml:space="preserve">  </w:t>
      </w:r>
      <w:r>
        <w:rPr>
          <w:sz w:val="24"/>
        </w:rPr>
        <w:t>[采购项目编号：</w:t>
      </w:r>
      <w:r>
        <w:rPr>
          <w:u w:val="single"/>
        </w:rPr>
        <w:t xml:space="preserve"> </w:t>
      </w:r>
      <w:r>
        <w:rPr>
          <w:sz w:val="24"/>
          <w:u w:val="single"/>
        </w:rPr>
        <w:t>442000-2024-02945</w:t>
      </w:r>
      <w:r>
        <w:rPr>
          <w:u w:val="single"/>
        </w:rPr>
        <w:t xml:space="preserve">  </w:t>
      </w:r>
      <w:r>
        <w:rPr>
          <w:sz w:val="24"/>
        </w:rPr>
        <w:t>]活动中，无以下围标、串标行为。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p>
    <w:p>
      <w:pPr>
        <w:pStyle w:val="null3"/>
      </w:pPr>
      <w:r>
        <w:rPr>
          <w:sz w:val="24"/>
        </w:rPr>
        <w:t xml:space="preserve">    </w:t>
      </w:r>
      <w:r>
        <w:rPr>
          <w:sz w:val="24"/>
        </w:rPr>
        <w:t>7）单位负责人为同一人或者存在控股、管理关系的不同单位参加同一招标项目投标；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right"/>
      </w:pPr>
      <w:r>
        <w:rPr/>
        <w:t>采购包1（中山市“质慧眼”智能快筛服务运营）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自合同约定生效之日起1年，成交供应商在结果公告发布后30天内签订合同。</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1期：支付比例50%,在合同签订之后 20 天内，采购人支付合同总价的50%作为项目预付款，因采购人使用的是财政资金，如因非采购人原因导致的当期结算费用未能准时到账，实际支付时间以财政部门拨款之日为准。</w:t>
            </w:r>
          </w:p>
          <w:p>
            <w:pPr>
              <w:pStyle w:val="null3"/>
            </w:pPr>
            <w:r>
              <w:rPr/>
              <w:t>2期：支付比例50%,在项目通过综合验收合格后 20 天内支付合同总价的50%，因采购人使用的是财政资金，如因非采购人原因导致的当期结算费用未能准时到账，实际支付时间以财政部门拨款之日为准。如只有部分品类验收合格，将按品类比例支付费用；验收不合格部分成交人需1个月内完成整改，如再次验收不合格，将核减不合格品类费用。顺延至下一年度，直至验收合格。采购人每次办理支付项目款之前，成交人都应开具符合采购人财务要求的等额发票，若因成交人未及时开具发票以致采购人逾期支付款项的，责任由成交人承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1期：1.成交人在合同约定的时间向采购人提出项目验收申请,并按照合同的要求准备相关材料。 2.验收由采购人组织进行，于11月30日前开始组织验收，本项目涉及的相应品类应能实现有效快筛服务。成交供应商应在项目验收时需将项目涉及的全部服务的过程、总结、技术文件、资料及实施、验收报告等文档汇集成册交付采购人。 2.1.技术文件、资料包括但不限于： （1）系统开发相关文档（包括但不限于需求规格说明书、概要设计说明书、系统详细设计报、数据库设计文档等）； （2）软件的源程序及可执行代码； （3）系统运维指南或系统使用手册； （4）用户使用手册、系统测试报告； （5）售后服务承诺函、项目验收相关资料、报告等。 3.验收标准：项目成果质量和工作内容满足本项目实施依据相关文件的要求，并通过采购人审核和验收认可。</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2.本项目报价包括但不限于完成本项目的成本、利润、运输、装卸、售后服务、保险、搬运费、税费以及本项目执行过程中可预见和不可预见的一切费用。</w:t>
            </w:r>
          </w:p>
        </w:tc>
      </w:tr>
      <w:tr>
        <w:tc>
          <w:tcPr>
            <w:tcW w:type="dxa" w:w="2076"/>
          </w:tcPr>
          <w:p/>
        </w:tc>
        <w:tc>
          <w:tcPr>
            <w:tcW w:type="dxa" w:w="2076"/>
          </w:tcPr>
          <w:p>
            <w:pPr>
              <w:pStyle w:val="null3"/>
              <w:jc w:val="center"/>
            </w:pPr>
            <w:r>
              <w:rPr/>
              <w:t>2</w:t>
            </w:r>
          </w:p>
        </w:tc>
        <w:tc>
          <w:tcPr>
            <w:tcW w:type="dxa" w:w="2076"/>
          </w:tcPr>
          <w:p>
            <w:pPr>
              <w:pStyle w:val="null3"/>
              <w:jc w:val="left"/>
            </w:pPr>
            <w:r>
              <w:rPr/>
              <w:t>维护服务</w:t>
            </w:r>
          </w:p>
        </w:tc>
        <w:tc>
          <w:tcPr>
            <w:tcW w:type="dxa" w:w="2076"/>
          </w:tcPr>
          <w:p>
            <w:pPr>
              <w:pStyle w:val="null3"/>
              <w:jc w:val="left"/>
            </w:pPr>
            <w:r>
              <w:rPr/>
              <w:t>1.成交人应在验收结束之日起，提供一年的免费质保期服务，并至少派出1名技术人员在项目执行期内和质保期内驻点服务； 2.维护服务：在质保期内，成交人应该免费提供每周7*24小时电话、远程技术支持，对于电话支持无法解决的问题，需4小时内到达现场解决故障。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中山市“质慧眼”智能快筛服务运营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中山市“质慧眼”智能快筛服务运营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pPr>
            <w:r>
              <w:rPr>
                <w:sz w:val="24"/>
                <w:b/>
              </w:rPr>
              <w:t>（一）目的和意义</w:t>
            </w:r>
          </w:p>
          <w:p>
            <w:pPr>
              <w:pStyle w:val="null3"/>
              <w:ind w:firstLine="480"/>
            </w:pPr>
            <w:r>
              <w:rPr>
                <w:sz w:val="24"/>
              </w:rPr>
              <w:t>为了有效</w:t>
            </w:r>
            <w:r>
              <w:rPr>
                <w:sz w:val="24"/>
              </w:rPr>
              <w:t>协助</w:t>
            </w:r>
            <w:r>
              <w:rPr>
                <w:sz w:val="24"/>
              </w:rPr>
              <w:t>中山市区域内企业</w:t>
            </w:r>
            <w:r>
              <w:rPr>
                <w:sz w:val="24"/>
              </w:rPr>
              <w:t>掌握</w:t>
            </w:r>
            <w:r>
              <w:rPr>
                <w:sz w:val="24"/>
              </w:rPr>
              <w:t>对产品标签标识</w:t>
            </w:r>
            <w:r>
              <w:rPr>
                <w:sz w:val="24"/>
              </w:rPr>
              <w:t>的</w:t>
            </w:r>
            <w:r>
              <w:rPr>
                <w:sz w:val="24"/>
              </w:rPr>
              <w:t>标准要求，通过开展</w:t>
            </w:r>
            <w:r>
              <w:rPr>
                <w:sz w:val="24"/>
              </w:rPr>
              <w:t>“质慧眼 ”智能快筛服务运营项目，协助企业</w:t>
            </w:r>
            <w:r>
              <w:rPr>
                <w:sz w:val="24"/>
              </w:rPr>
              <w:t>规范标注</w:t>
            </w:r>
            <w:r>
              <w:rPr>
                <w:sz w:val="24"/>
              </w:rPr>
              <w:t>产品标签标识</w:t>
            </w:r>
            <w:r>
              <w:rPr>
                <w:sz w:val="24"/>
              </w:rPr>
              <w:t>并开展</w:t>
            </w:r>
            <w:r>
              <w:rPr>
                <w:sz w:val="24"/>
              </w:rPr>
              <w:t>质量自检，加强企业对法律法规标准的认知观念，促进</w:t>
            </w:r>
            <w:r>
              <w:rPr>
                <w:sz w:val="24"/>
              </w:rPr>
              <w:t>中山市</w:t>
            </w:r>
            <w:r>
              <w:rPr>
                <w:sz w:val="24"/>
              </w:rPr>
              <w:t>产品总体质量水平的提升，充分保护消费者的合法权益。</w:t>
            </w:r>
          </w:p>
          <w:p>
            <w:pPr>
              <w:pStyle w:val="null3"/>
              <w:ind w:firstLine="482"/>
            </w:pPr>
            <w:r>
              <w:rPr>
                <w:sz w:val="24"/>
                <w:b/>
              </w:rPr>
              <w:t>（二）建设目标</w:t>
            </w:r>
          </w:p>
          <w:p>
            <w:pPr>
              <w:pStyle w:val="null3"/>
              <w:ind w:firstLine="480"/>
            </w:pPr>
            <w:r>
              <w:rPr>
                <w:sz w:val="24"/>
              </w:rPr>
              <w:t>1.开展“质慧眼”智能快筛服务运营：</w:t>
            </w:r>
          </w:p>
          <w:p>
            <w:pPr>
              <w:pStyle w:val="null3"/>
              <w:ind w:firstLine="480"/>
            </w:pPr>
            <w:r>
              <w:rPr>
                <w:sz w:val="24"/>
              </w:rPr>
              <w:t>1.1.研究和梳理产品标签标识的标准要求及检测流程，协助企业</w:t>
            </w:r>
            <w:r>
              <w:rPr>
                <w:sz w:val="24"/>
              </w:rPr>
              <w:t>规范标注</w:t>
            </w:r>
            <w:r>
              <w:rPr>
                <w:sz w:val="24"/>
              </w:rPr>
              <w:t>产品标签标识</w:t>
            </w:r>
            <w:r>
              <w:rPr>
                <w:sz w:val="24"/>
              </w:rPr>
              <w:t>并开展</w:t>
            </w:r>
            <w:r>
              <w:rPr>
                <w:sz w:val="24"/>
              </w:rPr>
              <w:t>质量自检</w:t>
            </w:r>
            <w:r>
              <w:rPr>
                <w:sz w:val="24"/>
              </w:rPr>
              <w:t>，</w:t>
            </w:r>
            <w:r>
              <w:rPr>
                <w:sz w:val="24"/>
              </w:rPr>
              <w:t>有效解决企业</w:t>
            </w:r>
            <w:r>
              <w:rPr>
                <w:sz w:val="24"/>
              </w:rPr>
              <w:t>存在的问题包括但不限于</w:t>
            </w:r>
            <w:r>
              <w:rPr>
                <w:sz w:val="24"/>
              </w:rPr>
              <w:t>对产品归类不</w:t>
            </w:r>
            <w:r>
              <w:rPr>
                <w:sz w:val="24"/>
              </w:rPr>
              <w:t>准确</w:t>
            </w:r>
            <w:r>
              <w:rPr>
                <w:sz w:val="24"/>
              </w:rPr>
              <w:t>、参照标准不</w:t>
            </w:r>
            <w:r>
              <w:rPr>
                <w:sz w:val="24"/>
              </w:rPr>
              <w:t>准确</w:t>
            </w:r>
            <w:r>
              <w:rPr>
                <w:sz w:val="24"/>
              </w:rPr>
              <w:t>、参照标准版本不清晰，消除用户主观解读标准存在的</w:t>
            </w:r>
            <w:r>
              <w:rPr>
                <w:sz w:val="24"/>
              </w:rPr>
              <w:t>误区</w:t>
            </w:r>
            <w:r>
              <w:rPr>
                <w:sz w:val="24"/>
              </w:rPr>
              <w:t>。</w:t>
            </w:r>
          </w:p>
          <w:p>
            <w:pPr>
              <w:pStyle w:val="null3"/>
              <w:ind w:firstLine="480"/>
            </w:pPr>
            <w:r>
              <w:rPr>
                <w:sz w:val="24"/>
              </w:rPr>
              <w:t>1.2.研发实物品类、标签智能识别技术，使生产企业</w:t>
            </w:r>
            <w:r>
              <w:rPr>
                <w:sz w:val="24"/>
              </w:rPr>
              <w:t>，</w:t>
            </w:r>
            <w:r>
              <w:rPr>
                <w:sz w:val="24"/>
              </w:rPr>
              <w:t>了解自产产品标签标识需自检项目明细，能针对性地</w:t>
            </w:r>
            <w:r>
              <w:rPr>
                <w:sz w:val="24"/>
              </w:rPr>
              <w:t>规范不合格的</w:t>
            </w:r>
            <w:r>
              <w:rPr>
                <w:sz w:val="24"/>
              </w:rPr>
              <w:t>标签标识。</w:t>
            </w:r>
          </w:p>
          <w:p>
            <w:pPr>
              <w:pStyle w:val="null3"/>
              <w:ind w:firstLine="480"/>
            </w:pPr>
            <w:r>
              <w:rPr>
                <w:sz w:val="24"/>
              </w:rPr>
              <w:t>1.3.研发产品标签辅助企业产品标签标识制作或自检相关功能，为企业在产品标签标识设计制作工作中提供</w:t>
            </w:r>
            <w:r>
              <w:rPr>
                <w:sz w:val="24"/>
              </w:rPr>
              <w:t>准确的</w:t>
            </w:r>
            <w:r>
              <w:rPr>
                <w:sz w:val="24"/>
              </w:rPr>
              <w:t>标准，降低企业制作标签标识的难度，消除标签标识存在的问题。</w:t>
            </w:r>
          </w:p>
          <w:p>
            <w:pPr>
              <w:pStyle w:val="null3"/>
              <w:ind w:firstLine="480"/>
            </w:pPr>
            <w:r>
              <w:rPr>
                <w:sz w:val="24"/>
              </w:rPr>
              <w:t>1.4.在产品标签标识自检功能中融入全国监督抽检工作中对产品标签标识的监督抽检案例， 帮助企业了解产品标签标识质量的重要性，减少检出标签标识不合格情况，</w:t>
            </w:r>
            <w:r>
              <w:rPr>
                <w:sz w:val="24"/>
              </w:rPr>
              <w:t>通过</w:t>
            </w:r>
            <w:r>
              <w:rPr>
                <w:sz w:val="24"/>
              </w:rPr>
              <w:t>广泛宣传教育</w:t>
            </w:r>
            <w:r>
              <w:rPr>
                <w:sz w:val="24"/>
              </w:rPr>
              <w:t>，使企业深刻认识准确标注</w:t>
            </w:r>
            <w:r>
              <w:rPr>
                <w:sz w:val="24"/>
              </w:rPr>
              <w:t>产品标签标识</w:t>
            </w:r>
            <w:r>
              <w:rPr>
                <w:sz w:val="24"/>
              </w:rPr>
              <w:t>的重要性</w:t>
            </w:r>
            <w:r>
              <w:rPr>
                <w:sz w:val="24"/>
              </w:rPr>
              <w:t>。</w:t>
            </w:r>
          </w:p>
          <w:p>
            <w:pPr>
              <w:pStyle w:val="null3"/>
              <w:ind w:firstLine="480"/>
            </w:pPr>
            <w:r>
              <w:rPr>
                <w:sz w:val="24"/>
              </w:rPr>
              <w:t>2.项目完成指标：</w:t>
            </w:r>
          </w:p>
          <w:p>
            <w:pPr>
              <w:pStyle w:val="null3"/>
              <w:ind w:firstLine="480"/>
            </w:pPr>
            <w:r>
              <w:rPr>
                <w:sz w:val="24"/>
              </w:rPr>
              <w:t>2.1.持续精进优化“质慧眼”工具涵盖的11</w:t>
            </w:r>
            <w:r>
              <w:rPr>
                <w:sz w:val="24"/>
              </w:rPr>
              <w:t>个</w:t>
            </w:r>
            <w:r>
              <w:rPr>
                <w:sz w:val="24"/>
              </w:rPr>
              <w:t>产品种类，确保工具应用最新国家标准对当前市场产品进行标签标识合规判别。</w:t>
            </w:r>
          </w:p>
          <w:p>
            <w:pPr>
              <w:pStyle w:val="null3"/>
              <w:ind w:firstLine="480"/>
            </w:pPr>
            <w:r>
              <w:rPr>
                <w:sz w:val="24"/>
              </w:rPr>
              <w:t>2.2.“质慧眼”工具新增支持15</w:t>
            </w:r>
            <w:r>
              <w:rPr>
                <w:sz w:val="24"/>
              </w:rPr>
              <w:t>个</w:t>
            </w:r>
            <w:r>
              <w:rPr>
                <w:sz w:val="24"/>
              </w:rPr>
              <w:t>产品种类。</w:t>
            </w:r>
          </w:p>
          <w:p>
            <w:pPr>
              <w:pStyle w:val="null3"/>
              <w:ind w:firstLine="480"/>
            </w:pPr>
            <w:r>
              <w:rPr>
                <w:sz w:val="24"/>
              </w:rPr>
              <w:t>2.3.将新增</w:t>
            </w:r>
            <w:r>
              <w:rPr>
                <w:sz w:val="24"/>
              </w:rPr>
              <w:t>的</w:t>
            </w:r>
            <w:r>
              <w:rPr>
                <w:sz w:val="24"/>
              </w:rPr>
              <w:t>15</w:t>
            </w:r>
            <w:r>
              <w:rPr>
                <w:sz w:val="24"/>
              </w:rPr>
              <w:t>个</w:t>
            </w:r>
            <w:r>
              <w:rPr>
                <w:sz w:val="24"/>
              </w:rPr>
              <w:t>产品种类的全面数据接入</w:t>
            </w:r>
            <w:r>
              <w:rPr>
                <w:sz w:val="24"/>
              </w:rPr>
              <w:t>Web端数据分析中心，进行可视化展示。</w:t>
            </w:r>
          </w:p>
          <w:p>
            <w:pPr>
              <w:pStyle w:val="null3"/>
              <w:ind w:firstLine="480"/>
            </w:pPr>
            <w:r>
              <w:rPr>
                <w:sz w:val="24"/>
              </w:rPr>
              <w:t>2.4.将“质慧眼”工具接入粤政易移动端。</w:t>
            </w:r>
          </w:p>
          <w:p>
            <w:pPr>
              <w:pStyle w:val="null3"/>
              <w:ind w:firstLine="480"/>
            </w:pPr>
            <w:r>
              <w:rPr>
                <w:sz w:val="24"/>
              </w:rPr>
              <w:t>2.5.</w:t>
            </w:r>
            <w:r>
              <w:rPr>
                <w:sz w:val="24"/>
              </w:rPr>
              <w:t>本项目执行期间</w:t>
            </w:r>
            <w:r>
              <w:rPr>
                <w:sz w:val="24"/>
              </w:rPr>
              <w:t>定期提交不少于</w:t>
            </w:r>
            <w:r>
              <w:rPr>
                <w:sz w:val="24"/>
              </w:rPr>
              <w:t>5份《质慧眼工具使用情况分析报告》。</w:t>
            </w:r>
          </w:p>
          <w:p>
            <w:pPr>
              <w:pStyle w:val="null3"/>
              <w:ind w:firstLine="482"/>
            </w:pPr>
            <w:r>
              <w:rPr>
                <w:sz w:val="24"/>
                <w:b/>
              </w:rPr>
              <w:t>（三）内容要求</w:t>
            </w:r>
          </w:p>
          <w:p>
            <w:pPr>
              <w:pStyle w:val="null3"/>
              <w:ind w:firstLine="480"/>
            </w:pPr>
            <w:r>
              <w:rPr>
                <w:sz w:val="24"/>
              </w:rPr>
              <w:t>1.移动端工具开发：</w:t>
            </w:r>
          </w:p>
          <w:p>
            <w:pPr>
              <w:pStyle w:val="null3"/>
              <w:ind w:firstLine="480"/>
            </w:pPr>
            <w:r>
              <w:rPr>
                <w:sz w:val="24"/>
              </w:rPr>
              <w:t>1.1.产品实物品类智能识别</w:t>
            </w:r>
          </w:p>
          <w:p>
            <w:pPr>
              <w:pStyle w:val="null3"/>
              <w:ind w:firstLine="480"/>
            </w:pPr>
            <w:r>
              <w:rPr>
                <w:sz w:val="24"/>
              </w:rPr>
              <w:t>针对新增的</w:t>
            </w:r>
            <w:r>
              <w:rPr>
                <w:sz w:val="24"/>
              </w:rPr>
              <w:t>15</w:t>
            </w:r>
            <w:r>
              <w:rPr>
                <w:sz w:val="24"/>
              </w:rPr>
              <w:t>个</w:t>
            </w:r>
            <w:r>
              <w:rPr>
                <w:sz w:val="24"/>
              </w:rPr>
              <w:t>产品种类，支持通过拍照或上传产品实物照片，利用工具智能识别产品品类并给出</w:t>
            </w:r>
            <w:r>
              <w:rPr>
                <w:sz w:val="24"/>
              </w:rPr>
              <w:t>CCC强制认证要求建议，同步关联产品标签标识的具体标准要求。</w:t>
            </w:r>
          </w:p>
          <w:p>
            <w:pPr>
              <w:pStyle w:val="null3"/>
              <w:ind w:firstLine="480"/>
            </w:pPr>
            <w:r>
              <w:rPr>
                <w:sz w:val="24"/>
              </w:rPr>
              <w:t>1.2.产品标签标识、说明书智能识别</w:t>
            </w:r>
          </w:p>
          <w:p>
            <w:pPr>
              <w:pStyle w:val="null3"/>
              <w:ind w:firstLine="480"/>
            </w:pPr>
            <w:r>
              <w:rPr>
                <w:sz w:val="24"/>
              </w:rPr>
              <w:t>针对新增的</w:t>
            </w:r>
            <w:r>
              <w:rPr>
                <w:sz w:val="24"/>
              </w:rPr>
              <w:t>15种产品种类，支持通过拍照或上传多张产品实物标签标识/说明书照片，工具</w:t>
            </w:r>
            <w:r>
              <w:rPr>
                <w:sz w:val="24"/>
              </w:rPr>
              <w:t>可</w:t>
            </w:r>
            <w:r>
              <w:rPr>
                <w:sz w:val="24"/>
              </w:rPr>
              <w:t>智能识别产品标签信息，自动判断产品品类，推荐</w:t>
            </w:r>
            <w:r>
              <w:rPr>
                <w:sz w:val="24"/>
              </w:rPr>
              <w:t>CCC强制认证要求，匹配品类标签标识相关标准，依据标准条目，检测产品实物标签标识及说明书是否按照标准完整规范展示产品相关信息，并</w:t>
            </w:r>
            <w:r>
              <w:rPr>
                <w:sz w:val="24"/>
              </w:rPr>
              <w:t>为用户</w:t>
            </w:r>
            <w:r>
              <w:rPr>
                <w:sz w:val="24"/>
              </w:rPr>
              <w:t>提供相关参考建议。</w:t>
            </w:r>
          </w:p>
          <w:p>
            <w:pPr>
              <w:pStyle w:val="null3"/>
              <w:ind w:firstLine="480"/>
            </w:pPr>
            <w:r>
              <w:rPr>
                <w:sz w:val="24"/>
              </w:rPr>
              <w:t>1.3.产品标签标识、说明书模板生成</w:t>
            </w:r>
          </w:p>
          <w:p>
            <w:pPr>
              <w:pStyle w:val="null3"/>
              <w:ind w:firstLine="480"/>
            </w:pPr>
            <w:r>
              <w:rPr>
                <w:sz w:val="24"/>
              </w:rPr>
              <w:t>针对新增的</w:t>
            </w:r>
            <w:r>
              <w:rPr>
                <w:sz w:val="24"/>
              </w:rPr>
              <w:t>15</w:t>
            </w:r>
            <w:r>
              <w:rPr>
                <w:sz w:val="24"/>
              </w:rPr>
              <w:t>个</w:t>
            </w:r>
            <w:r>
              <w:rPr>
                <w:sz w:val="24"/>
              </w:rPr>
              <w:t>产品种类，用户</w:t>
            </w:r>
            <w:r>
              <w:rPr>
                <w:sz w:val="24"/>
              </w:rPr>
              <w:t>可</w:t>
            </w:r>
            <w:r>
              <w:rPr>
                <w:sz w:val="24"/>
              </w:rPr>
              <w:t>通过选择产品类型，工具</w:t>
            </w:r>
            <w:r>
              <w:rPr>
                <w:sz w:val="24"/>
              </w:rPr>
              <w:t>可</w:t>
            </w:r>
            <w:r>
              <w:rPr>
                <w:sz w:val="24"/>
              </w:rPr>
              <w:t>生成不同品类的标签标识、说明书模板文本，支持用户一键生成该品类标签标识、说明书模板。</w:t>
            </w:r>
          </w:p>
          <w:p>
            <w:pPr>
              <w:pStyle w:val="null3"/>
              <w:ind w:firstLine="480"/>
            </w:pPr>
            <w:r>
              <w:rPr>
                <w:sz w:val="24"/>
              </w:rPr>
              <w:t>2.“质慧眼”工具接入粤政易移动端：</w:t>
            </w:r>
          </w:p>
          <w:p>
            <w:pPr>
              <w:pStyle w:val="null3"/>
              <w:ind w:firstLine="480"/>
            </w:pPr>
            <w:r>
              <w:rPr>
                <w:sz w:val="24"/>
              </w:rPr>
              <w:t>将目前粤商通端的</w:t>
            </w:r>
            <w:r>
              <w:rPr>
                <w:sz w:val="24"/>
              </w:rPr>
              <w:t>“质慧眼”工具部署至粤政易移动端，包括登陆、产品实物品类智能识别、产品标签标识/说明书智能识别、产品标签标识/说明书模板生成及我的快筛结果模块，为监管人员提供快捷方便的标签标识智能快筛系统。</w:t>
            </w:r>
          </w:p>
          <w:p>
            <w:pPr>
              <w:pStyle w:val="null3"/>
              <w:ind w:firstLine="480"/>
            </w:pPr>
            <w:r>
              <w:rPr>
                <w:sz w:val="24"/>
              </w:rPr>
              <w:t>3.提供使用情况分析报告编制服务：</w:t>
            </w:r>
          </w:p>
          <w:p>
            <w:pPr>
              <w:pStyle w:val="null3"/>
              <w:ind w:firstLine="480"/>
            </w:pPr>
            <w:r>
              <w:rPr>
                <w:sz w:val="24"/>
              </w:rPr>
              <w:t>依据已确定的模板标准，定期编制《质慧眼工具使用情况分析报告》。本报告含季度、年度使用综合分析报告共</w:t>
            </w:r>
            <w:r>
              <w:rPr>
                <w:sz w:val="24"/>
              </w:rPr>
              <w:t>5份，为监管人员深度分析本区域企业产品发展情况提供数据支撑，并为监管人员制定针对企业产品相关精准监管策略提供参考意见和建议。</w:t>
            </w:r>
          </w:p>
          <w:p>
            <w:pPr>
              <w:pStyle w:val="null3"/>
              <w:ind w:firstLine="480"/>
            </w:pPr>
            <w:r>
              <w:rPr>
                <w:sz w:val="24"/>
              </w:rPr>
              <w:t>4.web端工具开发：</w:t>
            </w:r>
          </w:p>
          <w:p>
            <w:pPr>
              <w:pStyle w:val="null3"/>
              <w:ind w:firstLine="480"/>
            </w:pPr>
            <w:r>
              <w:rPr>
                <w:sz w:val="24"/>
              </w:rPr>
              <w:t>4.1.分析中心</w:t>
            </w:r>
          </w:p>
          <w:p>
            <w:pPr>
              <w:pStyle w:val="null3"/>
              <w:ind w:firstLine="480"/>
            </w:pPr>
            <w:r>
              <w:rPr>
                <w:sz w:val="24"/>
              </w:rPr>
              <w:t>分析中心将整合新增的</w:t>
            </w:r>
            <w:r>
              <w:rPr>
                <w:sz w:val="24"/>
              </w:rPr>
              <w:t>15个产品种类数据，对本区域内各相关企业使用“质慧眼”智能快筛工具对产品标签标识自检情况进行统计分析，记录自检企业数量、企业自检时间分布、企业自检产品类型分布等统计数据，并以可视化形式分析企业自检自查数据，为监管</w:t>
            </w:r>
            <w:r>
              <w:rPr>
                <w:sz w:val="24"/>
              </w:rPr>
              <w:t>部门决策</w:t>
            </w:r>
            <w:r>
              <w:rPr>
                <w:sz w:val="24"/>
              </w:rPr>
              <w:t>提供数据支撑。同时支持监管人员对数据的导出。</w:t>
            </w:r>
          </w:p>
          <w:p>
            <w:pPr>
              <w:pStyle w:val="null3"/>
              <w:ind w:firstLine="480"/>
            </w:pPr>
            <w:r>
              <w:rPr>
                <w:sz w:val="24"/>
              </w:rPr>
              <w:t>4.2.工具运营</w:t>
            </w:r>
          </w:p>
          <w:p>
            <w:pPr>
              <w:pStyle w:val="null3"/>
              <w:ind w:firstLine="480"/>
            </w:pPr>
            <w:r>
              <w:rPr>
                <w:sz w:val="24"/>
              </w:rPr>
              <w:t>定期更新维护运营</w:t>
            </w:r>
            <w:r>
              <w:rPr>
                <w:sz w:val="24"/>
              </w:rPr>
              <w:t>相关</w:t>
            </w:r>
            <w:r>
              <w:rPr>
                <w:sz w:val="24"/>
              </w:rPr>
              <w:t>的业务数据、模板、机器学习算法模型、专家规则库等内容，保障工具功能的适用性和准确性。</w:t>
            </w:r>
          </w:p>
          <w:p>
            <w:pPr>
              <w:pStyle w:val="null3"/>
              <w:ind w:firstLine="480"/>
            </w:pPr>
            <w:r>
              <w:rPr>
                <w:sz w:val="24"/>
              </w:rPr>
              <w:t>4.4.1.快筛功能运营</w:t>
            </w:r>
          </w:p>
          <w:p>
            <w:pPr>
              <w:pStyle w:val="null3"/>
              <w:ind w:firstLine="480"/>
            </w:pPr>
            <w:r>
              <w:rPr>
                <w:sz w:val="24"/>
              </w:rPr>
              <w:t>快筛功能</w:t>
            </w:r>
            <w:r>
              <w:rPr>
                <w:sz w:val="24"/>
              </w:rPr>
              <w:t>的</w:t>
            </w:r>
            <w:r>
              <w:rPr>
                <w:sz w:val="24"/>
              </w:rPr>
              <w:t>运营包括</w:t>
            </w:r>
            <w:r>
              <w:rPr>
                <w:sz w:val="24"/>
              </w:rPr>
              <w:t>但不限于</w:t>
            </w:r>
            <w:r>
              <w:rPr>
                <w:sz w:val="24"/>
              </w:rPr>
              <w:t>产品实物品类智能识别、标签标识品类识别、标签</w:t>
            </w:r>
            <w:r>
              <w:rPr>
                <w:sz w:val="24"/>
              </w:rPr>
              <w:t>/说明书内容智能识别、产品CCC强制认证智能判断推荐、标签内容标准匹配、标准内容描述推荐、品类识别结果综合判定</w:t>
            </w:r>
            <w:r>
              <w:rPr>
                <w:sz w:val="24"/>
              </w:rPr>
              <w:t>等</w:t>
            </w:r>
            <w:r>
              <w:rPr>
                <w:sz w:val="24"/>
              </w:rPr>
              <w:t>。</w:t>
            </w:r>
          </w:p>
          <w:p>
            <w:pPr>
              <w:pStyle w:val="null3"/>
              <w:ind w:firstLine="480"/>
            </w:pPr>
            <w:r>
              <w:rPr>
                <w:sz w:val="24"/>
              </w:rPr>
              <w:t>4.4.2.产品标签标识、说明书模版生成功能运营</w:t>
            </w:r>
          </w:p>
          <w:p>
            <w:pPr>
              <w:pStyle w:val="null3"/>
              <w:ind w:firstLine="480"/>
            </w:pPr>
            <w:r>
              <w:rPr>
                <w:sz w:val="24"/>
              </w:rPr>
              <w:t>根据</w:t>
            </w:r>
            <w:r>
              <w:rPr>
                <w:sz w:val="24"/>
              </w:rPr>
              <w:t>当前</w:t>
            </w:r>
            <w:r>
              <w:rPr>
                <w:sz w:val="24"/>
              </w:rPr>
              <w:t>最新实施的标准要求，制作、更新产品标签标识、说明书模板，</w:t>
            </w:r>
            <w:r>
              <w:rPr>
                <w:sz w:val="24"/>
              </w:rPr>
              <w:t>确保</w:t>
            </w:r>
            <w:r>
              <w:rPr>
                <w:sz w:val="24"/>
              </w:rPr>
              <w:t>用户</w:t>
            </w:r>
            <w:r>
              <w:rPr>
                <w:sz w:val="24"/>
              </w:rPr>
              <w:t>可</w:t>
            </w:r>
            <w:r>
              <w:rPr>
                <w:sz w:val="24"/>
              </w:rPr>
              <w:t>生成最新最准确的标签标识、说明书模版。</w:t>
            </w:r>
          </w:p>
          <w:p>
            <w:pPr>
              <w:pStyle w:val="null3"/>
              <w:ind w:firstLine="480"/>
            </w:pPr>
            <w:r>
              <w:rPr>
                <w:sz w:val="24"/>
              </w:rPr>
              <w:t>4.4.3.培训与运维</w:t>
            </w:r>
          </w:p>
          <w:p>
            <w:pPr>
              <w:pStyle w:val="null3"/>
              <w:ind w:firstLine="480"/>
            </w:pPr>
            <w:r>
              <w:rPr>
                <w:sz w:val="24"/>
              </w:rPr>
              <w:t>工具完成开发实施后，</w:t>
            </w:r>
            <w:r>
              <w:rPr>
                <w:sz w:val="24"/>
              </w:rPr>
              <w:t>需</w:t>
            </w:r>
            <w:r>
              <w:rPr>
                <w:sz w:val="24"/>
              </w:rPr>
              <w:t>提供培训与运维，对工具出现的技术问题进行处理，保障工具的正常运行，定期开展安全漏洞扫描，进行安全补丁升级。</w:t>
            </w:r>
          </w:p>
          <w:p>
            <w:pPr>
              <w:pStyle w:val="null3"/>
              <w:ind w:firstLine="480"/>
            </w:pPr>
            <w:r>
              <w:rPr>
                <w:sz w:val="24"/>
              </w:rPr>
              <w:t>5.本项目的运维工作需同时提供“质慧眼”智能快筛工具推广服务，具体内容需包括但不限于工具操作视频制作、推广宣传资料印刷等，具体按采购人和合同条款要求执行。</w:t>
            </w:r>
          </w:p>
          <w:p>
            <w:pPr>
              <w:pStyle w:val="null3"/>
              <w:ind w:firstLine="480"/>
            </w:pPr>
            <w:r>
              <w:rPr>
                <w:sz w:val="24"/>
              </w:rPr>
              <w:t>6.供应商需组建运营服务团队，团队工作人员数量应不少于2人</w:t>
            </w:r>
            <w:r>
              <w:rPr>
                <w:sz w:val="24"/>
              </w:rPr>
              <w:t>（</w:t>
            </w:r>
            <w:r>
              <w:rPr>
                <w:sz w:val="24"/>
              </w:rPr>
              <w:t>含驻场人员</w:t>
            </w:r>
            <w:r>
              <w:rPr>
                <w:sz w:val="24"/>
              </w:rPr>
              <w:t>）</w:t>
            </w:r>
            <w:r>
              <w:rPr>
                <w:sz w:val="24"/>
              </w:rPr>
              <w:t>。</w:t>
            </w:r>
          </w:p>
        </w:tc>
      </w:tr>
      <w:tr>
        <w:tc>
          <w:tcPr>
            <w:tcW w:type="dxa" w:w="2076"/>
          </w:tcPr>
          <w:p/>
        </w:tc>
        <w:tc>
          <w:tcPr>
            <w:tcW w:type="dxa" w:w="415"/>
          </w:tcPr>
          <w:p>
            <w:pPr>
              <w:pStyle w:val="null3"/>
            </w:pPr>
            <w:r>
              <w:rPr/>
              <w:t>2</w:t>
            </w:r>
          </w:p>
        </w:tc>
        <w:tc>
          <w:tcPr>
            <w:tcW w:type="dxa" w:w="5814"/>
          </w:tcPr>
          <w:p>
            <w:pPr>
              <w:pStyle w:val="null3"/>
              <w:ind w:firstLine="482"/>
            </w:pPr>
            <w:r>
              <w:rPr>
                <w:sz w:val="24"/>
                <w:b/>
              </w:rPr>
              <w:t>（一）</w:t>
            </w:r>
            <w:r>
              <w:rPr>
                <w:sz w:val="24"/>
                <w:b/>
              </w:rPr>
              <w:t>投标现场演示</w:t>
            </w:r>
          </w:p>
          <w:p>
            <w:pPr>
              <w:pStyle w:val="null3"/>
              <w:ind w:firstLine="480"/>
            </w:pPr>
            <w:r>
              <w:rPr>
                <w:sz w:val="24"/>
              </w:rPr>
              <w:t>本次采购设置演示环节。供应商按照磋商文件评审标准的要求对本项目进行演示，演示的内容需在响应文件中体现，时间不长于</w:t>
            </w:r>
            <w:r>
              <w:rPr>
                <w:sz w:val="24"/>
              </w:rPr>
              <w:t>15分钟。请供应商自行准备相关资料。如演示、答辩过程中需要用到电脑、U盘等设备，请供应商自带，评标现场仅提供投影设备（VGA接口) 。演示事项：</w:t>
            </w:r>
          </w:p>
          <w:p>
            <w:pPr>
              <w:pStyle w:val="null3"/>
              <w:ind w:firstLine="480"/>
            </w:pPr>
            <w:r>
              <w:rPr>
                <w:sz w:val="24"/>
              </w:rPr>
              <w:t>1</w:t>
            </w:r>
            <w:r>
              <w:rPr>
                <w:sz w:val="24"/>
              </w:rPr>
              <w:t>.</w:t>
            </w:r>
            <w:r>
              <w:rPr>
                <w:sz w:val="24"/>
              </w:rPr>
              <w:t>地点：评标现场，本次开标采用远程开标，需要演示的供应商需在开标前到达开标室【中山市博爱六路</w:t>
            </w:r>
            <w:r>
              <w:rPr>
                <w:sz w:val="24"/>
              </w:rPr>
              <w:t>22号政务服务中心二楼中山市公共资源交易中心（详见开标当天开标室安排）】填写相关表格并等待演示，演示前1小时会电话通知，请保持电话畅通。注：请参与本项目演示的供应商及时安排演示人员出行，以免迟到。</w:t>
            </w:r>
          </w:p>
          <w:p>
            <w:pPr>
              <w:pStyle w:val="null3"/>
              <w:ind w:firstLine="480"/>
            </w:pPr>
            <w:r>
              <w:rPr>
                <w:sz w:val="24"/>
              </w:rPr>
              <w:t>2</w:t>
            </w:r>
            <w:r>
              <w:rPr>
                <w:sz w:val="24"/>
              </w:rPr>
              <w:t>.</w:t>
            </w:r>
            <w:r>
              <w:rPr>
                <w:sz w:val="24"/>
              </w:rPr>
              <w:t>演示时间：不长于</w:t>
            </w:r>
            <w:r>
              <w:rPr>
                <w:sz w:val="24"/>
              </w:rPr>
              <w:t>15分钟（不含设备调试、答辩时间）。</w:t>
            </w:r>
          </w:p>
          <w:p>
            <w:pPr>
              <w:pStyle w:val="null3"/>
              <w:ind w:firstLine="480"/>
            </w:pPr>
            <w:r>
              <w:rPr>
                <w:sz w:val="24"/>
              </w:rPr>
              <w:t>3</w:t>
            </w:r>
            <w:r>
              <w:rPr>
                <w:sz w:val="24"/>
              </w:rPr>
              <w:t>.</w:t>
            </w:r>
            <w:r>
              <w:rPr>
                <w:sz w:val="24"/>
              </w:rPr>
              <w:t>演示顺序：按广东省政府采购开标大厅已签到供应商序号进行演示。</w:t>
            </w:r>
          </w:p>
          <w:p>
            <w:pPr>
              <w:pStyle w:val="null3"/>
              <w:ind w:firstLine="480"/>
            </w:pPr>
            <w:r>
              <w:rPr>
                <w:sz w:val="24"/>
              </w:rPr>
              <w:t>4</w:t>
            </w:r>
            <w:r>
              <w:rPr>
                <w:sz w:val="24"/>
              </w:rPr>
              <w:t>.</w:t>
            </w:r>
            <w:r>
              <w:rPr>
                <w:sz w:val="24"/>
              </w:rPr>
              <w:t>演示内容：按照磋商文件评审标准的要求对本项目进行演示。</w:t>
            </w:r>
          </w:p>
          <w:p>
            <w:pPr>
              <w:pStyle w:val="null3"/>
              <w:ind w:firstLine="480"/>
            </w:pPr>
            <w:r>
              <w:rPr>
                <w:sz w:val="24"/>
              </w:rPr>
              <w:t>5</w:t>
            </w:r>
            <w:r>
              <w:rPr>
                <w:sz w:val="24"/>
              </w:rPr>
              <w:t>.</w:t>
            </w:r>
            <w:r>
              <w:rPr>
                <w:sz w:val="24"/>
              </w:rPr>
              <w:t>授权委托：演示人员须携带授权委托书及身份证原件方可进入评标现场进行演示，演示人员要求不得超过</w:t>
            </w:r>
            <w:r>
              <w:rPr>
                <w:sz w:val="24"/>
              </w:rPr>
              <w:t>2人。</w:t>
            </w:r>
          </w:p>
          <w:p>
            <w:pPr>
              <w:pStyle w:val="null3"/>
              <w:ind w:firstLine="480"/>
            </w:pPr>
            <w:r>
              <w:rPr>
                <w:sz w:val="24"/>
              </w:rPr>
              <w:t>备注：</w:t>
            </w:r>
          </w:p>
          <w:p>
            <w:pPr>
              <w:pStyle w:val="null3"/>
              <w:ind w:firstLine="480"/>
            </w:pPr>
            <w:r>
              <w:rPr>
                <w:sz w:val="24"/>
              </w:rPr>
              <w:t>（</w:t>
            </w:r>
            <w:r>
              <w:rPr>
                <w:sz w:val="24"/>
              </w:rPr>
              <w:t>1）评标（演示）现场不提供网络连接，不允许带手机等通讯工具，供应商应自行考虑现场情况，自备演示的工具。</w:t>
            </w:r>
          </w:p>
          <w:p>
            <w:pPr>
              <w:pStyle w:val="null3"/>
              <w:ind w:firstLine="480"/>
            </w:pPr>
            <w:r>
              <w:rPr>
                <w:sz w:val="24"/>
              </w:rPr>
              <w:t>（</w:t>
            </w:r>
            <w:r>
              <w:rPr>
                <w:sz w:val="24"/>
              </w:rPr>
              <w:t>2）如果供应商在演示时需要使用移动终端来实现演示功能的，建议使用平板电脑等非手机的移动终端来实现演示。</w:t>
            </w:r>
          </w:p>
          <w:p>
            <w:pPr>
              <w:pStyle w:val="null3"/>
              <w:ind w:firstLine="480"/>
            </w:pPr>
            <w:r>
              <w:rPr>
                <w:sz w:val="24"/>
              </w:rPr>
              <w:t>（</w:t>
            </w:r>
            <w:r>
              <w:rPr>
                <w:sz w:val="24"/>
              </w:rPr>
              <w:t>3）投影仅提供VGA接口，请演示的供应商自行解决接口转换问题。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人收取招标代理服务费。招标代理服务费收费采用差额定率累进法计算方式。参照国家颁布的《关于进一步放开建设项目专业服务价格的通知》（发改价格〔2015〕299号）标准收取招标代理服务费，本项目为服务类，①中标金额≤100万，招标收费费率为1.5%，②100万＜中标金额＜500万元，招标收费费率为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质慧眼”智能快筛服务运营)：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采购包1（中山市“质慧眼”智能快筛服务运营）：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采购包1（中山市“质慧眼”智能快筛服务运营）：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采购包1（中山市“质慧眼”智能快筛服务运营）：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采购包1(中山市“质慧眼”智能快筛服务运营):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技术部分63.0分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项目理解及用户需求响应分析 (10.0分)</w:t>
            </w:r>
            <w:r>
              <w:rPr/>
              <w:t>，（等次分值选择：</w:t>
            </w:r>
            <w:r>
              <w:rPr/>
              <w:t>0.0;</w:t>
            </w:r>
            <w:r>
              <w:rPr/>
              <w:t>2.0;</w:t>
            </w:r>
            <w:r>
              <w:rPr/>
              <w:t>6.0;</w:t>
            </w:r>
            <w:r>
              <w:rPr/>
              <w:t>10.0;</w:t>
            </w:r>
            <w:r>
              <w:rPr/>
              <w:t>）</w:t>
            </w:r>
          </w:p>
        </w:tc>
        <w:tc>
          <w:tcPr>
            <w:tcW w:type="dxa" w:w="5076"/>
          </w:tcPr>
          <w:p>
            <w:pPr>
              <w:pStyle w:val="null3"/>
              <w:jc w:val="left"/>
            </w:pPr>
            <w:r>
              <w:rPr/>
              <w:t>磋商小组根据供应商就本项目区域产品质量情况、产品不合格情况、产品标签标识等产品质量安全状况、架构设计理解及用户需求响应分析进行评审： 1.需求和重难点理解准确，对中山市及其辖区内各镇街的整体产品质量情况、中山市重点工业产品品类（包括但不限于家用燃气灶、嵌入式灯具、固定式通用灯具、电磁灶、吸油烟机、储水式电热水器、食具消毒柜、电子门锁等品类）不合格情况、产品（包括但不限于内衣、休闲服装、吸油烟机、家用燃气灶、电磁灶等）标签标识等产品质量安全状况清晰了解并提供详细分析方案，能提供以上8类不合格品类、5类标签标识相关数据及内容分析的，得10分； 2.需求和重难点理解一般，对中山市及其辖区内各镇街的整体产品质量情况、中山市重点工业产品品类（包括但不限于家用燃气灶、嵌入式灯具、固定式通用灯具、电磁灶、吸油烟机、储水式电热水器、食具消毒柜、电子门锁等品类）不合格情况、产品（包括但不限于内衣、休闲服装、吸油烟机、家用燃气灶、电磁灶等）标签标识等产品质量安全状况理解一般并提供一般的分析方案，能提供以上8类不合格品类、5类标签标识相关数据及内容分析的，得6分； 3.需求和重难点理解一般，对中山市及其辖区内各镇街的整体产品质量情况、中山市重点工业产品品类（包括但不限于家用燃气灶、嵌入式灯具、固定式通用灯具、电磁灶、吸油烟机、储水式电热水器、食具消毒柜、电子门锁等品类）不合格情况、产品（包括但不限于内衣、休闲服装、吸油烟机、家用燃气灶、电磁灶等）标签标识等产品质量安全状况理解差，不能提供分析方案，提供以上5类不合格品类、2类标签标识相关数据及内容分析的，得2分； 4.需求和重难点理解差，对中山市及其辖区内各镇街的整体产品质量情况、中山市重点工业产品品类（包括但不限于家用燃气灶、嵌入式灯具、固定式通用灯具、电磁灶、吸油烟机、储水式电热水器、食具消毒柜、电子门锁等品类）不合格情况、产品（包括但不限于内衣、休闲服装、吸油烟机、家用燃气灶、电磁灶等）标签标识等产品质量安全状况不清楚，未提供相关数据及内容分析的，得0分。</w:t>
            </w:r>
          </w:p>
        </w:tc>
      </w:tr>
      <w:tr>
        <w:tc>
          <w:tcPr>
            <w:tcW w:type="dxa" w:w="922"/>
            <w:gridSpan w:val="2"/>
            <w:vMerge/>
          </w:tcPr>
          <w:p/>
        </w:tc>
        <w:tc>
          <w:tcPr>
            <w:tcW w:type="dxa" w:w="2307"/>
          </w:tcPr>
          <w:p>
            <w:pPr>
              <w:pStyle w:val="null3"/>
              <w:jc w:val="left"/>
            </w:pPr>
            <w:r>
              <w:rPr/>
              <w:t>技术方案 (12.0分)</w:t>
            </w:r>
            <w:r>
              <w:rPr/>
              <w:t>，（等次分值选择：</w:t>
            </w:r>
            <w:r>
              <w:rPr/>
              <w:t>0.0;</w:t>
            </w:r>
            <w:r>
              <w:rPr/>
              <w:t>4.0;</w:t>
            </w:r>
            <w:r>
              <w:rPr/>
              <w:t>8.0;</w:t>
            </w:r>
            <w:r>
              <w:rPr/>
              <w:t>12.0;</w:t>
            </w:r>
            <w:r>
              <w:rPr/>
              <w:t>）</w:t>
            </w:r>
          </w:p>
        </w:tc>
        <w:tc>
          <w:tcPr>
            <w:tcW w:type="dxa" w:w="5076"/>
          </w:tcPr>
          <w:p>
            <w:pPr>
              <w:pStyle w:val="null3"/>
              <w:jc w:val="left"/>
            </w:pPr>
            <w:r>
              <w:rPr/>
              <w:t>磋商小组根据供应商对本项目编制的总体技术服务方案（包括但不限于功能设计、业务流程设计、示例说明、国家标准符合性判定逻辑分析等）进行评价，根据方案的合理性和可行性进行评审： 1.技术服务方案合理可行，内容详细具体、有针对性、可操作性强，完全满足要求，提供的品类示例说明、国家标准符合性判定逻辑分析示例10类以上的，得12分； 2.技术服务方案基本合理，内容较为详细、针对性及可操作性较强，基本满足要求，提供的品类示例说明、国家标准符合性判定逻辑分析示例6类以上的，得8分； 3.技术服务方案一般可行，内容针对性及可操作性一般，基本满足要求，提供的品类示例说明、国家标准符合性判定逻辑分析示例3类以上的，得4分； 4.不提供技术服务方案或未提供示例说明、国家标准符合性判定逻辑分析示例的，不得分。</w:t>
            </w:r>
          </w:p>
        </w:tc>
      </w:tr>
      <w:tr>
        <w:tc>
          <w:tcPr>
            <w:tcW w:type="dxa" w:w="922"/>
            <w:gridSpan w:val="2"/>
            <w:vMerge/>
          </w:tcPr>
          <w:p/>
        </w:tc>
        <w:tc>
          <w:tcPr>
            <w:tcW w:type="dxa" w:w="2307"/>
          </w:tcPr>
          <w:p>
            <w:pPr>
              <w:pStyle w:val="null3"/>
              <w:jc w:val="left"/>
            </w:pPr>
            <w:r>
              <w:rPr/>
              <w:t>项目实施方案 (14.0分)</w:t>
            </w:r>
            <w:r>
              <w:rPr/>
              <w:t>，（等次分值选择：</w:t>
            </w:r>
            <w:r>
              <w:rPr/>
              <w:t>0.0;</w:t>
            </w:r>
            <w:r>
              <w:rPr/>
              <w:t>4.0;</w:t>
            </w:r>
            <w:r>
              <w:rPr/>
              <w:t>9.0;</w:t>
            </w:r>
            <w:r>
              <w:rPr/>
              <w:t>14.0;</w:t>
            </w:r>
            <w:r>
              <w:rPr/>
              <w:t>）</w:t>
            </w:r>
          </w:p>
        </w:tc>
        <w:tc>
          <w:tcPr>
            <w:tcW w:type="dxa" w:w="5076"/>
          </w:tcPr>
          <w:p>
            <w:pPr>
              <w:pStyle w:val="null3"/>
              <w:jc w:val="left"/>
            </w:pPr>
            <w:r>
              <w:rPr/>
              <w:t>磋商小组根据供应商针对本项目提出的项目实施方案（包括但不限于提交的项目交付物、质量保障措施、项目管理方案、培训计划、项目计划进度安排等方面）进行评价。 1.项目实施方案合理可行，内容详细具体、有针对性、可操作性强，完全满足要求，并具备同类物体品类、标签智能识别运营服务项目实施经验，提供项目验收文件为佐证，能提供10个品类佐证材料(提供加盖使用单位公章的验收报告复印件)，得14分； 2.项目实施方案基本合理，内容较为详细、针对性及可操作性较强，基本满足要求，并具备同类物体品类、标签智能识别运营服务项目实施经验，提供项目验收文件为佐证，能提供6个及以上品类佐证材料(提供加盖使用单位公章的验收报告复印件)，得9分； 3.项目实施方案一般可行，内容针对性及可操作性一般，基本满足要求，并具备同类物体品类、标签智能识别运营服务项目实施经验，提供项目验收文件为佐证，能提供3个及以上品类佐证材料(提供加盖使用单位公章的验收报告复印件)，得4分； 4.不提供方案或方案不符合要求的，不得分。</w:t>
            </w:r>
          </w:p>
        </w:tc>
      </w:tr>
      <w:tr>
        <w:tc>
          <w:tcPr>
            <w:tcW w:type="dxa" w:w="922"/>
            <w:gridSpan w:val="2"/>
            <w:vMerge/>
          </w:tcPr>
          <w:p/>
        </w:tc>
        <w:tc>
          <w:tcPr>
            <w:tcW w:type="dxa" w:w="2307"/>
          </w:tcPr>
          <w:p>
            <w:pPr>
              <w:pStyle w:val="null3"/>
              <w:jc w:val="left"/>
            </w:pPr>
            <w:r>
              <w:rPr/>
              <w:t>应急服务方案 (6.0分)</w:t>
            </w:r>
            <w:r>
              <w:rPr/>
              <w:t>，（等次分值选择：</w:t>
            </w:r>
            <w:r>
              <w:rPr/>
              <w:t>0.0;</w:t>
            </w:r>
            <w:r>
              <w:rPr/>
              <w:t>2.0;</w:t>
            </w:r>
            <w:r>
              <w:rPr/>
              <w:t>4.0;</w:t>
            </w:r>
            <w:r>
              <w:rPr/>
              <w:t>6.0;</w:t>
            </w:r>
            <w:r>
              <w:rPr/>
              <w:t>）</w:t>
            </w:r>
          </w:p>
        </w:tc>
        <w:tc>
          <w:tcPr>
            <w:tcW w:type="dxa" w:w="5076"/>
          </w:tcPr>
          <w:p>
            <w:pPr>
              <w:pStyle w:val="null3"/>
              <w:jc w:val="left"/>
            </w:pPr>
            <w:r>
              <w:rPr/>
              <w:t>磋商小组根据供应商针对本项目制定的应急服务方案（包括但不限于品类变化、政策、标准、技术路线变化情况等特殊情况）进行评审： 1.应急服务方案详细、完整、可行，符合采购人的实际情况，且具有针对性，优于用户需求的，得6分； 2.应急服务方案较详细、可行，能符合采购人的实际情况，较有针对性，完全满足用户需求的，得4分； 3.应急服务方案一般，基本符合采购人的实际情况，有一定的针对性，基本满足用户需求的，得2分； 4.不提供方案或方案不符合要求的，不得分。</w:t>
            </w:r>
          </w:p>
        </w:tc>
      </w:tr>
      <w:tr>
        <w:tc>
          <w:tcPr>
            <w:tcW w:type="dxa" w:w="922"/>
            <w:gridSpan w:val="2"/>
            <w:vMerge/>
          </w:tcPr>
          <w:p/>
        </w:tc>
        <w:tc>
          <w:tcPr>
            <w:tcW w:type="dxa" w:w="2307"/>
          </w:tcPr>
          <w:p>
            <w:pPr>
              <w:pStyle w:val="null3"/>
              <w:jc w:val="left"/>
            </w:pPr>
            <w:r>
              <w:rPr/>
              <w:t>推广方案 (6.0分)</w:t>
            </w:r>
            <w:r>
              <w:rPr/>
              <w:t>，（等次分值选择：</w:t>
            </w:r>
            <w:r>
              <w:rPr/>
              <w:t>0.0;</w:t>
            </w:r>
            <w:r>
              <w:rPr/>
              <w:t>2.0;</w:t>
            </w:r>
            <w:r>
              <w:rPr/>
              <w:t>4.0;</w:t>
            </w:r>
            <w:r>
              <w:rPr/>
              <w:t>6.0;</w:t>
            </w:r>
            <w:r>
              <w:rPr/>
              <w:t>）</w:t>
            </w:r>
          </w:p>
        </w:tc>
        <w:tc>
          <w:tcPr>
            <w:tcW w:type="dxa" w:w="5076"/>
          </w:tcPr>
          <w:p>
            <w:pPr>
              <w:pStyle w:val="null3"/>
              <w:jc w:val="left"/>
            </w:pPr>
            <w:r>
              <w:rPr/>
              <w:t>磋商小组根据供应商针对本项目制定的推广方案（包括但不限于推广形式、推广物料制作（含操作视频、培训PPT、宣传彩页）、调查问卷、试用环境、现场技术支持、问答手册、用户操作手册等）进行评审： 1.推广方案合理可行，内容详细具体、有针对性、可操作性强，提供现场推广案例（包括但不限于提供现场推广照片或视频作为佐证材料）的，得6分； 2.推广方案基本合理，内容较为详细、针对性及可操作性较强，基本满足要求，无现场推广案例的，得4分； 3.推广方案一般可行，内容针对性及可操作性一般，基本满足要求，无现场推广案例的，得2分； 4.不提供方案不得分。</w:t>
            </w:r>
          </w:p>
        </w:tc>
      </w:tr>
      <w:tr>
        <w:tc>
          <w:tcPr>
            <w:tcW w:type="dxa" w:w="922"/>
            <w:gridSpan w:val="2"/>
            <w:vMerge/>
          </w:tcPr>
          <w:p/>
        </w:tc>
        <w:tc>
          <w:tcPr>
            <w:tcW w:type="dxa" w:w="2307"/>
          </w:tcPr>
          <w:p>
            <w:pPr>
              <w:pStyle w:val="null3"/>
              <w:jc w:val="left"/>
            </w:pPr>
            <w:r>
              <w:rPr/>
              <w:t>功能演示 (15.0分)</w:t>
            </w:r>
          </w:p>
        </w:tc>
        <w:tc>
          <w:tcPr>
            <w:tcW w:type="dxa" w:w="5076"/>
          </w:tcPr>
          <w:p>
            <w:pPr>
              <w:pStyle w:val="null3"/>
              <w:jc w:val="left"/>
            </w:pPr>
            <w:r>
              <w:rPr/>
              <w:t>磋商小组根据供应商针对本项目需求提供的产品功能演示进行评审，演示人员最多2人，演示时间不超过15分钟，演示内容以“电风扇”品类为例，演示形式不限于视频演示、PPT演示等： 1.产品实物品类智能识别（5分） 支持通过拍照、上传产品实物照片，智能识别产品品类。依据识别品类和用户确认结果最终给出CCC强制认证要求建议，关联产品标签标识的具体标准要求。 ①完全满足得5分； ②不满足或没有演示得0分。 2.产品标签标识智能识别（5分） 支持通过拍照、上传多张产品实物标签标识照片，智能识别产品标签信息，检测产品实物标签标识是否按照国家标准完整规范展示产品相关信息，并提供相关建议。 ①完全满足得5分； ②不满足或没有演示得0分。 3.产品标签标识模板生成（5分） 支持生成不同品类的标签标识模板。通过选择产品类型后填写国家标准要求的标签标识数据项，生成该品类标签标识模板。 ①完全满足得5分； ②不满足或没有演示得0分。</w:t>
            </w:r>
          </w:p>
        </w:tc>
      </w:tr>
      <w:tr>
        <w:tc>
          <w:tcPr>
            <w:tcW w:type="dxa" w:w="922"/>
            <w:gridSpan w:val="2"/>
            <w:vMerge w:val="restart"/>
          </w:tcPr>
          <w:p>
            <w:pPr>
              <w:pStyle w:val="null3"/>
              <w:jc w:val="center"/>
            </w:pPr>
            <w:r>
              <w:rPr/>
              <w:t>商务部分</w:t>
            </w:r>
          </w:p>
        </w:tc>
        <w:tc>
          <w:tcPr>
            <w:tcW w:type="dxa" w:w="2307"/>
          </w:tcPr>
          <w:p>
            <w:pPr>
              <w:pStyle w:val="null3"/>
              <w:jc w:val="left"/>
            </w:pPr>
            <w:r>
              <w:rPr/>
              <w:t>技术研发能力 (8.0分)</w:t>
            </w:r>
          </w:p>
        </w:tc>
        <w:tc>
          <w:tcPr>
            <w:tcW w:type="dxa" w:w="5076"/>
          </w:tcPr>
          <w:p>
            <w:pPr>
              <w:pStyle w:val="null3"/>
              <w:jc w:val="left"/>
            </w:pPr>
            <w:r>
              <w:rPr/>
              <w:t>供应商提供与本项目相关的由国家版权局颁发的软件著作权登记证书： 1.数据质控类； 2.目标智能识别类； 3.WEB监控采集分析类； 4.大数据分析类。 注：（1）每提供1个证书得2分，本项最高8分。 （2）同一类别的多个证书或同一证书包含多个类别，仅按一项计算得分，不得重复计分； （3）提供有效的软件著作权证书扫描件并加盖公章，软件著作权证书名称或内容需包含上述类别描述的相关内容，否则不得分。</w:t>
            </w:r>
          </w:p>
        </w:tc>
      </w:tr>
      <w:tr>
        <w:tc>
          <w:tcPr>
            <w:tcW w:type="dxa" w:w="922"/>
            <w:gridSpan w:val="2"/>
            <w:vMerge/>
          </w:tcPr>
          <w:p/>
        </w:tc>
        <w:tc>
          <w:tcPr>
            <w:tcW w:type="dxa" w:w="2307"/>
          </w:tcPr>
          <w:p>
            <w:pPr>
              <w:pStyle w:val="null3"/>
              <w:jc w:val="left"/>
            </w:pPr>
            <w:r>
              <w:rPr/>
              <w:t>企业资质 (5.0分)</w:t>
            </w:r>
          </w:p>
        </w:tc>
        <w:tc>
          <w:tcPr>
            <w:tcW w:type="dxa" w:w="5076"/>
          </w:tcPr>
          <w:p>
            <w:pPr>
              <w:pStyle w:val="null3"/>
              <w:jc w:val="left"/>
            </w:pPr>
            <w:r>
              <w:rPr/>
              <w:t>1.GB/T 36733服务质量评价认证证书； 2.ISO45001职业健康安全管理体系认证证书； 3.ISO27040数据存储安全管理体系认证； 4.数据治理管理体系认证证书； 5.大数据安全管理体系认证证书。 注：（1）每提供1个证书得1分，本项最高5分。 （2）提供有效期内的证书复印件并加盖供应商公章，不提供或不符合要求的，不得分； （3）由于成立时间不足导致不能办理相应认证证书的，提供认证机构出具的“成立时间不足，不能办理认证”的书面证明材料，按已经获得计分。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投入本项目人员实力 (14.0分)</w:t>
            </w:r>
          </w:p>
        </w:tc>
        <w:tc>
          <w:tcPr>
            <w:tcW w:type="dxa" w:w="5076"/>
          </w:tcPr>
          <w:p>
            <w:pPr>
              <w:pStyle w:val="null3"/>
              <w:jc w:val="left"/>
            </w:pPr>
            <w:r>
              <w:rPr/>
              <w:t>根据供应商拟投入本项目的人员配备情况进行评审： 1.项目负责人（限1人）具备： ①信息系统项目管理师证书②系统规划与管理师证书③网络工程师证书④高级网络信息安全工程师证书⑤注册信息安全专业人员（CISP）证书或信息安全保障人员认证（CISAW)证书或信息安全工程师证书，每提供一个证书得1分，本小项最高得5分； 2.软件开发技术负责人（限1人）具备: ①系统架构设计师证书②软件设计师证书，每提供一个证书得1.5分，本小项最高得3分； 3.技术人员具备： ①注册数据安全治理专业人员证书②数据库系统工程师证书③软件设计师证书④软件评测师证书，每提供1个证书得1.5分，本小项最高得6分。 注：（1）提供以上人员相关证书复印件并加盖供应商公章，不提供证书不得分，人员不得重复(如一人具有多个证书的，按得分高的证书评审，不重复计分）； （2）提供投标截止时间前12个月内供应商为其购买任意一个月的参保证明复印件并加盖公章。如供应商成立时间或该人员入职不足1个月，则提供人员入职证明。若供应商投标时未能提供社保证明或入职证明的，可在响应文件中提供承诺书并加盖供应商公章则视为满足人员社保评审要求，承诺书内容包括但不限于：“若我单位中标，签订合同前保证按响应文件中所承诺投入的人员提供社保证明和劳动合同供采购人核查，否则视为我单位放弃中标资格”。中标后5天内，中标单位需提供上述人员证书原件交由采购人核验，如提供虚假资料，则中标无效；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rPr>
        <w:t>2024年中山市“质慧眼”智能快筛服务运营</w:t>
      </w:r>
    </w:p>
    <w:p>
      <w:pPr>
        <w:pStyle w:val="null3"/>
        <w:jc w:val="center"/>
      </w:pPr>
      <w:r>
        <w:rPr>
          <w:sz w:val="36"/>
          <w:b/>
        </w:rPr>
        <w:t>合同书</w:t>
      </w:r>
    </w:p>
    <w:p>
      <w:pPr>
        <w:pStyle w:val="null3"/>
        <w:jc w:val="center"/>
      </w:pPr>
      <w:r>
        <w:rPr/>
        <w:t xml:space="preserve"> </w:t>
      </w:r>
    </w:p>
    <w:p>
      <w:pPr>
        <w:pStyle w:val="null3"/>
        <w:jc w:val="center"/>
      </w:pPr>
      <w:r>
        <w:rPr>
          <w:sz w:val="24"/>
          <w:color w:val="000000"/>
        </w:rPr>
        <w:t>(</w:t>
      </w:r>
      <w:r>
        <w:rPr>
          <w:sz w:val="24"/>
          <w:color w:val="000000"/>
        </w:rPr>
        <w:t>本合同范本仅供参考，成交人与采购人可根据双方的具体要求进行修订，双方所签订的合同不得对磋商文件确定的事项和成交人投标文件作实质性修改。）</w:t>
      </w:r>
    </w:p>
    <w:p>
      <w:pPr>
        <w:pStyle w:val="null3"/>
        <w:jc w:val="center"/>
      </w:pPr>
      <w:r>
        <w:rPr/>
        <w:t xml:space="preserve"> </w:t>
      </w:r>
    </w:p>
    <w:p>
      <w:pPr>
        <w:pStyle w:val="null3"/>
        <w:jc w:val="center"/>
      </w:pPr>
      <w:r>
        <w:rPr>
          <w:sz w:val="24"/>
        </w:rPr>
        <w:t>项目名称：</w:t>
      </w:r>
      <w:r>
        <w:rPr>
          <w:sz w:val="24"/>
          <w:u w:val="single"/>
        </w:rPr>
        <w:t>2024</w:t>
      </w:r>
      <w:r>
        <w:rPr>
          <w:sz w:val="24"/>
          <w:u w:val="single"/>
        </w:rPr>
        <w:t>年中山市“质慧眼”智能快筛服务运营</w:t>
      </w:r>
    </w:p>
    <w:p>
      <w:pPr>
        <w:pStyle w:val="null3"/>
        <w:jc w:val="center"/>
      </w:pPr>
      <w:r>
        <w:rPr/>
        <w:t xml:space="preserve"> </w:t>
      </w:r>
    </w:p>
    <w:p>
      <w:pPr>
        <w:pStyle w:val="null3"/>
        <w:ind w:firstLine="1260"/>
        <w:jc w:val="center"/>
      </w:pPr>
      <w:r>
        <w:rPr>
          <w:sz w:val="24"/>
        </w:rPr>
        <w:t>委托方（甲方）：</w:t>
      </w:r>
      <w:r>
        <w:rPr>
          <w:sz w:val="24"/>
          <w:u w:val="single"/>
        </w:rPr>
        <w:t>中山市市场监督管理局</w:t>
      </w:r>
    </w:p>
    <w:p>
      <w:pPr>
        <w:pStyle w:val="null3"/>
        <w:ind w:firstLine="2640"/>
        <w:jc w:val="center"/>
      </w:pPr>
      <w:r>
        <w:rPr/>
        <w:t xml:space="preserve"> </w:t>
      </w:r>
    </w:p>
    <w:p>
      <w:pPr>
        <w:pStyle w:val="null3"/>
        <w:ind w:firstLine="1260"/>
        <w:jc w:val="center"/>
      </w:pPr>
      <w:r>
        <w:rPr>
          <w:sz w:val="24"/>
        </w:rPr>
        <w:t>受托方（乙方）：</w:t>
      </w:r>
      <w:r>
        <w:rPr>
          <w:sz w:val="24"/>
        </w:rPr>
        <w:t>_________________</w:t>
      </w:r>
    </w:p>
    <w:p>
      <w:pPr>
        <w:pStyle w:val="null3"/>
        <w:spacing w:before="0" w:after="0"/>
        <w:ind w:left="0" w:right="0"/>
        <w:jc w:val="center"/>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根据 </w:t>
      </w:r>
      <w:r>
        <w:rPr>
          <w:sz w:val="24"/>
          <w:u w:val="single"/>
        </w:rPr>
        <w:t xml:space="preserve">         项目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w:t>
      </w:r>
      <w:r>
        <w:rPr>
          <w:sz w:val="24"/>
        </w:rPr>
        <w:t>¥</w:t>
      </w:r>
      <w:r>
        <w:rPr>
          <w:sz w:val="24"/>
        </w:rPr>
        <w:t>_________元）人民币。</w:t>
      </w:r>
    </w:p>
    <w:p>
      <w:pPr>
        <w:pStyle w:val="null3"/>
        <w:jc w:val="both"/>
      </w:pPr>
      <w:r>
        <w:rPr>
          <w:sz w:val="24"/>
          <w:b/>
        </w:rPr>
        <w:t>二、服务范围</w:t>
      </w:r>
    </w:p>
    <w:p>
      <w:pPr>
        <w:pStyle w:val="null3"/>
        <w:jc w:val="both"/>
      </w:pPr>
      <w:r>
        <w:rPr>
          <w:sz w:val="24"/>
        </w:rPr>
        <w:t>　　甲方聘请乙方提供以下服务：</w:t>
      </w:r>
    </w:p>
    <w:p>
      <w:pPr>
        <w:pStyle w:val="null3"/>
        <w:ind w:firstLine="400"/>
      </w:pPr>
      <w:r>
        <w:rPr>
          <w:sz w:val="24"/>
        </w:rPr>
        <w:t>1.移动端工具开发：</w:t>
      </w:r>
    </w:p>
    <w:p>
      <w:pPr>
        <w:pStyle w:val="null3"/>
        <w:ind w:firstLine="480"/>
      </w:pPr>
      <w:r>
        <w:rPr>
          <w:sz w:val="24"/>
        </w:rPr>
        <w:t>1.1.产品实物品类智能识别</w:t>
      </w:r>
    </w:p>
    <w:p>
      <w:pPr>
        <w:pStyle w:val="null3"/>
        <w:ind w:firstLine="480"/>
      </w:pPr>
      <w:r>
        <w:rPr>
          <w:sz w:val="24"/>
        </w:rPr>
        <w:t>针对新增的</w:t>
      </w:r>
      <w:r>
        <w:rPr>
          <w:sz w:val="24"/>
        </w:rPr>
        <w:t>15</w:t>
      </w:r>
      <w:r>
        <w:rPr>
          <w:sz w:val="24"/>
        </w:rPr>
        <w:t>个</w:t>
      </w:r>
      <w:r>
        <w:rPr>
          <w:sz w:val="24"/>
        </w:rPr>
        <w:t>产品种类，支持通过拍照或上传产品实物照片，利用工具智能识别产品品类并给出</w:t>
      </w:r>
      <w:r>
        <w:rPr>
          <w:sz w:val="24"/>
        </w:rPr>
        <w:t>CCC强制认证要求建议，同步关联产品标签标识的具体标准要求。</w:t>
      </w:r>
    </w:p>
    <w:p>
      <w:pPr>
        <w:pStyle w:val="null3"/>
        <w:ind w:firstLine="480"/>
      </w:pPr>
      <w:r>
        <w:rPr>
          <w:sz w:val="24"/>
        </w:rPr>
        <w:t>1.2.产品标签标识、说明书智能识别</w:t>
      </w:r>
    </w:p>
    <w:p>
      <w:pPr>
        <w:pStyle w:val="null3"/>
        <w:ind w:firstLine="480"/>
      </w:pPr>
      <w:r>
        <w:rPr>
          <w:sz w:val="24"/>
        </w:rPr>
        <w:t>针对新增的</w:t>
      </w:r>
      <w:r>
        <w:rPr>
          <w:sz w:val="24"/>
        </w:rPr>
        <w:t>15种产品种类，支持通过拍照或上传多张产品实物标签标识/说明书照片，工具</w:t>
      </w:r>
      <w:r>
        <w:rPr>
          <w:sz w:val="24"/>
        </w:rPr>
        <w:t>可</w:t>
      </w:r>
      <w:r>
        <w:rPr>
          <w:sz w:val="24"/>
        </w:rPr>
        <w:t>智能识别产品标签信息，自动判断产品品类，推荐</w:t>
      </w:r>
      <w:r>
        <w:rPr>
          <w:sz w:val="24"/>
        </w:rPr>
        <w:t>CCC强制认证要求，匹配品类标签标识相关标准，依据标准条目，检测产品实物标签标识及说明书是否按照标准完整规范展示产品相关信息，并</w:t>
      </w:r>
      <w:r>
        <w:rPr>
          <w:sz w:val="24"/>
        </w:rPr>
        <w:t>为用户</w:t>
      </w:r>
      <w:r>
        <w:rPr>
          <w:sz w:val="24"/>
        </w:rPr>
        <w:t>提供相关参考建议。</w:t>
      </w:r>
    </w:p>
    <w:p>
      <w:pPr>
        <w:pStyle w:val="null3"/>
        <w:ind w:firstLine="480"/>
      </w:pPr>
      <w:r>
        <w:rPr>
          <w:sz w:val="24"/>
        </w:rPr>
        <w:t>1.3.产品标签标识、说明书模板生成</w:t>
      </w:r>
    </w:p>
    <w:p>
      <w:pPr>
        <w:pStyle w:val="null3"/>
        <w:ind w:firstLine="480"/>
      </w:pPr>
      <w:r>
        <w:rPr>
          <w:sz w:val="24"/>
        </w:rPr>
        <w:t>针对新增的</w:t>
      </w:r>
      <w:r>
        <w:rPr>
          <w:sz w:val="24"/>
        </w:rPr>
        <w:t>15</w:t>
      </w:r>
      <w:r>
        <w:rPr>
          <w:sz w:val="24"/>
        </w:rPr>
        <w:t>个</w:t>
      </w:r>
      <w:r>
        <w:rPr>
          <w:sz w:val="24"/>
        </w:rPr>
        <w:t>产品种类，用户</w:t>
      </w:r>
      <w:r>
        <w:rPr>
          <w:sz w:val="24"/>
        </w:rPr>
        <w:t>可</w:t>
      </w:r>
      <w:r>
        <w:rPr>
          <w:sz w:val="24"/>
        </w:rPr>
        <w:t>通过选择产品类型，工具</w:t>
      </w:r>
      <w:r>
        <w:rPr>
          <w:sz w:val="24"/>
        </w:rPr>
        <w:t>可</w:t>
      </w:r>
      <w:r>
        <w:rPr>
          <w:sz w:val="24"/>
        </w:rPr>
        <w:t>生成不同品类的标签标识、说明书模板文本，支持用户一键生成该品类标签标识、说明书模板。</w:t>
      </w:r>
    </w:p>
    <w:p>
      <w:pPr>
        <w:pStyle w:val="null3"/>
        <w:ind w:firstLine="480"/>
      </w:pPr>
      <w:r>
        <w:rPr>
          <w:sz w:val="24"/>
        </w:rPr>
        <w:t>2.“质慧眼”工具接入粤政易移动端：</w:t>
      </w:r>
    </w:p>
    <w:p>
      <w:pPr>
        <w:pStyle w:val="null3"/>
        <w:ind w:firstLine="480"/>
      </w:pPr>
      <w:r>
        <w:rPr>
          <w:sz w:val="24"/>
        </w:rPr>
        <w:t>将目前粤商通端的</w:t>
      </w:r>
      <w:r>
        <w:rPr>
          <w:sz w:val="24"/>
        </w:rPr>
        <w:t>“质慧眼”工具部署至粤政易移动端，包括登陆、产品实物品类智能识别、产品标签标识/说明书智能识别、产品标签标识/说明书模板生成及我的快筛结果模块，为监管人员提供快捷方便的标签标识智能快筛系统。</w:t>
      </w:r>
    </w:p>
    <w:p>
      <w:pPr>
        <w:pStyle w:val="null3"/>
        <w:ind w:firstLine="480"/>
      </w:pPr>
      <w:r>
        <w:rPr>
          <w:sz w:val="24"/>
        </w:rPr>
        <w:t>3.提供使用情况分析报告编制服务：</w:t>
      </w:r>
    </w:p>
    <w:p>
      <w:pPr>
        <w:pStyle w:val="null3"/>
        <w:ind w:firstLine="480"/>
      </w:pPr>
      <w:r>
        <w:rPr>
          <w:sz w:val="24"/>
        </w:rPr>
        <w:t>依据已确定的模板标准，定期编制《质慧眼工具使用情况分析报告》。本报告含季度、年度使用综合分析报告共</w:t>
      </w:r>
      <w:r>
        <w:rPr>
          <w:sz w:val="24"/>
        </w:rPr>
        <w:t>5份，为监管人员深度分析本区域企业产品发展情况提供数据支撑，并为监管人员制定针对企业产品相关精准监管策略提供参考意见和建议。</w:t>
      </w:r>
    </w:p>
    <w:p>
      <w:pPr>
        <w:pStyle w:val="null3"/>
        <w:ind w:firstLine="480"/>
      </w:pPr>
      <w:r>
        <w:rPr>
          <w:sz w:val="24"/>
        </w:rPr>
        <w:t>4.web端工具开发：</w:t>
      </w:r>
    </w:p>
    <w:p>
      <w:pPr>
        <w:pStyle w:val="null3"/>
        <w:ind w:firstLine="480"/>
      </w:pPr>
      <w:r>
        <w:rPr>
          <w:sz w:val="24"/>
        </w:rPr>
        <w:t>4.1.分析中心</w:t>
      </w:r>
    </w:p>
    <w:p>
      <w:pPr>
        <w:pStyle w:val="null3"/>
        <w:ind w:firstLine="480"/>
      </w:pPr>
      <w:r>
        <w:rPr>
          <w:sz w:val="24"/>
        </w:rPr>
        <w:t>分析中心将整合新增的</w:t>
      </w:r>
      <w:r>
        <w:rPr>
          <w:sz w:val="24"/>
        </w:rPr>
        <w:t>15个产品种类数据，对本区域内各相关企业使用“质慧眼”智能快筛工具对产品标签标识自检情况进行统计分析，记录自检企业数量、企业自检时间分布、企业自检产品类型分布等统计数据，并以可视化形式分析企业自检自查数据，为监管</w:t>
      </w:r>
      <w:r>
        <w:rPr>
          <w:sz w:val="24"/>
        </w:rPr>
        <w:t>部门决策</w:t>
      </w:r>
      <w:r>
        <w:rPr>
          <w:sz w:val="24"/>
        </w:rPr>
        <w:t>提供数据支撑。同时支持监管人员对数据的导出。</w:t>
      </w:r>
    </w:p>
    <w:p>
      <w:pPr>
        <w:pStyle w:val="null3"/>
        <w:ind w:firstLine="480"/>
      </w:pPr>
      <w:r>
        <w:rPr>
          <w:sz w:val="24"/>
        </w:rPr>
        <w:t>4.2.工具运营</w:t>
      </w:r>
    </w:p>
    <w:p>
      <w:pPr>
        <w:pStyle w:val="null3"/>
        <w:ind w:firstLine="480"/>
      </w:pPr>
      <w:r>
        <w:rPr>
          <w:sz w:val="24"/>
        </w:rPr>
        <w:t>定期更新维护运营</w:t>
      </w:r>
      <w:r>
        <w:rPr>
          <w:sz w:val="24"/>
        </w:rPr>
        <w:t>相关</w:t>
      </w:r>
      <w:r>
        <w:rPr>
          <w:sz w:val="24"/>
        </w:rPr>
        <w:t>的业务数据、模板、机器学习算法模型、专家规则库等内容，保障工具功能的适用性和准确性。</w:t>
      </w:r>
    </w:p>
    <w:p>
      <w:pPr>
        <w:pStyle w:val="null3"/>
        <w:ind w:firstLine="480"/>
      </w:pPr>
      <w:r>
        <w:rPr>
          <w:sz w:val="24"/>
        </w:rPr>
        <w:t>4.4.1.快筛功能运营</w:t>
      </w:r>
    </w:p>
    <w:p>
      <w:pPr>
        <w:pStyle w:val="null3"/>
        <w:ind w:firstLine="480"/>
      </w:pPr>
      <w:r>
        <w:rPr>
          <w:sz w:val="24"/>
        </w:rPr>
        <w:t>快筛功能</w:t>
      </w:r>
      <w:r>
        <w:rPr>
          <w:sz w:val="24"/>
        </w:rPr>
        <w:t>的</w:t>
      </w:r>
      <w:r>
        <w:rPr>
          <w:sz w:val="24"/>
        </w:rPr>
        <w:t>运营包括</w:t>
      </w:r>
      <w:r>
        <w:rPr>
          <w:sz w:val="24"/>
        </w:rPr>
        <w:t>但不限于</w:t>
      </w:r>
      <w:r>
        <w:rPr>
          <w:sz w:val="24"/>
        </w:rPr>
        <w:t>产品实物品类智能识别、标签标识品类识别、标签</w:t>
      </w:r>
      <w:r>
        <w:rPr>
          <w:sz w:val="24"/>
        </w:rPr>
        <w:t>/说明书内容智能识别、产品CCC强制认证智能判断推荐、标签内容标准匹配、标准内容描述推荐、品类识别结果综合判定</w:t>
      </w:r>
      <w:r>
        <w:rPr>
          <w:sz w:val="24"/>
        </w:rPr>
        <w:t>等</w:t>
      </w:r>
      <w:r>
        <w:rPr>
          <w:sz w:val="24"/>
        </w:rPr>
        <w:t>。</w:t>
      </w:r>
    </w:p>
    <w:p>
      <w:pPr>
        <w:pStyle w:val="null3"/>
        <w:ind w:firstLine="480"/>
      </w:pPr>
      <w:r>
        <w:rPr>
          <w:sz w:val="24"/>
        </w:rPr>
        <w:t>4.4.2.产品标签标识、说明书模版生成功能运营</w:t>
      </w:r>
    </w:p>
    <w:p>
      <w:pPr>
        <w:pStyle w:val="null3"/>
        <w:ind w:firstLine="480"/>
      </w:pPr>
      <w:r>
        <w:rPr>
          <w:sz w:val="24"/>
        </w:rPr>
        <w:t>根据</w:t>
      </w:r>
      <w:r>
        <w:rPr>
          <w:sz w:val="24"/>
        </w:rPr>
        <w:t>当前</w:t>
      </w:r>
      <w:r>
        <w:rPr>
          <w:sz w:val="24"/>
        </w:rPr>
        <w:t>最新实施的标准要求，制作、更新产品标签标识、说明书模板，</w:t>
      </w:r>
      <w:r>
        <w:rPr>
          <w:sz w:val="24"/>
        </w:rPr>
        <w:t>确保</w:t>
      </w:r>
      <w:r>
        <w:rPr>
          <w:sz w:val="24"/>
        </w:rPr>
        <w:t>用户</w:t>
      </w:r>
      <w:r>
        <w:rPr>
          <w:sz w:val="24"/>
        </w:rPr>
        <w:t>可</w:t>
      </w:r>
      <w:r>
        <w:rPr>
          <w:sz w:val="24"/>
        </w:rPr>
        <w:t>生成最新最准确的标签标识、说明书模版。</w:t>
      </w:r>
    </w:p>
    <w:p>
      <w:pPr>
        <w:pStyle w:val="null3"/>
        <w:ind w:firstLine="480"/>
      </w:pPr>
      <w:r>
        <w:rPr>
          <w:sz w:val="24"/>
        </w:rPr>
        <w:t>4.4.3.培训与运维</w:t>
      </w:r>
    </w:p>
    <w:p>
      <w:pPr>
        <w:pStyle w:val="null3"/>
        <w:ind w:firstLine="480"/>
      </w:pPr>
      <w:r>
        <w:rPr>
          <w:sz w:val="24"/>
        </w:rPr>
        <w:t>工具完成开发实施后，</w:t>
      </w:r>
      <w:r>
        <w:rPr>
          <w:sz w:val="24"/>
        </w:rPr>
        <w:t>需</w:t>
      </w:r>
      <w:r>
        <w:rPr>
          <w:sz w:val="24"/>
        </w:rPr>
        <w:t>提供培训与运维，对工具出现的技术问题进行处理，保障工具的正常运行，定期开展安全漏洞扫描，进行安全补丁升级。</w:t>
      </w:r>
    </w:p>
    <w:p>
      <w:pPr>
        <w:pStyle w:val="null3"/>
        <w:ind w:firstLine="480"/>
      </w:pPr>
      <w:r>
        <w:rPr>
          <w:sz w:val="24"/>
        </w:rPr>
        <w:t>5.本项目的运维工作需同时提供“质慧眼”智能快筛工具推广服务，具体内容需包括但不限于工具操作视频制作、推广宣传资料印刷等，具体按</w:t>
      </w:r>
      <w:r>
        <w:rPr>
          <w:sz w:val="24"/>
        </w:rPr>
        <w:t>甲方</w:t>
      </w:r>
      <w:r>
        <w:rPr>
          <w:sz w:val="24"/>
        </w:rPr>
        <w:t>和合同条款要求执行。</w:t>
      </w:r>
    </w:p>
    <w:p>
      <w:pPr>
        <w:pStyle w:val="null3"/>
        <w:spacing w:before="165"/>
        <w:ind w:firstLine="480"/>
      </w:pPr>
      <w:r>
        <w:rPr>
          <w:sz w:val="24"/>
        </w:rPr>
        <w:t>6.</w:t>
      </w:r>
      <w:r>
        <w:rPr>
          <w:sz w:val="24"/>
        </w:rPr>
        <w:t>乙方</w:t>
      </w:r>
      <w:r>
        <w:rPr>
          <w:sz w:val="24"/>
        </w:rPr>
        <w:t>需组建运营服务团队，团队工作人员数量应不少于</w:t>
      </w:r>
      <w:r>
        <w:rPr>
          <w:sz w:val="24"/>
        </w:rPr>
        <w:t>2人</w:t>
      </w:r>
      <w:r>
        <w:rPr>
          <w:sz w:val="24"/>
        </w:rPr>
        <w:t>（</w:t>
      </w:r>
      <w:r>
        <w:rPr>
          <w:sz w:val="24"/>
        </w:rPr>
        <w:t>含驻场人员</w:t>
      </w:r>
      <w:r>
        <w:rPr>
          <w:sz w:val="24"/>
        </w:rPr>
        <w:t>）</w:t>
      </w:r>
      <w:r>
        <w:rPr>
          <w:sz w:val="24"/>
        </w:rPr>
        <w:t>。</w:t>
      </w:r>
    </w:p>
    <w:p>
      <w:pPr>
        <w:pStyle w:val="null3"/>
        <w:jc w:val="both"/>
      </w:pPr>
      <w:r>
        <w:rPr>
          <w:sz w:val="24"/>
          <w:b/>
        </w:rPr>
        <w:t>三、甲方乙方的权利和义务</w:t>
      </w:r>
    </w:p>
    <w:p>
      <w:pPr>
        <w:pStyle w:val="null3"/>
        <w:ind w:firstLine="480"/>
        <w:jc w:val="both"/>
      </w:pPr>
      <w:r>
        <w:rPr>
          <w:sz w:val="24"/>
        </w:rPr>
        <w:t>1.甲方的权利和义务</w:t>
      </w:r>
    </w:p>
    <w:p>
      <w:pPr>
        <w:pStyle w:val="null3"/>
        <w:ind w:left="960" w:firstLine="33"/>
        <w:jc w:val="both"/>
      </w:pPr>
      <w:r>
        <w:rPr>
          <w:sz w:val="24"/>
        </w:rPr>
        <w:t>1.</w:t>
      </w:r>
      <w:r>
        <w:rPr>
          <w:sz w:val="24"/>
        </w:rPr>
        <w:t>1.</w:t>
      </w:r>
      <w:r>
        <w:rPr>
          <w:sz w:val="24"/>
        </w:rPr>
        <w:t>有权利得到合同承诺的满足要求的服务。</w:t>
      </w:r>
      <w:r>
        <w:br/>
      </w:r>
      <w:r>
        <w:rPr>
          <w:sz w:val="24"/>
        </w:rPr>
        <w:t>2.</w:t>
      </w:r>
      <w:r>
        <w:rPr>
          <w:sz w:val="24"/>
        </w:rPr>
        <w:t>1.</w:t>
      </w:r>
      <w:r>
        <w:rPr>
          <w:sz w:val="24"/>
        </w:rPr>
        <w:t>负责协调相关部门对乙方的维护进行人员配合和协助工作；</w:t>
      </w:r>
      <w:r>
        <w:br/>
      </w:r>
      <w:r>
        <w:rPr>
          <w:sz w:val="24"/>
        </w:rPr>
        <w:t>3.</w:t>
      </w:r>
      <w:r>
        <w:rPr>
          <w:sz w:val="24"/>
        </w:rPr>
        <w:t>1.</w:t>
      </w:r>
      <w:r>
        <w:rPr>
          <w:sz w:val="24"/>
        </w:rPr>
        <w:t>按本合同约定的时间及办法对服务进行验收；</w:t>
      </w:r>
      <w:r>
        <w:br/>
      </w:r>
      <w:r>
        <w:rPr>
          <w:sz w:val="24"/>
        </w:rPr>
        <w:t>4.</w:t>
      </w:r>
      <w:r>
        <w:rPr>
          <w:sz w:val="24"/>
        </w:rPr>
        <w:t>1.</w:t>
      </w:r>
      <w:r>
        <w:rPr>
          <w:sz w:val="24"/>
        </w:rPr>
        <w:t>按本合同约定的付款时间及金额付款给乙方。</w:t>
      </w:r>
    </w:p>
    <w:p>
      <w:pPr>
        <w:pStyle w:val="null3"/>
        <w:ind w:firstLine="480"/>
        <w:jc w:val="both"/>
      </w:pPr>
      <w:r>
        <w:rPr>
          <w:sz w:val="24"/>
        </w:rPr>
        <w:t>2.乙方的权利和义务</w:t>
      </w:r>
    </w:p>
    <w:p>
      <w:pPr>
        <w:pStyle w:val="null3"/>
        <w:ind w:left="960" w:firstLine="33"/>
        <w:jc w:val="both"/>
      </w:pPr>
      <w:r>
        <w:rPr>
          <w:sz w:val="24"/>
        </w:rPr>
        <w:t>2.1</w:t>
      </w:r>
      <w:r>
        <w:rPr>
          <w:sz w:val="24"/>
        </w:rPr>
        <w:t>有权利按照合同承诺的方式收取合同规定金额；</w:t>
      </w:r>
      <w:r>
        <w:br/>
      </w:r>
      <w:r>
        <w:rPr>
          <w:sz w:val="24"/>
        </w:rPr>
        <w:t>2.2</w:t>
      </w:r>
      <w:r>
        <w:rPr>
          <w:sz w:val="24"/>
        </w:rPr>
        <w:t>乙方承诺将按与本合同同等的优惠条件提供服务。</w:t>
      </w:r>
    </w:p>
    <w:p>
      <w:pPr>
        <w:pStyle w:val="null3"/>
        <w:jc w:val="both"/>
      </w:pPr>
      <w:r>
        <w:rPr>
          <w:sz w:val="24"/>
          <w:b/>
        </w:rPr>
        <w:t>四、服务期间（项目完成期限）</w:t>
      </w:r>
    </w:p>
    <w:p>
      <w:pPr>
        <w:pStyle w:val="null3"/>
        <w:jc w:val="both"/>
      </w:pPr>
      <w:r>
        <w:rPr>
          <w:sz w:val="24"/>
        </w:rPr>
        <w:t>1.委托服务期间自</w:t>
      </w:r>
      <w:r>
        <w:rPr>
          <w:sz w:val="24"/>
        </w:rPr>
        <w:t>合同</w:t>
      </w:r>
      <w:r>
        <w:rPr>
          <w:sz w:val="24"/>
        </w:rPr>
        <w:t>签订</w:t>
      </w:r>
      <w:r>
        <w:rPr>
          <w:sz w:val="24"/>
        </w:rPr>
        <w:t>之日起</w:t>
      </w:r>
      <w:r>
        <w:rPr>
          <w:sz w:val="24"/>
        </w:rPr>
        <w:t>1年</w:t>
      </w:r>
      <w:r>
        <w:rPr>
          <w:sz w:val="24"/>
        </w:rPr>
        <w:t>。</w:t>
      </w:r>
    </w:p>
    <w:p>
      <w:pPr>
        <w:pStyle w:val="null3"/>
        <w:jc w:val="both"/>
      </w:pPr>
      <w:r>
        <w:rPr>
          <w:sz w:val="24"/>
          <w:b/>
        </w:rPr>
        <w:t>五、付款方式</w:t>
      </w:r>
    </w:p>
    <w:p>
      <w:pPr>
        <w:pStyle w:val="null3"/>
        <w:jc w:val="both"/>
      </w:pPr>
      <w:r>
        <w:rPr>
          <w:sz w:val="24"/>
        </w:rPr>
        <w:t>　　由甲方按下列程序付款：</w:t>
      </w:r>
    </w:p>
    <w:p>
      <w:pPr>
        <w:pStyle w:val="null3"/>
      </w:pPr>
      <w:r>
        <w:rPr>
          <w:sz w:val="24"/>
        </w:rPr>
        <w:t>1期：支付比例50%,在合同签订</w:t>
      </w:r>
      <w:r>
        <w:rPr>
          <w:sz w:val="24"/>
        </w:rPr>
        <w:t>及收到乙方相应金额发票</w:t>
      </w:r>
      <w:r>
        <w:rPr>
          <w:sz w:val="24"/>
        </w:rPr>
        <w:t>之后</w:t>
      </w:r>
      <w:r>
        <w:rPr>
          <w:sz w:val="24"/>
          <w:u w:val="single"/>
        </w:rPr>
        <w:t xml:space="preserve"> </w:t>
      </w:r>
      <w:r>
        <w:rPr>
          <w:sz w:val="24"/>
          <w:u w:val="single"/>
        </w:rPr>
        <w:t xml:space="preserve">20 </w:t>
      </w:r>
      <w:r>
        <w:rPr>
          <w:sz w:val="24"/>
        </w:rPr>
        <w:t>天内</w:t>
      </w:r>
      <w:r>
        <w:rPr>
          <w:sz w:val="24"/>
        </w:rPr>
        <w:t>，支付合同总价的</w:t>
      </w:r>
      <w:r>
        <w:rPr>
          <w:sz w:val="24"/>
        </w:rPr>
        <w:t>50%</w:t>
      </w:r>
      <w:r>
        <w:rPr>
          <w:sz w:val="24"/>
        </w:rPr>
        <w:t>即人民币</w:t>
      </w:r>
      <w:r>
        <w:rPr>
          <w:u w:val="single"/>
        </w:rPr>
        <w:t xml:space="preserve">        </w:t>
      </w:r>
      <w:r>
        <w:rPr>
          <w:sz w:val="24"/>
        </w:rPr>
        <w:t>元</w:t>
      </w:r>
      <w:r>
        <w:rPr>
          <w:sz w:val="24"/>
        </w:rPr>
        <w:t>作为项目预付款。</w:t>
      </w:r>
    </w:p>
    <w:p>
      <w:pPr>
        <w:pStyle w:val="null3"/>
        <w:ind w:firstLine="480"/>
        <w:jc w:val="both"/>
      </w:pPr>
      <w:r>
        <w:rPr>
          <w:sz w:val="24"/>
        </w:rPr>
        <w:t>2期：支付比例50%,在项目通过综合验收合格后</w:t>
      </w:r>
      <w:r>
        <w:rPr>
          <w:sz w:val="24"/>
        </w:rPr>
        <w:t>，由乙方提供相应金额的发票后</w:t>
      </w:r>
      <w:r>
        <w:rPr>
          <w:sz w:val="24"/>
          <w:u w:val="single"/>
        </w:rPr>
        <w:t xml:space="preserve"> 20 </w:t>
      </w:r>
      <w:r>
        <w:rPr>
          <w:sz w:val="24"/>
        </w:rPr>
        <w:t>天内</w:t>
      </w:r>
      <w:r>
        <w:rPr>
          <w:sz w:val="24"/>
        </w:rPr>
        <w:t>支付</w:t>
      </w:r>
      <w:r>
        <w:rPr>
          <w:sz w:val="24"/>
        </w:rPr>
        <w:t>合同总价的</w:t>
      </w:r>
      <w:r>
        <w:rPr>
          <w:sz w:val="24"/>
        </w:rPr>
        <w:t>50%</w:t>
      </w:r>
      <w:r>
        <w:rPr>
          <w:sz w:val="24"/>
        </w:rPr>
        <w:t>即人民币</w:t>
      </w:r>
      <w:r>
        <w:rPr>
          <w:sz w:val="24"/>
          <w:u w:val="single"/>
        </w:rPr>
        <w:t xml:space="preserve">        </w:t>
      </w:r>
      <w:r>
        <w:rPr>
          <w:sz w:val="24"/>
        </w:rPr>
        <w:t>元</w:t>
      </w:r>
      <w:r>
        <w:rPr>
          <w:sz w:val="24"/>
        </w:rPr>
        <w:t>，每次办理支付项目款之前，都应开具符合采购人财务要求的等额发票，若因未及时开具发票以致逾期支付款项的，责任由</w:t>
      </w:r>
      <w:r>
        <w:rPr>
          <w:sz w:val="24"/>
        </w:rPr>
        <w:t>乙方</w:t>
      </w:r>
      <w:r>
        <w:rPr>
          <w:sz w:val="24"/>
        </w:rPr>
        <w:t>承担</w:t>
      </w:r>
      <w:r>
        <w:rPr>
          <w:sz w:val="24"/>
        </w:rPr>
        <w:t>。</w:t>
      </w:r>
    </w:p>
    <w:p>
      <w:pPr>
        <w:pStyle w:val="null3"/>
        <w:ind w:firstLine="480"/>
        <w:jc w:val="both"/>
      </w:pPr>
      <w:r>
        <w:rPr>
          <w:sz w:val="24"/>
        </w:rPr>
        <w:t>因</w:t>
      </w:r>
      <w:r>
        <w:rPr>
          <w:sz w:val="24"/>
        </w:rPr>
        <w:t>甲方</w:t>
      </w:r>
      <w:r>
        <w:rPr>
          <w:sz w:val="24"/>
        </w:rPr>
        <w:t>使用的是财政资金，如因非</w:t>
      </w:r>
      <w:r>
        <w:rPr>
          <w:sz w:val="24"/>
        </w:rPr>
        <w:t>甲方</w:t>
      </w:r>
      <w:r>
        <w:rPr>
          <w:sz w:val="24"/>
        </w:rPr>
        <w:t>原因导致的当期结算费用未能准时到账，</w:t>
      </w:r>
      <w:r>
        <w:rPr>
          <w:sz w:val="24"/>
        </w:rPr>
        <w:t>实际支付时间以财政部门拨款之日为准</w:t>
      </w:r>
      <w:r>
        <w:rPr>
          <w:sz w:val="24"/>
        </w:rPr>
        <w:t>。</w:t>
      </w:r>
    </w:p>
    <w:p>
      <w:pPr>
        <w:pStyle w:val="null3"/>
        <w:jc w:val="both"/>
      </w:pPr>
      <w:r>
        <w:rPr>
          <w:sz w:val="24"/>
          <w:b/>
        </w:rPr>
        <w:t>六、知识产权归属</w:t>
      </w:r>
    </w:p>
    <w:p>
      <w:pPr>
        <w:pStyle w:val="null3"/>
        <w:ind w:firstLine="480"/>
        <w:jc w:val="both"/>
      </w:pPr>
      <w:r>
        <w:rPr>
          <w:sz w:val="24"/>
        </w:rPr>
        <w:t>本项目开发软件的源代码所有权和著作权归甲方所有。乙方已有知识产权构成交付物的一部分，乙方就该内容授予</w:t>
      </w:r>
      <w:r>
        <w:rPr>
          <w:sz w:val="24"/>
        </w:rPr>
        <w:t>甲方</w:t>
      </w:r>
      <w:r>
        <w:rPr>
          <w:sz w:val="24"/>
        </w:rPr>
        <w:t>永久的使用权，本项目并不发生双方已有知识产权所有权变动。乙方保证本合同提供的服务不侵犯任何第三方的知识产权。否则，乙方须承担对第三方的侵权责任，并承担因此而发生的所有费用。</w:t>
      </w:r>
    </w:p>
    <w:p>
      <w:pPr>
        <w:pStyle w:val="null3"/>
        <w:numPr>
          <w:ilvl w:val="0"/>
          <w:numId w:val="1"/>
        </w:numPr>
        <w:jc w:val="both"/>
      </w:pPr>
      <w:r>
        <w:rPr>
          <w:sz w:val="24"/>
          <w:b/>
        </w:rPr>
        <w:t>保密</w:t>
      </w:r>
    </w:p>
    <w:p>
      <w:pPr>
        <w:pStyle w:val="null3"/>
        <w:ind w:firstLine="480"/>
      </w:pPr>
      <w:r>
        <w:rPr>
          <w:sz w:val="24"/>
        </w:rPr>
        <w:t>乙方任何时候均不能泄露本合同的相关服务内容等，否则视为乙方违约。</w:t>
      </w:r>
      <w:r>
        <w:rPr>
          <w:sz w:val="24"/>
        </w:rPr>
        <w:t>本条保密义务永久有效，不因本合同变更、解除、终止而终止。</w:t>
      </w:r>
    </w:p>
    <w:p>
      <w:pPr>
        <w:pStyle w:val="null3"/>
        <w:jc w:val="both"/>
      </w:pPr>
      <w:r>
        <w:rPr>
          <w:sz w:val="24"/>
          <w:b/>
        </w:rPr>
        <w:t>八、违约责任与赔偿损失</w:t>
      </w:r>
    </w:p>
    <w:p>
      <w:pPr>
        <w:pStyle w:val="null3"/>
        <w:jc w:val="both"/>
      </w:pPr>
      <w:r>
        <w:rPr>
          <w:sz w:val="24"/>
        </w:rPr>
        <w:t>1.乙方提供的服务不符合本合同规定的，甲方有权拒收，并且乙方须向甲方方支付本合同总价5%的违约金</w:t>
      </w:r>
      <w:r>
        <w:rPr>
          <w:sz w:val="24"/>
        </w:rPr>
        <w:t>，和乙方须返还已收的相应款项</w:t>
      </w:r>
      <w:r>
        <w:rPr>
          <w:sz w:val="24"/>
        </w:rPr>
        <w:t>。</w:t>
      </w:r>
    </w:p>
    <w:p>
      <w:pPr>
        <w:pStyle w:val="null3"/>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r>
        <w:rPr>
          <w:sz w:val="24"/>
        </w:rPr>
        <w:t>，和乙方须返还已收的相应款项</w:t>
      </w:r>
      <w:r>
        <w:rPr>
          <w:sz w:val="24"/>
        </w:rPr>
        <w:t>。</w:t>
      </w:r>
    </w:p>
    <w:p>
      <w:pPr>
        <w:pStyle w:val="null3"/>
        <w:jc w:val="both"/>
      </w:pPr>
      <w:r>
        <w:rPr>
          <w:sz w:val="24"/>
        </w:rPr>
        <w:t>3.甲方无正当理由拒收接受服务，到期拒付服务款项的，甲方向乙方偿付本合同总的5%的违约金。甲方逾期付款，则每日按本合同总价的3‰向乙方偿付违约金。</w:t>
      </w:r>
    </w:p>
    <w:p>
      <w:pPr>
        <w:pStyle w:val="null3"/>
        <w:jc w:val="both"/>
      </w:pPr>
      <w:r>
        <w:rPr>
          <w:sz w:val="24"/>
        </w:rPr>
        <w:t>4.对于因甲方</w:t>
      </w:r>
      <w:r>
        <w:rPr>
          <w:sz w:val="24"/>
        </w:rPr>
        <w:t>无正当</w:t>
      </w:r>
      <w:r>
        <w:rPr>
          <w:sz w:val="24"/>
        </w:rPr>
        <w:t>原因导致变更、中止或者终止政府采购合同的，甲方应当依照以下合同约定对受到的损失予以赔偿：</w:t>
      </w:r>
      <w:r>
        <w:rPr>
          <w:sz w:val="24"/>
        </w:rPr>
        <w:t>向</w:t>
      </w:r>
      <w:r>
        <w:rPr>
          <w:sz w:val="24"/>
        </w:rPr>
        <w:t>乙</w:t>
      </w:r>
      <w:r>
        <w:rPr>
          <w:sz w:val="24"/>
        </w:rPr>
        <w:t>方支付本合同总价</w:t>
      </w:r>
      <w:r>
        <w:rPr>
          <w:sz w:val="24"/>
        </w:rPr>
        <w:t>3</w:t>
      </w:r>
      <w:r>
        <w:rPr>
          <w:sz w:val="24"/>
        </w:rPr>
        <w:t>%的违约金。</w:t>
      </w:r>
    </w:p>
    <w:p>
      <w:pPr>
        <w:pStyle w:val="null3"/>
        <w:jc w:val="both"/>
      </w:pPr>
      <w:r>
        <w:rPr>
          <w:sz w:val="24"/>
        </w:rPr>
        <w:t>5.其它违约责任按《中华人民共和国民法典》处理。</w:t>
      </w:r>
    </w:p>
    <w:p>
      <w:pPr>
        <w:pStyle w:val="null3"/>
        <w:jc w:val="both"/>
      </w:pPr>
      <w:r>
        <w:rPr>
          <w:sz w:val="24"/>
          <w:b/>
        </w:rPr>
        <w:t>九、争议的解决</w:t>
      </w:r>
    </w:p>
    <w:p>
      <w:pPr>
        <w:pStyle w:val="null3"/>
        <w:ind w:firstLine="400"/>
        <w:jc w:val="both"/>
      </w:pPr>
      <w:r>
        <w:rPr>
          <w:sz w:val="24"/>
        </w:rPr>
        <w:t>合同执行过程中发生的任何争议，如双方不能通过友好协商解决，</w:t>
      </w:r>
      <w:r>
        <w:rPr>
          <w:sz w:val="24"/>
        </w:rPr>
        <w:t>甲乙双方任何一方同意向甲方所在地人民法院起诉</w:t>
      </w:r>
      <w:r>
        <w:rPr>
          <w:sz w:val="24"/>
        </w:rPr>
        <w:t>。</w:t>
      </w:r>
      <w:r>
        <w:rPr>
          <w:sz w:val="24"/>
        </w:rPr>
        <w:t xml:space="preserve">      </w:t>
      </w:r>
    </w:p>
    <w:p>
      <w:pPr>
        <w:pStyle w:val="null3"/>
        <w:jc w:val="both"/>
      </w:pPr>
      <w:r>
        <w:rPr>
          <w:sz w:val="24"/>
          <w:b/>
        </w:rPr>
        <w:t>十、不可抗力</w:t>
      </w:r>
    </w:p>
    <w:p>
      <w:pPr>
        <w:pStyle w:val="null3"/>
        <w:jc w:val="both"/>
      </w:pPr>
      <w:r>
        <w:rPr>
          <w:sz w:val="24"/>
        </w:rPr>
        <w:t>　　任何一方由于不可抗力原因不能履行合同时，应在不可抗力事件</w:t>
      </w:r>
      <w:r>
        <w:rPr>
          <w:sz w:val="24"/>
        </w:rPr>
        <w:t>开始和</w:t>
      </w:r>
      <w:r>
        <w:rPr>
          <w:sz w:val="24"/>
        </w:rPr>
        <w:t>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4"/>
        </w:rPr>
        <w:t>　　在中国境内、外发生的与本合同执行有关的一切税费均由乙方负担。</w:t>
      </w:r>
    </w:p>
    <w:p>
      <w:pPr>
        <w:pStyle w:val="null3"/>
        <w:jc w:val="both"/>
      </w:pPr>
      <w:r>
        <w:rPr>
          <w:sz w:val="24"/>
          <w:b/>
        </w:rPr>
        <w:t>十二、其它</w:t>
      </w:r>
    </w:p>
    <w:p>
      <w:pPr>
        <w:pStyle w:val="null3"/>
        <w:jc w:val="both"/>
      </w:pPr>
      <w:r>
        <w:rPr>
          <w:sz w:val="24"/>
        </w:rPr>
        <w:t>1.本合同招标文件、投标文件、中标通知书均为合同的有效组成部分，与本合同具有同等法律效力。</w:t>
      </w:r>
      <w:r>
        <w:rPr>
          <w:sz w:val="24"/>
        </w:rPr>
        <w:t>如上述文件内容与本合同内容冲突的，以本合同为准。</w:t>
      </w:r>
    </w:p>
    <w:p>
      <w:pPr>
        <w:pStyle w:val="null3"/>
        <w:jc w:val="both"/>
      </w:pPr>
      <w:r>
        <w:rPr>
          <w:sz w:val="24"/>
        </w:rPr>
        <w:t>2.在执行本合同的过程中，</w:t>
      </w:r>
      <w:r>
        <w:rPr>
          <w:sz w:val="24"/>
        </w:rPr>
        <w:t>对未尽事宜可签订</w:t>
      </w:r>
      <w:r>
        <w:rPr>
          <w:sz w:val="24"/>
        </w:rPr>
        <w:t>补充协议</w:t>
      </w:r>
      <w:r>
        <w:rPr>
          <w:sz w:val="24"/>
        </w:rPr>
        <w:t>，该协议</w:t>
      </w:r>
      <w:r>
        <w:rPr>
          <w:sz w:val="24"/>
        </w:rPr>
        <w:t>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b/>
        </w:rPr>
        <w:t>十三、合同生效</w:t>
      </w:r>
    </w:p>
    <w:p>
      <w:pPr>
        <w:pStyle w:val="null3"/>
        <w:jc w:val="both"/>
      </w:pPr>
      <w:r>
        <w:rPr>
          <w:sz w:val="24"/>
        </w:rPr>
        <w:t>1.本合同在甲乙双方</w:t>
      </w:r>
      <w:r>
        <w:rPr>
          <w:sz w:val="24"/>
        </w:rPr>
        <w:t>负责人、法定代表人</w:t>
      </w:r>
      <w:r>
        <w:rPr>
          <w:sz w:val="24"/>
        </w:rPr>
        <w:t>或其授权代表签字盖章后生效。</w:t>
      </w:r>
    </w:p>
    <w:p>
      <w:pPr>
        <w:pStyle w:val="null3"/>
        <w:jc w:val="both"/>
      </w:pPr>
      <w:r>
        <w:rPr>
          <w:sz w:val="24"/>
        </w:rPr>
        <w:t>2.本合同一式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份，代理机构</w:t>
      </w:r>
      <w:r>
        <w:rPr>
          <w:sz w:val="24"/>
          <w:u w:val="single"/>
        </w:rPr>
        <w:t xml:space="preserve"> </w:t>
      </w:r>
      <w:r>
        <w:rPr>
          <w:sz w:val="24"/>
          <w:u w:val="single"/>
        </w:rPr>
        <w:t>壹</w:t>
      </w:r>
      <w:r>
        <w:rPr>
          <w:sz w:val="24"/>
          <w:u w:val="single"/>
        </w:rPr>
        <w:t xml:space="preserve"> </w:t>
      </w:r>
      <w:r>
        <w:rPr>
          <w:sz w:val="24"/>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户</w:t>
      </w:r>
      <w:r>
        <w:rPr>
          <w:sz w:val="24"/>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442000-2024-02945</w:t>
      </w:r>
    </w:p>
    <w:p>
      <w:pPr>
        <w:pStyle w:val="null3"/>
        <w:jc w:val="center"/>
        <w:outlineLvl w:val="3"/>
      </w:pPr>
      <w:r>
        <w:rPr>
          <w:sz w:val="24"/>
          <w:b/>
        </w:rPr>
        <w:t>采购项目编号：</w:t>
      </w:r>
      <w:r>
        <w:rPr>
          <w:sz w:val="24"/>
          <w:b/>
        </w:rPr>
        <w:t>442000-2024-02945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中山市“质慧眼”智能快筛服务运营</w:t>
      </w:r>
      <w:r>
        <w:rPr>
          <w:u w:val="single"/>
        </w:rPr>
        <w:t>”</w:t>
      </w:r>
      <w:r>
        <w:rPr/>
        <w:t>项目的竞争性磋商[采购项目编号为：</w:t>
      </w:r>
      <w:r>
        <w:rPr>
          <w:u w:val="single"/>
        </w:rPr>
        <w:t>442000-2024-02945</w:t>
      </w:r>
      <w:r>
        <w:rPr/>
        <w:t>]，我方愿参与响应。</w:t>
      </w:r>
    </w:p>
    <w:p>
      <w:pPr>
        <w:pStyle w:val="null3"/>
        <w:ind w:firstLine="480"/>
      </w:pPr>
      <w:r>
        <w:rPr/>
        <w:t>我方确认收到贵方提供的</w:t>
      </w:r>
      <w:r>
        <w:rPr>
          <w:u w:val="single"/>
        </w:rPr>
        <w:t>“</w:t>
      </w:r>
      <w:r>
        <w:rPr>
          <w:u w:val="single"/>
        </w:rPr>
        <w:t>中山市“质慧眼”智能快筛服务运营</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中山市“质慧眼”智能快筛服务运营</w:t>
      </w:r>
      <w:r>
        <w:rPr/>
        <w:t>”项目采购[采购项目编号为</w:t>
      </w:r>
      <w:r>
        <w:rPr/>
        <w:t>442000-2024-02945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中山市“质慧眼”智能快筛服务运营</w:t>
      </w:r>
      <w:r>
        <w:rPr/>
        <w:t>（采购项目编号：</w:t>
      </w:r>
      <w:r>
        <w:rPr/>
        <w:t>442000-2024-02945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中山市“质慧眼”智能快筛服务运营</w:t>
      </w:r>
      <w:r>
        <w:rPr/>
        <w:t>”项目（采购项目编号：</w:t>
      </w:r>
      <w:r>
        <w:rPr/>
        <w:t>442000-2024-02945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