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442000-2024-04586</w:t>
      </w:r>
    </w:p>
    <w:p>
      <w:pPr>
        <w:pStyle w:val="null3"/>
        <w:jc w:val="center"/>
        <w:outlineLvl w:val="3"/>
      </w:pPr>
      <w:r>
        <w:rPr>
          <w:sz w:val="24"/>
          <w:b/>
        </w:rPr>
        <w:t>采购项目编号：</w:t>
      </w:r>
      <w:r>
        <w:rPr>
          <w:sz w:val="24"/>
          <w:b/>
        </w:rPr>
        <w:t>442000-2024-04586</w:t>
      </w:r>
    </w:p>
    <w:p>
      <w:pPr>
        <w:pStyle w:val="null3"/>
        <w:jc w:val="center"/>
        <w:outlineLvl w:val="3"/>
      </w:pPr>
      <w:r>
        <w:rPr>
          <w:sz w:val="24"/>
          <w:b/>
        </w:rPr>
        <w:t>项目名称：</w:t>
      </w:r>
      <w:r>
        <w:rPr>
          <w:sz w:val="24"/>
          <w:b/>
        </w:rPr>
        <w:t>中山市住房公积金管理中心信息系统政务云迁移项目</w:t>
      </w:r>
    </w:p>
    <w:p>
      <w:pPr>
        <w:pStyle w:val="null3"/>
        <w:jc w:val="center"/>
        <w:outlineLvl w:val="3"/>
      </w:pPr>
      <w:r>
        <w:rPr>
          <w:sz w:val="24"/>
          <w:b/>
        </w:rPr>
        <w:t>采购人：</w:t>
      </w:r>
      <w:r>
        <w:rPr>
          <w:sz w:val="24"/>
          <w:b/>
        </w:rPr>
        <w:t>中山市住房公积金管理中心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中山市住房公积金管理中心</w:t>
      </w:r>
      <w:r>
        <w:rPr/>
        <w:t>的委托，采用</w:t>
      </w:r>
      <w:r>
        <w:rPr/>
        <w:t>公开招标</w:t>
      </w:r>
      <w:r>
        <w:rPr/>
        <w:t>方式组织采购</w:t>
      </w:r>
      <w:r>
        <w:rPr/>
        <w:t>中山市住房公积金管理中心信息系统政务云迁移项目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中山市住房公积金管理中心信息系统政务云迁移项目</w:t>
      </w:r>
    </w:p>
    <w:p>
      <w:pPr>
        <w:pStyle w:val="null3"/>
        <w:ind w:firstLine="480"/>
      </w:pPr>
      <w:r>
        <w:rPr/>
        <w:t>采购计划编号：</w:t>
      </w:r>
      <w:r>
        <w:rPr/>
        <w:t>442000-2024-04586</w:t>
      </w:r>
    </w:p>
    <w:p>
      <w:pPr>
        <w:pStyle w:val="null3"/>
        <w:ind w:firstLine="480"/>
      </w:pPr>
      <w:r>
        <w:rPr/>
        <w:t>采购项目编号：</w:t>
      </w:r>
      <w:r>
        <w:rPr/>
        <w:t>442000-2024-04586</w:t>
      </w:r>
    </w:p>
    <w:p>
      <w:pPr>
        <w:pStyle w:val="null3"/>
        <w:ind w:firstLine="480"/>
      </w:pPr>
      <w:r>
        <w:rPr/>
        <w:t>采购方式：</w:t>
      </w:r>
      <w:r>
        <w:rPr/>
        <w:t>公开招标</w:t>
      </w:r>
    </w:p>
    <w:p>
      <w:pPr>
        <w:pStyle w:val="null3"/>
        <w:ind w:firstLine="480"/>
      </w:pPr>
      <w:r>
        <w:rPr/>
        <w:t>预算金额：</w:t>
      </w:r>
      <w:r>
        <w:rPr/>
        <w:t>3,725,000.00</w:t>
      </w:r>
      <w:r>
        <w:rPr/>
        <w:t>元</w:t>
      </w:r>
    </w:p>
    <w:p>
      <w:pPr>
        <w:pStyle w:val="null3"/>
        <w:outlineLvl w:val="3"/>
      </w:pPr>
      <w:r>
        <w:rPr>
          <w:sz w:val="24"/>
          <w:b/>
        </w:rPr>
        <w:t>2.项目内容及需求情况（采购项目技术规格、参数及要求）</w:t>
      </w:r>
    </w:p>
    <w:p>
      <w:pPr>
        <w:pStyle w:val="null3"/>
      </w:pPr>
      <w:r>
        <w:rPr/>
        <w:t>采购包1(中山市住房公积金管理中心信息系统政务云迁移项目):</w:t>
      </w:r>
    </w:p>
    <w:p>
      <w:pPr>
        <w:pStyle w:val="null3"/>
      </w:pPr>
      <w:r>
        <w:rPr/>
        <w:t>采购包预算金额：3,725,000.00元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软件集成实施服务</w:t>
            </w:r>
          </w:p>
        </w:tc>
        <w:tc>
          <w:tcPr>
            <w:tcW w:type="dxa" w:w="2136"/>
          </w:tcPr>
          <w:p>
            <w:pPr>
              <w:pStyle w:val="null3"/>
            </w:pPr>
            <w:r>
              <w:rPr/>
              <w:t>中山市住房公积金管理中心信息系统政务云迁移项目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合同履行期限：自合同约定生效之日起6个月内，完成项目实施和验收。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采购包1（中山市住房公积金管理中心信息系统政务云迁移项目）：</w:t>
      </w:r>
      <w:r>
        <w:rPr/>
        <w:t>本采购包不属于专门面向中小企业采购项目。本项目采购标的对应的中小企业划分标准所属行业为：软件和信息技术服务业。</w:t>
      </w:r>
    </w:p>
    <w:p>
      <w:pPr>
        <w:pStyle w:val="null3"/>
        <w:outlineLvl w:val="3"/>
      </w:pPr>
      <w:r>
        <w:rPr>
          <w:sz w:val="24"/>
          <w:b/>
        </w:rPr>
        <w:t>3.本项目特定的资格要求：</w:t>
      </w:r>
    </w:p>
    <w:p>
      <w:pPr>
        <w:pStyle w:val="null3"/>
      </w:pPr>
      <w:r>
        <w:rPr/>
        <w:t>采购包1（中山市住房公积金管理中心信息系统政务云迁移项目）：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广东省政府采购网(https://gdgpo.czt.gd.gov.cn/)；广东省公共资源交易平台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中山市住房公积金管理中心</w:t>
      </w:r>
    </w:p>
    <w:p>
      <w:pPr>
        <w:pStyle w:val="null3"/>
        <w:ind w:firstLine="480"/>
      </w:pPr>
      <w:r>
        <w:rPr/>
        <w:t xml:space="preserve"> 地址：</w:t>
      </w:r>
      <w:r>
        <w:rPr/>
        <w:t>中山市石岐区兴中道2号之一投资大厦</w:t>
      </w:r>
    </w:p>
    <w:p>
      <w:pPr>
        <w:pStyle w:val="null3"/>
        <w:ind w:firstLine="480"/>
      </w:pPr>
      <w:r>
        <w:rPr/>
        <w:t xml:space="preserve"> 联系方式：</w:t>
      </w:r>
      <w:r>
        <w:rPr/>
        <w:t>88233071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1.项目名称：中山市住房公积金管理中心信息系统政务云迁移项目</w:t>
      </w:r>
    </w:p>
    <w:p>
      <w:pPr>
        <w:pStyle w:val="null3"/>
        <w:jc w:val="both"/>
      </w:pPr>
      <w:r>
        <w:rPr>
          <w:sz w:val="22"/>
        </w:rPr>
        <w:t>2.采购计划编号：</w:t>
      </w:r>
      <w:r>
        <w:rPr>
          <w:sz w:val="22"/>
        </w:rPr>
        <w:t>442000-2024-04586</w:t>
      </w:r>
    </w:p>
    <w:p>
      <w:pPr>
        <w:pStyle w:val="null3"/>
        <w:jc w:val="both"/>
      </w:pPr>
      <w:r>
        <w:rPr>
          <w:sz w:val="22"/>
        </w:rPr>
        <w:t>3.采购项目编号：</w:t>
      </w:r>
      <w:r>
        <w:rPr>
          <w:sz w:val="22"/>
        </w:rPr>
        <w:t>442000-2024-04586</w:t>
      </w:r>
    </w:p>
    <w:p>
      <w:pPr>
        <w:pStyle w:val="null3"/>
        <w:jc w:val="both"/>
      </w:pPr>
      <w:r>
        <w:rPr>
          <w:sz w:val="22"/>
        </w:rPr>
        <w:t>4.采购方式：公开招标</w:t>
      </w:r>
    </w:p>
    <w:p>
      <w:pPr>
        <w:pStyle w:val="null3"/>
        <w:jc w:val="both"/>
      </w:pPr>
      <w:r>
        <w:rPr>
          <w:sz w:val="22"/>
        </w:rPr>
        <w:t>5.项目预算金额：</w:t>
      </w:r>
      <w:r>
        <w:rPr>
          <w:sz w:val="22"/>
        </w:rPr>
        <w:t>3725000.00元</w:t>
      </w:r>
    </w:p>
    <w:p>
      <w:pPr>
        <w:pStyle w:val="null3"/>
        <w:jc w:val="both"/>
      </w:pPr>
      <w:r>
        <w:rPr>
          <w:sz w:val="22"/>
        </w:rPr>
        <w:t>6.合同履行期限：自合同约定生效之日起</w:t>
      </w:r>
      <w:r>
        <w:rPr>
          <w:sz w:val="22"/>
        </w:rPr>
        <w:t>6</w:t>
      </w:r>
      <w:r>
        <w:rPr>
          <w:sz w:val="22"/>
        </w:rPr>
        <w:t>个月内，完成项目实施和验收。</w:t>
      </w:r>
    </w:p>
    <w:p>
      <w:pPr>
        <w:pStyle w:val="null3"/>
        <w:jc w:val="both"/>
      </w:pPr>
      <w:r>
        <w:rPr>
          <w:sz w:val="22"/>
        </w:rPr>
        <w:t>7.本项目不属于专门面向中小企业采购项目。</w:t>
      </w:r>
    </w:p>
    <w:p>
      <w:pPr>
        <w:pStyle w:val="null3"/>
        <w:jc w:val="both"/>
      </w:pPr>
      <w:r>
        <w:rPr>
          <w:sz w:val="22"/>
        </w:rPr>
        <w:t>8.本项目不接受联合体投标。</w:t>
      </w:r>
    </w:p>
    <w:p>
      <w:pPr>
        <w:pStyle w:val="null3"/>
        <w:jc w:val="both"/>
      </w:pPr>
      <w:r>
        <w:rPr>
          <w:sz w:val="22"/>
        </w:rPr>
        <w:t>9.中标供应商不得以任何方式转包或分包本项目。</w:t>
      </w:r>
    </w:p>
    <w:p>
      <w:pPr>
        <w:pStyle w:val="null3"/>
        <w:jc w:val="both"/>
      </w:pPr>
      <w:r>
        <w:rPr>
          <w:sz w:val="22"/>
        </w:rPr>
        <w:t>10.采购人有权在签订合同时对项目内容作适当修改调整或对服务内容作适量增加或减少，但不得对采购文件约定的条款作出实质性的变更。</w:t>
      </w:r>
    </w:p>
    <w:p>
      <w:pPr>
        <w:pStyle w:val="null3"/>
        <w:jc w:val="both"/>
      </w:pPr>
      <w:r>
        <w:rPr>
          <w:sz w:val="22"/>
          <w:b/>
        </w:rPr>
        <w:t>11.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2"/>
        </w:rPr>
        <w:t>12.本项目由中标供应商负责采购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13.重要说明：</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4"/>
          <w:b/>
          <w:shd w:fill="D9D9D9" w:val="clear"/>
        </w:rPr>
        <w:t>★14.供应商需参照以下格式在响应文件中出具《无围标、串标行为承诺书》。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1"/>
        </w:rPr>
        <w:t xml:space="preserve"> </w:t>
      </w:r>
      <w:r>
        <w:rPr>
          <w:sz w:val="22"/>
          <w:u w:val="single"/>
        </w:rPr>
        <w:t>中山市住房公积金管理中心信息系统政务云迁移项目</w:t>
      </w:r>
      <w:r>
        <w:rPr>
          <w:sz w:val="22"/>
        </w:rPr>
        <w:t>[采购项目编号：</w:t>
      </w:r>
      <w:r>
        <w:rPr>
          <w:sz w:val="21"/>
          <w:u w:val="single"/>
        </w:rPr>
        <w:t xml:space="preserve"> </w:t>
      </w:r>
      <w:r>
        <w:rPr>
          <w:sz w:val="22"/>
          <w:u w:val="single"/>
        </w:rPr>
        <w:t>442000-2024-04586</w:t>
      </w:r>
      <w:r>
        <w:rPr>
          <w:sz w:val="21"/>
          <w:u w:val="single"/>
        </w:rPr>
        <w:t xml:space="preserve">  </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7）不同供应商的单位负责人为同一人或者存在控股、管理关系的不同单位参加同一招标项目投标。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供应商法定代表人（或法定代表人授权代表）签字或盖章：</w:t>
      </w:r>
      <w:r>
        <w:rPr>
          <w:sz w:val="22"/>
        </w:rPr>
        <w:t>__________________</w:t>
      </w:r>
    </w:p>
    <w:p>
      <w:pPr>
        <w:pStyle w:val="null3"/>
        <w:jc w:val="right"/>
      </w:pPr>
      <w:r>
        <w:rPr>
          <w:sz w:val="22"/>
        </w:rPr>
        <w:t>供应商名称（盖章）：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采购包1（中山市住房公积金管理中心信息系统政务云迁移项目）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自合同约定生效之日起6个月内，完成项目实施和验收。</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1期：支付比例40%,完成合同签订，且中标供应商提交符合采购人财务要求的等额发票后30日内，采购人支付中标供应商第一笔服务费，支付至合同总金额的40%。</w:t>
            </w:r>
          </w:p>
          <w:p>
            <w:pPr>
              <w:pStyle w:val="null3"/>
            </w:pPr>
            <w:r>
              <w:rPr/>
              <w:t>2期：支付比例40%,项目通过内部验收（即初验），且采购人自收到中标供应商提供的符合采购人财务要求的等额发票之日起30日内向中标供应商支付第二笔服务费，支付至合同总金额的40%。</w:t>
            </w:r>
          </w:p>
          <w:p>
            <w:pPr>
              <w:pStyle w:val="null3"/>
            </w:pPr>
            <w:r>
              <w:rPr/>
              <w:t>3期：支付比例20%,项目通过综合验收（即终验），且采购人自收到中标供应商提供的符合采购人财务要求的等额发票之日起30日内向中标供应商支付第三笔服务费，支付至合同总金额的100%。 因采购人使用的是专项债务资金，采购人在前款规定的付款时间为向政府采购支付部门提出办理财政支付申请手续的时间（不含政府财政支付部门审核的时间），在规定时间内提出支付申请手续后即视为采购人已经按期支付。备注：实际结算费用以专项债务资金下达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并按该项目服务内容、约定的数量、质量和周期向采购人交付工作成果。采购人应对中标供应商提交的工作成果按约定质量标准进行验收，并出具验收意见及评分。 项目验收分为内部验收、试运行、综合验收三个阶段。 （1）项目内部验收（即初验）：本项目完成项目实施后进行第三方等保测评和商密测评，测评通过后根据国家以及相关规定进行内部验收，内部验收合格后进入试运行阶段，试运行结束后根据采购人的使用情况和国家相关规定进行综合验收。项目内部验收由采购人组织相关业务部门、监理、中标供应商共同进行。项目内部验收所产生的费用，由中标供应商承担。 （2）试运行：项目通过内部验收后，经采购人同意，系统将进入为期3个月的试行阶段，以检验其是否达到本项目约定功能符合运行要求的项目活动。中标供应商应解决项目内部验收遗留问题及试运行期间所反映出的问题，若系统达不到合同规定要求，试运行期将继续顺延，直到系统完善。 （3）项目综合验收（即终验）：项目试运行结束，功能达到运行要求后，经过本项目约定的运行期限，检验系统是否能够完全交付。中标供应商应负责完成内部验收遗留问题的整改，解决所有试运行期间发现的问题，使系统具备正式上线使用的条件，并完成所有用户培训。项目综合验收由采购人组织相关部门、监理、专家组、中标供应商共同进行。项目综合验收所产生的费用，由中标供应商承担。 本项目要求中标供应商在项目验收时将各系统的全部有关产品说明书、安装手册、用户手册、技术文件、资料、相关设计图纸、验收报告等文档汇集成册并交付使用，并最终通过由中山市政务信息化主管部门组织的综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★投标人必须承诺本次报价包括了与本服务项目相关的全部费用，不另向采购人收费（投标文件中提供承诺函）。 投标报价指投标人为完成本项目所收取的全部费用，包含但不限于以下费用：驻场工作人员工资、培训费用、人员管理费、开展工作时所需办公用品、税费以及项目实施过程中其它应预见和不可预见费用等完成本采购项目、达到采购人目的的一切费用。投标人须综合考虑本项目在实施期间的一切可能产生的费用。报价不得高于本项目的预算金额，否则视为无效报价，作无效投标处理。 （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运维要求</w:t>
            </w:r>
          </w:p>
        </w:tc>
        <w:tc>
          <w:tcPr>
            <w:tcW w:type="dxa" w:w="2076"/>
          </w:tcPr>
          <w:p>
            <w:pPr>
              <w:pStyle w:val="null3"/>
              <w:jc w:val="left"/>
            </w:pPr>
            <w:r>
              <w:rPr/>
              <w:t>中标人自项目建设完成后需提供免费运维1年。</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未经采购人书面同意，中标供应商及派驻到采购人单位工作的服务人员对采购人的有关信息、数据和资料、财物负有严格保密、保护的责任。</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软件集成实施服务</w:t>
            </w:r>
          </w:p>
        </w:tc>
        <w:tc>
          <w:tcPr>
            <w:tcW w:type="dxa" w:w="933"/>
          </w:tcPr>
          <w:p>
            <w:pPr>
              <w:pStyle w:val="null3"/>
              <w:jc w:val="left"/>
            </w:pPr>
            <w:r>
              <w:rPr/>
              <w:t>中山市住房公积金管理中心信息系统政务云迁移项目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3,725,000.00</w:t>
            </w:r>
          </w:p>
        </w:tc>
        <w:tc>
          <w:tcPr>
            <w:tcW w:type="dxa" w:w="933"/>
          </w:tcPr>
          <w:p>
            <w:pPr>
              <w:pStyle w:val="null3"/>
              <w:jc w:val="right"/>
            </w:pPr>
            <w:r>
              <w:rPr/>
              <w:t>3,725,000.00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中山市住房公积金管理中心信息系统政务云迁移项目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一、建设目标</w:t>
            </w:r>
          </w:p>
          <w:p>
            <w:pPr>
              <w:pStyle w:val="null3"/>
              <w:ind w:firstLine="420"/>
              <w:jc w:val="both"/>
            </w:pPr>
            <w:r>
              <w:rPr>
                <w:sz w:val="21"/>
                <w:color w:val="000000"/>
              </w:rPr>
              <w:t xml:space="preserve"> </w:t>
            </w:r>
            <w:r>
              <w:rPr>
                <w:sz w:val="21"/>
                <w:color w:val="000000"/>
              </w:rPr>
              <w:t>通过中山市住房公积金管理中心核心信息系统政务云迁移及国产化适配改造，解决信息系统服务器计算资源日趋紧张、性能不足的问题，实现核心信息系统的自主可控，保障公积金管理中心信息安全。同时响应中山市数字政府改革相关政策，优化资源配置，促进信息共享。</w:t>
            </w:r>
          </w:p>
          <w:p>
            <w:pPr>
              <w:pStyle w:val="null3"/>
              <w:jc w:val="both"/>
            </w:pPr>
            <w:r>
              <w:rPr>
                <w:sz w:val="21"/>
                <w:b/>
              </w:rPr>
              <w:t>建设内容</w:t>
            </w:r>
          </w:p>
          <w:p>
            <w:pPr>
              <w:pStyle w:val="null3"/>
              <w:ind w:firstLine="420"/>
              <w:jc w:val="left"/>
            </w:pPr>
            <w:r>
              <w:rPr>
                <w:sz w:val="21"/>
              </w:rPr>
              <w:t xml:space="preserve"> </w:t>
            </w:r>
            <w:r>
              <w:rPr>
                <w:sz w:val="21"/>
              </w:rPr>
              <w:t>根据建设目标，本项目主要建设内容如下：</w:t>
            </w:r>
          </w:p>
          <w:p>
            <w:pPr>
              <w:pStyle w:val="null3"/>
              <w:ind w:firstLine="420"/>
              <w:jc w:val="left"/>
            </w:pPr>
            <w:r>
              <w:rPr>
                <w:sz w:val="21"/>
              </w:rPr>
              <w:t>1</w:t>
            </w:r>
            <w:r>
              <w:rPr>
                <w:sz w:val="21"/>
              </w:rPr>
              <w:t>.</w:t>
            </w:r>
            <w:r>
              <w:rPr>
                <w:sz w:val="21"/>
              </w:rPr>
              <w:t>将现有中心机房上所有应用、数据、文件等信息迁移上</w:t>
            </w:r>
            <w:r>
              <w:rPr>
                <w:sz w:val="21"/>
              </w:rPr>
              <w:t>政务云</w:t>
            </w:r>
            <w:r>
              <w:rPr>
                <w:sz w:val="21"/>
              </w:rPr>
              <w:t>。</w:t>
            </w:r>
          </w:p>
          <w:p>
            <w:pPr>
              <w:pStyle w:val="null3"/>
              <w:ind w:firstLine="420"/>
              <w:jc w:val="left"/>
            </w:pPr>
            <w:r>
              <w:rPr>
                <w:sz w:val="21"/>
              </w:rPr>
              <w:t>2</w:t>
            </w:r>
            <w:r>
              <w:rPr>
                <w:sz w:val="21"/>
              </w:rPr>
              <w:t>.</w:t>
            </w:r>
            <w:r>
              <w:rPr>
                <w:sz w:val="21"/>
              </w:rPr>
              <w:t>迁移后核心业务系统</w:t>
            </w:r>
            <w:r>
              <w:rPr>
                <w:sz w:val="21"/>
              </w:rPr>
              <w:t>、</w:t>
            </w:r>
            <w:r>
              <w:rPr>
                <w:sz w:val="21"/>
              </w:rPr>
              <w:t>非核心业务系统均</w:t>
            </w:r>
            <w:r>
              <w:rPr>
                <w:sz w:val="21"/>
              </w:rPr>
              <w:t>实现国产</w:t>
            </w:r>
            <w:r>
              <w:rPr>
                <w:sz w:val="21"/>
              </w:rPr>
              <w:t>ARM架构服务器、国产化中间件、国产化数据库的适配。</w:t>
            </w:r>
          </w:p>
          <w:p>
            <w:pPr>
              <w:pStyle w:val="null3"/>
              <w:ind w:firstLine="420"/>
              <w:jc w:val="left"/>
            </w:pPr>
            <w:r>
              <w:rPr>
                <w:sz w:val="21"/>
              </w:rPr>
              <w:t>3.</w:t>
            </w:r>
            <w:r>
              <w:rPr>
                <w:sz w:val="21"/>
              </w:rPr>
              <w:t>核心业务系统的客户端，要实现国产化终端操作系统</w:t>
            </w:r>
            <w:r>
              <w:rPr>
                <w:sz w:val="21"/>
              </w:rPr>
              <w:t>+国产化浏览器与传统windows操作系统+IE浏览器的兼容性适配。</w:t>
            </w:r>
          </w:p>
          <w:p>
            <w:pPr>
              <w:pStyle w:val="null3"/>
              <w:ind w:firstLine="420"/>
              <w:jc w:val="left"/>
            </w:pPr>
            <w:r>
              <w:rPr>
                <w:sz w:val="21"/>
              </w:rPr>
              <w:t>4.</w:t>
            </w:r>
            <w:r>
              <w:rPr>
                <w:sz w:val="21"/>
              </w:rPr>
              <w:t>全部数据迁移至国产数据库。</w:t>
            </w:r>
          </w:p>
          <w:p>
            <w:pPr>
              <w:pStyle w:val="null3"/>
              <w:ind w:firstLine="420"/>
              <w:jc w:val="left"/>
            </w:pPr>
            <w:r>
              <w:rPr>
                <w:sz w:val="21"/>
              </w:rPr>
              <w:t>5.迁移后进行</w:t>
            </w:r>
            <w:r>
              <w:rPr>
                <w:sz w:val="21"/>
              </w:rPr>
              <w:t>全业务测试，保证云迁移后包括住建部数据上报、住建厅监管平台等各个外联渠道和所有业务办理和查询功能全部正常使用。</w:t>
            </w:r>
          </w:p>
          <w:p>
            <w:pPr>
              <w:pStyle w:val="null3"/>
              <w:ind w:firstLine="420"/>
              <w:jc w:val="both"/>
            </w:pPr>
            <w:r>
              <w:rPr>
                <w:sz w:val="21"/>
              </w:rPr>
              <w:t>应用软件迁移及国产化适配</w:t>
            </w:r>
            <w:r>
              <w:rPr>
                <w:sz w:val="21"/>
              </w:rPr>
              <w:t>具体建设</w:t>
            </w:r>
            <w:r>
              <w:rPr>
                <w:sz w:val="21"/>
              </w:rPr>
              <w:t>范围</w:t>
            </w:r>
            <w:r>
              <w:rPr>
                <w:sz w:val="21"/>
              </w:rPr>
              <w:t>如下：</w:t>
            </w:r>
          </w:p>
          <w:tbl>
            <w:tblPr>
              <w:tblBorders>
                <w:top w:val="none" w:color="000000" w:sz="4"/>
                <w:left w:val="none" w:color="000000" w:sz="4"/>
                <w:bottom w:val="none" w:color="000000" w:sz="4"/>
                <w:right w:val="none" w:color="000000" w:sz="4"/>
                <w:insideH w:val="none"/>
                <w:insideV w:val="none"/>
              </w:tblBorders>
            </w:tblPr>
            <w:tblGrid>
              <w:gridCol w:w="655"/>
              <w:gridCol w:w="4942"/>
            </w:tblGrid>
            <w:tr>
              <w:tc>
                <w:tcPr>
                  <w:tcW w:type="dxa" w:w="65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序号</w:t>
                  </w:r>
                </w:p>
              </w:tc>
              <w:tc>
                <w:tcPr>
                  <w:tcW w:type="dxa" w:w="494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应用软件名称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核心业务系统迁移适配</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V3.0-公共业务模块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V3.0-归集业务模块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V3.0-贷款业务模块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V3.0-提取业务模块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V3.0-资金实时电子结算系统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V3.0-资金财务系统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V3.0-档案管理系统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V3.0-报表管理系统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V3.0-联名卡管理系统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V3.0-征收管理系统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V3.0-外联接口建设</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V3.0-稽核管理系统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V3.0-数据上报系统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V3.0-大湾区接口管理系统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V3.0-工作流平台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V3.0-页面设计平台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V3.0-电子影像采集模块V2.0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V3.0-用友华表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前置应用迁移适配</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住建部结算前置应用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银行直连结算前置应用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住建部数据上报应用（建行提供的应用）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大湾区共享平台接口前置应用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大湾区动态稽查应用（神玥提供的应用）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中山分厅数据同步应用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好差评服务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国密前置应用（深圳</w:t>
                  </w:r>
                  <w:r>
                    <w:rPr>
                      <w:sz w:val="21"/>
                    </w:rPr>
                    <w:t>CA提供的应用）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短信平台（第三方应用）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消费贷系统</w:t>
                  </w:r>
                  <w:r>
                    <w:rPr>
                      <w:sz w:val="21"/>
                    </w:rPr>
                    <w:t>1.0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消费贷系统</w:t>
                  </w:r>
                  <w:r>
                    <w:rPr>
                      <w:sz w:val="21"/>
                    </w:rPr>
                    <w:t>3.0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自助查询终端应用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决策系统（中油瑞飞）</w:t>
                  </w:r>
                </w:p>
              </w:tc>
            </w:tr>
          </w:tbl>
          <w:p>
            <w:pPr>
              <w:pStyle w:val="null3"/>
              <w:jc w:val="both"/>
            </w:pPr>
            <w:r>
              <w:rPr>
                <w:sz w:val="21"/>
              </w:rPr>
              <w:t>本项目定制开发的软件知识产权归建设单位所有。</w:t>
            </w:r>
            <w:r>
              <w:br/>
            </w:r>
            <w:r>
              <w:br/>
            </w:r>
            <w:r>
              <w:br/>
            </w:r>
            <w:r>
              <w:br/>
            </w:r>
            <w:r>
              <w:br/>
            </w:r>
          </w:p>
        </w:tc>
      </w:tr>
      <w:tr>
        <w:tc>
          <w:tcPr>
            <w:tcW w:type="dxa" w:w="2076"/>
          </w:tcPr>
          <w:p/>
        </w:tc>
        <w:tc>
          <w:tcPr>
            <w:tcW w:type="dxa" w:w="415"/>
          </w:tcPr>
          <w:p>
            <w:pPr>
              <w:pStyle w:val="null3"/>
            </w:pPr>
            <w:r>
              <w:rPr/>
              <w:t>2</w:t>
            </w:r>
          </w:p>
        </w:tc>
        <w:tc>
          <w:tcPr>
            <w:tcW w:type="dxa" w:w="5814"/>
          </w:tcPr>
          <w:p>
            <w:pPr>
              <w:pStyle w:val="null3"/>
              <w:spacing w:before="255" w:after="255"/>
              <w:jc w:val="both"/>
            </w:pPr>
            <w:r>
              <w:rPr>
                <w:sz w:val="21"/>
                <w:b/>
              </w:rPr>
              <w:t>二、功能性检查</w:t>
            </w:r>
          </w:p>
          <w:p>
            <w:pPr>
              <w:pStyle w:val="null3"/>
              <w:ind w:firstLine="420"/>
              <w:jc w:val="left"/>
            </w:pPr>
            <w:r>
              <w:rPr>
                <w:sz w:val="21"/>
              </w:rPr>
              <w:t>通过对全业务的测试，保证迁移及国产化适配后保证业务功能正常、工作流流转正常、页面显示正常、数据处理正常、扫描打印、周期批量、定时任务等功能正常。</w:t>
            </w:r>
          </w:p>
          <w:p>
            <w:pPr>
              <w:pStyle w:val="null3"/>
              <w:ind w:firstLine="420"/>
              <w:jc w:val="left"/>
            </w:pPr>
            <w:r>
              <w:rPr>
                <w:sz w:val="21"/>
              </w:rPr>
              <w:t>功能性测试的范围包括但不限于本次迁移和国产化适配度的应用，与核心业务系统密切相关的政务云侧的应用，如网厅、微信、粤省事渠道业务等。</w:t>
            </w:r>
          </w:p>
          <w:tbl>
            <w:tblPr>
              <w:tblInd w:type="dxa" w:w="135"/>
              <w:tblBorders>
                <w:top w:val="none" w:color="000000" w:sz="4"/>
                <w:left w:val="none" w:color="000000" w:sz="4"/>
                <w:bottom w:val="none" w:color="000000" w:sz="4"/>
                <w:right w:val="none" w:color="000000" w:sz="4"/>
                <w:insideH w:val="none"/>
                <w:insideV w:val="none"/>
              </w:tblBorders>
            </w:tblPr>
            <w:tblGrid>
              <w:gridCol w:w="1531"/>
              <w:gridCol w:w="4064"/>
            </w:tblGrid>
            <w:tr>
              <w:tc>
                <w:tcPr>
                  <w:tcW w:type="dxa" w:w="1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4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功能点名称</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权限管理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柜员管理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机构管理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利率管理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假期管理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摘要管理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公共属性管理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在途业务管理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周期批量管理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凭证重打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数字证数管理</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客户子系统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单位基本资料建立</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组织机构代码维护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单位全部基本资料变更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单位常用基本资料变更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个人基本资料变更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个人不良信用变更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个人信息完善</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个人不良信用查询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个人特殊开户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自由职业者开户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自愿缴存者信息变更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自愿缴存者封存</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自愿缴存者退缴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单位转移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个人账户托管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个人并户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单位缴存比例维护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单位退缴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缴存基数比例调整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缓缴提前终止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个人封存</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个人特殊封存</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个人启封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密码修改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个人冻结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个人解冻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汇缴登记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补缴登记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非正常补缴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缴存登记撤销</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公积金个人退缴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补缴确认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单位分户查询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个人分户查询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单位资料变更查询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缴存汇总查询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缴存登记查询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个人基数比例缴存额变更查询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个人资料变更查询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个人封存启封查询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个人冻结查询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个人并户查询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个人转移查询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异地转出信息查询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利息清单打印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建立资料未开户单位查询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个人开销户查询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单位开销户查询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个人缴存证明打印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自助办理协议查询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单位汇补缴回单打印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年度结息查询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网厅单位开户预约查询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申报信息查询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缴存证明开具审批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提取预约查询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人行代收协议签订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一次性付款购房提取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分期付款购房提取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申请住房贷款购房提取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自建房提取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大修自住房提取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离退休提取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死亡提取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出境提取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户口迁离提取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完全丧失劳动能力提取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本市户口下岗失业提取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零额销户提取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非本市户口与单位解除劳动关系提取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大病提取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授权非销户提取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授权销户提取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冲还公贷提取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既有住宅增设电梯提取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商贷首付款提取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保障房提取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公贷首付款提取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住房消费提取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自愿缴存停缴提取</w:t>
                  </w:r>
                  <w:r>
                    <w:rPr>
                      <w:sz w:val="21"/>
                    </w:rPr>
                    <w:t>(正常)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自愿缴存停缴提取</w:t>
                  </w:r>
                  <w:r>
                    <w:rPr>
                      <w:sz w:val="21"/>
                    </w:rPr>
                    <w:t>(销户)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公积金按月冲还贷提取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低保提取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授权提取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产权信息维护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签订</w:t>
                  </w:r>
                  <w:r>
                    <w:rPr>
                      <w:sz w:val="21"/>
                    </w:rPr>
                    <w:t>/终止自助办理协议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零额销户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约定协议管理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个人提取查询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提取还贷协议查询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提取汇总查询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租房、住房消费提取协议查询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开发商基本信息管理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开发商协议管理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贷款资格认证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贷款审批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贷款发放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贷款审批撤销</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贷款展缩期</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还款方式变更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借款人变更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银行还款账号维护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借款人关系变更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贷款人基本信息维护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抵押人变更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抵押物变更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柜台还款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资产处置款回收</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公积金按月还贷协议签订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公积金按月还贷协议解除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公积金按月还贷协议变更查询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银行代扣文件生成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逾期催收</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公积金冲还贷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贷款基本信息查询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还款计划查询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资格认证信息查询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抵押物信息查询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还款计划试算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公贷商贷对比试算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贷款申请额度试算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异地贷款可申请预约序号计算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异地贷款预约查询功能</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银行专户管理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专户利息收入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资金划拨管理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国债管理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支付银行手续费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增值收益分配和上缴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归集行到账通知</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账套维护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初始建账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财务数据初始化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会计分录维护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填制凭证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审核凭证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凭证汇总查询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暂收款退款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暂收款状态变更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暂收款登记冲账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科目总账查询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科目明细账查询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科目余额表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暂收款明细账查询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银行存款日记账查询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对账明细查询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未分摊暂收款查询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资产负债表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增值收益表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增值收益分配表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导入对账数据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银行存款对账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余额调节表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财务结账</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报表子系统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归集类报表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提取类报表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贷款类报表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资金财务报表</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银行有效性校验校验</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公积金专户余额查询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批量文件状态查询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批量文件发送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银行账户变动通知查询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流程扫描定义</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业务影像查询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影像事后扫描</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联名卡制卡申请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联名卡关联</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联名卡注销</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联名卡解除关联</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联名卡批量关联</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征收子系统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催建</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催缴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公共部分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行政执法</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异地转移子系统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批量委托登记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录入联系函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办理转移接续</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撤销转入申请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异地转入登记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异地转入入账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接受联系函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处理联系函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异地转移退票资金重发</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联系函查询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数据上报子系统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参数配置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数据上报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稽核子系统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归集业务稽核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基数比例查询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提取业务稽核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贷款业务稽核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逾期贷款情况查询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打印稽核明细</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大湾区平台子系统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异地转移接续查询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异地贷款信息查询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缴存证明查询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异地不良信息查询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商业贷款信息查询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商业贷款还款明细查询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商业贷款基本信息查询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个人工商户查询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结婚登记信息</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建筑工程施工许可证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不动产登记信息请求</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不动产登记信息查询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离退休人员信息查询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其他功能测试</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批量文件自动入账测试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日终批量启停测试</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日终批量功能测试</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日终前备份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归集跨行托收入账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日终检查批量文件</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分户平衡检查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分录流水和分录凭证平衡检查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支付宝动账通知信息表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单位个人平衡检查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汇缴入账专管员通知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补缴入账专管员通知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贷款发送成功短信通知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贷款回收批量短信发放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生成财务系统凭证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月底转逾期</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月末计算积数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预提住房公积金利息</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住房公积金存贷款报备表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汇总凭证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分户平衡检查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日终业务平衡检查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分录流水和分录凭证平衡检查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贯标平衡检查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个人当日明细转历史明细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清理公积金临时表数据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缓缴到期自动终止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自动解冻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处理昨日余额</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到账通知序号初始化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暂收款记录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贷款逾期冻结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过逾期解冻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租房消费提取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住房消费类提取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贯标财务日终</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更新贯标银行结算流水号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商贷已还款数据同步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缴存使用情况表月数据</w:t>
                  </w:r>
                  <w:r>
                    <w:rPr>
                      <w:sz w:val="21"/>
                    </w:rPr>
                    <w:t>--业务日终</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住房公积金收支情况明细表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住房公积金缴存、提取分类情况表月数据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住房公积金贷款情况表月数据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住房公积金收支活动情况表月数据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住房公积金资金核算情况表月数据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住房公积金主要指标情况统计表月数据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住房公积金各类业务情况统计表月数据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承办银行承办公积金业务情况统计表月数据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业务日终部分数据处理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逾期贷款情况表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住房公积金缴存比例情况表主表抽数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住房公积金缴存比例情况表补充数据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年度缴存人数临时统计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年度披露表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动态监管数据抽取</w:t>
                  </w:r>
                  <w:r>
                    <w:rPr>
                      <w:sz w:val="21"/>
                    </w:rPr>
                    <w:t>-非管理费部分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缴存业务受委托银行业务情况表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贷款业务受委托银行业务情况表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年终位图转换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公共数据清理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切换业务日期</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初始化柜员状态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初始化机构状态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初始化系统状态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夜间关闭结算通道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修改单位、个人分户账昨日余额</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数据上报</w:t>
                  </w:r>
                  <w:r>
                    <w:rPr>
                      <w:sz w:val="21"/>
                    </w:rPr>
                    <w:t>-数据获取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年度结息计算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年度结息入账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跨行托收文件生成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跨行代付文件生成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归集托收文件生成</w:t>
                  </w:r>
                  <w:r>
                    <w:rPr>
                      <w:sz w:val="21"/>
                    </w:rPr>
                    <w:t>-同行</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提取托付文件生成</w:t>
                  </w:r>
                  <w:r>
                    <w:rPr>
                      <w:sz w:val="21"/>
                    </w:rPr>
                    <w:t>-同行</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公积金按月冲还贷</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渠道业务测试</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网上办事大厅</w:t>
                  </w:r>
                  <w:r>
                    <w:rPr>
                      <w:sz w:val="21"/>
                    </w:rPr>
                    <w:t>-单位类业务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网上办事大厅</w:t>
                  </w:r>
                  <w:r>
                    <w:rPr>
                      <w:sz w:val="21"/>
                    </w:rPr>
                    <w:t>-个人类业务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网上办事大厅</w:t>
                  </w:r>
                  <w:r>
                    <w:rPr>
                      <w:sz w:val="21"/>
                    </w:rPr>
                    <w:t>-申报测试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微信业务测试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粤商通业务测试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粤省事业务测试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广东公积金小程序业务测试</w:t>
                  </w:r>
                </w:p>
              </w:tc>
            </w:tr>
          </w:tbl>
          <w:p/>
        </w:tc>
      </w:tr>
      <w:tr>
        <w:tc>
          <w:tcPr>
            <w:tcW w:type="dxa" w:w="2076"/>
          </w:tcPr>
          <w:p/>
        </w:tc>
        <w:tc>
          <w:tcPr>
            <w:tcW w:type="dxa" w:w="415"/>
          </w:tcPr>
          <w:p>
            <w:pPr>
              <w:pStyle w:val="null3"/>
            </w:pPr>
            <w:r>
              <w:rPr/>
              <w:t>3</w:t>
            </w:r>
          </w:p>
        </w:tc>
        <w:tc>
          <w:tcPr>
            <w:tcW w:type="dxa" w:w="5814"/>
          </w:tcPr>
          <w:p>
            <w:pPr>
              <w:pStyle w:val="null3"/>
              <w:jc w:val="both"/>
            </w:pPr>
            <w:r>
              <w:rPr>
                <w:sz w:val="21"/>
                <w:b/>
              </w:rPr>
              <w:t>三．培训要求</w:t>
            </w:r>
          </w:p>
          <w:p>
            <w:pPr>
              <w:pStyle w:val="null3"/>
              <w:spacing w:before="150" w:after="150"/>
              <w:ind w:firstLine="482"/>
              <w:jc w:val="both"/>
            </w:pPr>
            <w:r>
              <w:rPr>
                <w:sz w:val="21"/>
              </w:rPr>
              <w:t>培训分期进行，每期培训的具体安排由采购人与中标供应商协商确定。各系统相关培训的每期培训时长、对象和方式如下表所列：</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924"/>
              <w:gridCol w:w="454"/>
              <w:gridCol w:w="1119"/>
              <w:gridCol w:w="1597"/>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课程名称</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课时</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培训对象</w:t>
                  </w:r>
                </w:p>
              </w:tc>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方式</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住房公积金归集提取系统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住房公积金个人住房抵押贷款系统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住房公积金财务核算系统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中心财务核算人员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银行直连结算系统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中心财务核算人员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内部门户系统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信息科技人员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客户信息系统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档案管理系统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智能报表分析系统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接口软件</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触摸屏自助公共查询系统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前台业务人员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网上业务系统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单位版软件</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数据交换及应用平台</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信息科技人员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培训考核、总结</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所有参训人员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w:t>
                  </w:r>
                </w:p>
              </w:tc>
            </w:tr>
          </w:tbl>
          <w:p/>
        </w:tc>
      </w:tr>
      <w:tr>
        <w:tc>
          <w:tcPr>
            <w:tcW w:type="dxa" w:w="2076"/>
          </w:tcPr>
          <w:p/>
        </w:tc>
        <w:tc>
          <w:tcPr>
            <w:tcW w:type="dxa" w:w="415"/>
          </w:tcPr>
          <w:p>
            <w:pPr>
              <w:pStyle w:val="null3"/>
            </w:pPr>
            <w:r>
              <w:rPr/>
              <w:t>4</w:t>
            </w:r>
          </w:p>
        </w:tc>
        <w:tc>
          <w:tcPr>
            <w:tcW w:type="dxa" w:w="5814"/>
          </w:tcPr>
          <w:p>
            <w:pPr>
              <w:pStyle w:val="null3"/>
            </w:pPr>
            <w:r>
              <w:rPr>
                <w:b/>
              </w:rPr>
              <w:t>四、管理要求</w:t>
            </w:r>
          </w:p>
          <w:p>
            <w:pPr>
              <w:pStyle w:val="null3"/>
            </w:pPr>
            <w:r>
              <w:rPr>
                <w:sz w:val="21"/>
              </w:rPr>
              <w:t>1.中标供应商应对本项目工作人员定岗定责、统一管理。</w:t>
            </w:r>
          </w:p>
          <w:p>
            <w:pPr>
              <w:pStyle w:val="null3"/>
            </w:pPr>
            <w:r>
              <w:rPr>
                <w:sz w:val="21"/>
              </w:rPr>
              <w:t>2.中标供应商要遵从采购人的要求，在指定的工作场所完成事务类工作，遵守和维护工作秩序。</w:t>
            </w:r>
          </w:p>
          <w:p>
            <w:pPr>
              <w:pStyle w:val="null3"/>
            </w:pPr>
            <w:r>
              <w:rPr>
                <w:sz w:val="21"/>
              </w:rPr>
              <w:t>3.本项目合同签订后，中标供应商如未能在7天内正常开展项目运营工作，则视为中标供应商违约，采购人有权终止合同。</w:t>
            </w:r>
          </w:p>
          <w:p>
            <w:pPr>
              <w:pStyle w:val="null3"/>
            </w:pPr>
            <w:r>
              <w:rPr>
                <w:sz w:val="21"/>
              </w:rPr>
              <w:t>4.中标供应商不得利用工作之便，进行任何非法或本项目范围外的活动。不得损坏、丢失、涂改、抽换、伪造项目相关资料，不得擅自修改、复制项目相关资料带离工作场所。如经发现，采购人有权终止合同，构成犯罪的，依法追究刑事责任。</w:t>
            </w:r>
          </w:p>
          <w:p>
            <w:pPr>
              <w:pStyle w:val="null3"/>
            </w:pPr>
            <w:r>
              <w:rPr>
                <w:sz w:val="21"/>
              </w:rPr>
              <w:t>5.中标供应商安排的工作人员须严格遵守采购人的相关工作守则和作息时间，不得迟到、早退、随意旷工，不得因请假影响原有工作。</w:t>
            </w:r>
          </w:p>
          <w:p>
            <w:pPr>
              <w:pStyle w:val="null3"/>
            </w:pPr>
            <w:r>
              <w:rPr>
                <w:sz w:val="21"/>
              </w:rPr>
              <w:t>6.在实施服务过程中，采购人有权对中标供应商服务质量进行监督检查，如发现问题，有权向中标供应商提出整改意见；中标供应商应在收到整改意见后三个工作日内将整改情况及配套管理制度等正式回函采购人。</w:t>
            </w:r>
          </w:p>
          <w:p>
            <w:pPr>
              <w:pStyle w:val="null3"/>
            </w:pPr>
            <w:r>
              <w:rPr>
                <w:sz w:val="21"/>
              </w:rPr>
              <w:t>7.采购人有权以书面形式要求中标供应商更换不能按约定履行合同的工作人员。即使是采购人要求或同意更换的人员，其代替人员的资质仍应得到采购人的认可，且其资历和经验均不低于被更换人员。由此而产生的费用由中标供应商承担。</w:t>
            </w:r>
          </w:p>
          <w:p>
            <w:pPr>
              <w:pStyle w:val="null3"/>
            </w:pPr>
            <w:r>
              <w:rPr>
                <w:sz w:val="21"/>
              </w:rPr>
              <w:t>8.中标供应商需与采购人签署保密协议，加强安全保密教育工作，保证不以任何方式对外泄露保密信息。如经发现，采购人有权终止本项目合同，构成犯罪的，依法追究刑事责任。</w:t>
            </w:r>
          </w:p>
          <w:p>
            <w:pPr>
              <w:pStyle w:val="null3"/>
            </w:pPr>
            <w:r>
              <w:rPr>
                <w:sz w:val="21"/>
              </w:rPr>
              <w:t>9.中标供应商应当建立完善的人力资源管理机制，人员的进驻与离职均需经采购人审核并备案，并建立完整的人事档案交采购人备案。</w:t>
            </w:r>
          </w:p>
          <w:p>
            <w:pPr>
              <w:pStyle w:val="null3"/>
            </w:pPr>
            <w:r>
              <w:rPr>
                <w:sz w:val="21"/>
              </w:rPr>
              <w:t>10.中标供应商对其投入本项目的工作人员人身安全负全部责任。</w:t>
            </w:r>
          </w:p>
          <w:p>
            <w:pPr>
              <w:pStyle w:val="null3"/>
            </w:pPr>
            <w:r>
              <w:rPr>
                <w:sz w:val="21"/>
              </w:rPr>
              <w:t>11.中标供应商应提供的工作人员需符合采购人政审要求及日常管理工作规范。</w:t>
            </w:r>
          </w:p>
        </w:tc>
      </w:tr>
      <w:tr>
        <w:tc>
          <w:tcPr>
            <w:tcW w:type="dxa" w:w="2076"/>
          </w:tcPr>
          <w:p/>
        </w:tc>
        <w:tc>
          <w:tcPr>
            <w:tcW w:type="dxa" w:w="415"/>
          </w:tcPr>
          <w:p>
            <w:pPr>
              <w:pStyle w:val="null3"/>
            </w:pPr>
            <w:r>
              <w:rPr/>
              <w:t>5</w:t>
            </w:r>
          </w:p>
        </w:tc>
        <w:tc>
          <w:tcPr>
            <w:tcW w:type="dxa" w:w="5814"/>
          </w:tcPr>
          <w:p>
            <w:pPr>
              <w:pStyle w:val="null3"/>
            </w:pPr>
            <w:r>
              <w:rPr>
                <w:b/>
              </w:rPr>
              <w:t>五、其他要求</w:t>
            </w:r>
          </w:p>
          <w:p>
            <w:pPr>
              <w:pStyle w:val="null3"/>
              <w:jc w:val="left"/>
            </w:pPr>
            <w:r>
              <w:rPr>
                <w:sz w:val="21"/>
              </w:rPr>
              <w:t>1.采购人有权监督中标供应商履行本项目合同的情况，如发现有不符合同约定的，有权要求中标供应商限期整改。</w:t>
            </w:r>
          </w:p>
          <w:p>
            <w:pPr>
              <w:pStyle w:val="null3"/>
              <w:jc w:val="left"/>
            </w:pPr>
            <w:r>
              <w:rPr>
                <w:sz w:val="21"/>
              </w:rPr>
              <w:t>2.采购人有权要求中标供应商随时就本项目的服务情况向采购人进行汇报，中标供应商不得有任何隐瞒。</w:t>
            </w:r>
          </w:p>
          <w:p>
            <w:pPr>
              <w:pStyle w:val="null3"/>
              <w:jc w:val="left"/>
            </w:pPr>
            <w:r>
              <w:rPr>
                <w:sz w:val="21"/>
              </w:rPr>
              <w:t>3.中标供应商未按要求提供服务的，采购人有权终止合同，中标供应商应当配合办理交接手续并赔偿采购人的相关损失。</w:t>
            </w:r>
          </w:p>
          <w:p>
            <w:pPr>
              <w:pStyle w:val="null3"/>
              <w:jc w:val="left"/>
            </w:pPr>
            <w:r>
              <w:rPr>
                <w:sz w:val="21"/>
              </w:rPr>
              <w:t>4.采购人应按本项目合同约定向中标供应商支付项目的费用。</w:t>
            </w:r>
          </w:p>
          <w:p>
            <w:pPr>
              <w:pStyle w:val="null3"/>
              <w:jc w:val="left"/>
            </w:pPr>
            <w:r>
              <w:rPr>
                <w:sz w:val="21"/>
              </w:rPr>
              <w:t>5.中标供应商应指定专门联系人或设定专门联系电话，为采购人提供投诉热线服务，在十个工作日内对投诉内容进行跟踪、回访，并按采购人相关规定严格执行。</w:t>
            </w:r>
          </w:p>
          <w:p>
            <w:pPr>
              <w:pStyle w:val="null3"/>
              <w:jc w:val="left"/>
            </w:pPr>
            <w:r>
              <w:rPr>
                <w:sz w:val="21"/>
              </w:rPr>
              <w:t>6.在服务期内，中标供应商应按采购人要求对管理模式进行改进，为采购人提供更优的管理服务，但对于更改或优化的内容，需要得到采购人的认可方能执行。</w:t>
            </w:r>
          </w:p>
          <w:p>
            <w:pPr>
              <w:pStyle w:val="null3"/>
              <w:jc w:val="left"/>
            </w:pPr>
            <w:r>
              <w:rPr>
                <w:sz w:val="21"/>
              </w:rPr>
              <w:t>7.中标供应商须主动接受采购人的指导、检查、监督及协调，同意按照采购人考核办法对服务质量进行考核。</w:t>
            </w:r>
          </w:p>
          <w:p>
            <w:pPr>
              <w:pStyle w:val="null3"/>
              <w:jc w:val="left"/>
            </w:pPr>
            <w:r>
              <w:rPr>
                <w:sz w:val="21"/>
              </w:rPr>
              <w:t>8.中标供应商派驻采购人的服务人员的劳动关系属中标供应商，其一切劳动关系、工资福利、社会保险、住房公积金、代扣代缴个人所得税等均由中标供应商负责。中标供应商应当与其人员签订劳动合同，为其购买社保，并于进场之前向采购人提供劳动合同、社保购买记录、身份证复印件等文件供采购人备案。中标供应商保证在项目履行期间，不发生拖欠项目服务人员的工资或因采购人与服务人员的劳动争议纠纷影响本项目的正常运行等情形。关于中标供应商与其派驻采购人的服务人员所产生的纠纷与采购人无关，由中标供应商承担全部责任。</w:t>
            </w:r>
          </w:p>
          <w:p>
            <w:pPr>
              <w:pStyle w:val="null3"/>
              <w:jc w:val="left"/>
            </w:pPr>
            <w:r>
              <w:rPr>
                <w:sz w:val="21"/>
              </w:rPr>
              <w:t>9.在服务期间，如采购人需要中标供应商在服务现场提供现场服务的，中标供应商需在接到服务通知后1小时内电话响应，在2小时内派专职人员到达现场处理问题。</w:t>
            </w:r>
          </w:p>
          <w:p>
            <w:pPr>
              <w:pStyle w:val="null3"/>
              <w:jc w:val="left"/>
            </w:pPr>
            <w:r>
              <w:rPr>
                <w:sz w:val="21"/>
              </w:rPr>
              <w:t>10.服务期满后，中标供应商应妥善处理退场移交、人员安置等工作。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中山市住房公积金管理中心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广东省政府采购网(https://gdgpo.czt.gd.gov.cn/)；广东省公共资源交易平台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广东省政府采购网(https://gdgpo.czt.gd.gov.cn/)；广东省公共资源交易平台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住房公积金管理中心信息系统政务云迁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本采购包不属于专门面向中小企业采购项目。本项目采购标的对应的中小企业划分标准所属行业为：软件和信息技术服务业。</w:t>
            </w:r>
          </w:p>
        </w:tc>
      </w:tr>
    </w:tbl>
    <w:p>
      <w:pPr>
        <w:pStyle w:val="null3"/>
        <w:ind w:firstLine="480"/>
      </w:pPr>
      <w:r>
        <w:rPr/>
        <w:t>表二符合性审查表：</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投标（报价）总金额是固定价且是唯一的，未超过本项目采购预算总金额。</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技术方案 (8.0分)</w:t>
            </w:r>
            <w:r>
              <w:rPr/>
              <w:t>，（等次分值选择：</w:t>
            </w:r>
            <w:r>
              <w:rPr/>
              <w:t>0.0;</w:t>
            </w:r>
            <w:r>
              <w:rPr/>
              <w:t>2.0;</w:t>
            </w:r>
            <w:r>
              <w:rPr/>
              <w:t>5.0;</w:t>
            </w:r>
            <w:r>
              <w:rPr/>
              <w:t>8.0;</w:t>
            </w:r>
            <w:r>
              <w:rPr/>
              <w:t>）</w:t>
            </w:r>
          </w:p>
        </w:tc>
        <w:tc>
          <w:tcPr>
            <w:tcW w:type="dxa" w:w="5076"/>
          </w:tcPr>
          <w:p>
            <w:pPr>
              <w:pStyle w:val="null3"/>
              <w:jc w:val="left"/>
            </w:pPr>
            <w:r>
              <w:rPr/>
              <w:t>根据投标人针对本项目提供的技术方案进行评审。 （技术方案应以住建部《住房公积金信息化建设导则》体系为依据，符合国家、行业标准规范和信息安全保障体系的需求，同时满足《住房公积金基础数据标准》、《住房公积金信息系统技术规范》。） 1.提供有详细技术方案，有详细的现状解读和迁移改造需求分析，提供详细的项目总体建设规划方案，整体思路明确，有详细的总体架构图、数据应用架构图以及安全架构体系建设描述。针对国产化适配前、适配后的详细设计方案，提供清晰的整体设计方案，技术方案中有针对强密码建设、数据迁移的详细描述的，得8分。 2.提供有针对性技术方案，有基本的现状解读和迁移改造需求分析，提供明确的项目总体建设规划方案，整体思路明确。提供清晰的整体设计方案，技术方案中有针对强密码建设、数据迁移的详细描述的，得5分； 3.提供有针对性技术方案，有基本的现状解读和迁移改造需求分析，提供基本的项目总体建设规划方案，整体思路基本明确，提供基本整体设计方案，得2分； 4.无提供相关内容的，得0分。</w:t>
            </w:r>
          </w:p>
        </w:tc>
      </w:tr>
      <w:tr>
        <w:tc>
          <w:tcPr>
            <w:tcW w:type="dxa" w:w="922"/>
            <w:gridSpan w:val="2"/>
            <w:vMerge/>
          </w:tcPr>
          <w:p/>
        </w:tc>
        <w:tc>
          <w:tcPr>
            <w:tcW w:type="dxa" w:w="2307"/>
          </w:tcPr>
          <w:p>
            <w:pPr>
              <w:pStyle w:val="null3"/>
              <w:jc w:val="left"/>
            </w:pPr>
            <w:r>
              <w:rPr/>
              <w:t>项目实施服务方案 (4.0分)</w:t>
            </w:r>
            <w:r>
              <w:rPr/>
              <w:t>，（等次分值选择：</w:t>
            </w:r>
            <w:r>
              <w:rPr/>
              <w:t>0.0;</w:t>
            </w:r>
            <w:r>
              <w:rPr/>
              <w:t>1.0;</w:t>
            </w:r>
            <w:r>
              <w:rPr/>
              <w:t>2.5;</w:t>
            </w:r>
            <w:r>
              <w:rPr/>
              <w:t>4.0;</w:t>
            </w:r>
            <w:r>
              <w:rPr/>
              <w:t>）</w:t>
            </w:r>
          </w:p>
        </w:tc>
        <w:tc>
          <w:tcPr>
            <w:tcW w:type="dxa" w:w="5076"/>
          </w:tcPr>
          <w:p>
            <w:pPr>
              <w:pStyle w:val="null3"/>
              <w:jc w:val="left"/>
            </w:pPr>
            <w:r>
              <w:rPr/>
              <w:t>根据投标人针对本项目提供的项目实施服务方案进行评审（包括但不限于对现有需求的理解和认识、需求分析符合国家相关规范标准的程度等）： 1.实施方案有合理的实施日程表和人员安排，有完善的实施进度计划和工期保证措施；有完善的安全控制措施及实施质量控制方案，具有工程项目安全管理，实施质量保证措施及质量管理程序，能提前完工及具有赶工计划，内容齐全、详细、可行，完全符合采购人实际需求的，得4分； 2.实施方案提供有基本的实施日程表和人员安排，具体实施步骤和要求描述简单，安全控制措施及实施质量控制保证方案基本可行的，得2.5分； 3.项目实施服务方案，仅满足项目的基本技术需要和要求，描述简单的，得1分； 4.无提供相关内容的，得0分。</w:t>
            </w:r>
          </w:p>
        </w:tc>
      </w:tr>
      <w:tr>
        <w:tc>
          <w:tcPr>
            <w:tcW w:type="dxa" w:w="922"/>
            <w:gridSpan w:val="2"/>
            <w:vMerge/>
          </w:tcPr>
          <w:p/>
        </w:tc>
        <w:tc>
          <w:tcPr>
            <w:tcW w:type="dxa" w:w="2307"/>
          </w:tcPr>
          <w:p>
            <w:pPr>
              <w:pStyle w:val="null3"/>
              <w:jc w:val="left"/>
            </w:pPr>
            <w:r>
              <w:rPr/>
              <w:t>系统及功能演示 (30.0分)</w:t>
            </w:r>
          </w:p>
        </w:tc>
        <w:tc>
          <w:tcPr>
            <w:tcW w:type="dxa" w:w="5076"/>
          </w:tcPr>
          <w:p>
            <w:pPr>
              <w:pStyle w:val="null3"/>
              <w:jc w:val="left"/>
            </w:pPr>
            <w:r>
              <w:rPr/>
              <w:t>根据投标人现场系统原型演示内容对其系统与本项目采购需求的匹配度进行评审：（演示时间不得超过 30 分钟。投标人须自行携带相关设备（终端、软件）至演示现场进行演示。每项演示必须为现场实际操作真实公积金国产化系统案例进行演示）满分30分。 1. 要求系统具备灵活扩展能力：以购房提取为例，通过真实系统演示业务规则的可配置、可修改性。同时满足得10分，有一项不满足不得分。 （1）通过演示购房提取功能，拆分的服务的配置和组装画面。 （2）通过演示购房提取的可视化业务规则配置过程，并且执行购房提取功能，证明业务规则生效。 （3）改变业务规则，再次执行购房提取功能，证明新业务规则生效。 2. 通过演示自愿缴存功能，拆分的服务的配置和组装画面。同时满足得10分，有一项不满足不得分。 （1）通过演示自愿缴存的可视化业务规则配置过程，并且执行购房提取功能，证明业务规则生效。 （2）改变业务规则，再次执行贷款审批功能，证明新业务规则生效。 3. 通过演示贷款审批功能，拆分的服务的配置和组装画面。同时满足得10分，有一项不满足不得分。 （1）通过演示贷款审批的可视化业务规则配置过程，并且执行购房提取功能，证明业务规则生效。 （2）改变业务规则，再次执行贷款审批功能，证明新业务规则生效。</w:t>
            </w:r>
          </w:p>
        </w:tc>
      </w:tr>
      <w:tr>
        <w:tc>
          <w:tcPr>
            <w:tcW w:type="dxa" w:w="922"/>
            <w:gridSpan w:val="2"/>
            <w:vMerge/>
          </w:tcPr>
          <w:p/>
        </w:tc>
        <w:tc>
          <w:tcPr>
            <w:tcW w:type="dxa" w:w="2307"/>
          </w:tcPr>
          <w:p>
            <w:pPr>
              <w:pStyle w:val="null3"/>
              <w:jc w:val="left"/>
            </w:pPr>
            <w:r>
              <w:rPr/>
              <w:t>安全运维方案 (4.0分)</w:t>
            </w:r>
            <w:r>
              <w:rPr/>
              <w:t>，（等次分值选择：</w:t>
            </w:r>
            <w:r>
              <w:rPr/>
              <w:t>0.0;</w:t>
            </w:r>
            <w:r>
              <w:rPr/>
              <w:t>1.0;</w:t>
            </w:r>
            <w:r>
              <w:rPr/>
              <w:t>2.5;</w:t>
            </w:r>
            <w:r>
              <w:rPr/>
              <w:t>4.0;</w:t>
            </w:r>
            <w:r>
              <w:rPr/>
              <w:t>）</w:t>
            </w:r>
          </w:p>
        </w:tc>
        <w:tc>
          <w:tcPr>
            <w:tcW w:type="dxa" w:w="5076"/>
          </w:tcPr>
          <w:p>
            <w:pPr>
              <w:pStyle w:val="null3"/>
              <w:jc w:val="left"/>
            </w:pPr>
            <w:r>
              <w:rPr/>
              <w:t>根据投标人针对本项目提供的安全运维方案进行评审。（包括但不限于对采购人信息安全管理制度梳理、网络安全评估方案、信息资产梳理方案、渗透测试服务方案、安全培训方案、应急演练方案、重保服务方案，要求合理、可落地性强；并基于采购人的信息安全情况了解程度提出合理化的建议等。） 1.投标人的安全运维方案完整详细，流程、步骤符合实际情况，对应安全事件紧急响应措施准确、完善、可操作性强，切实做好项目服务，并对采购人的信息安全情况非常熟悉并提出合理化的建议，得4分； 2.投标人有基本的安全运维方案，或有缺失或内容部分不全或不符合实际，操作性一般，得2.5分； 3.投标人对采购人的信息安全情况熟悉程度一般，提出的建议操作性一般，得1分； 4.无提供相关内容的，得0分。</w:t>
            </w:r>
          </w:p>
        </w:tc>
      </w:tr>
      <w:tr>
        <w:tc>
          <w:tcPr>
            <w:tcW w:type="dxa" w:w="922"/>
            <w:gridSpan w:val="2"/>
            <w:vMerge/>
          </w:tcPr>
          <w:p/>
        </w:tc>
        <w:tc>
          <w:tcPr>
            <w:tcW w:type="dxa" w:w="2307"/>
          </w:tcPr>
          <w:p>
            <w:pPr>
              <w:pStyle w:val="null3"/>
              <w:jc w:val="left"/>
            </w:pPr>
            <w:r>
              <w:rPr/>
              <w:t>售后服务承诺 (4.0分)</w:t>
            </w:r>
            <w:r>
              <w:rPr/>
              <w:t>，（等次分值选择：</w:t>
            </w:r>
            <w:r>
              <w:rPr/>
              <w:t>0.0;</w:t>
            </w:r>
            <w:r>
              <w:rPr/>
              <w:t>1.0;</w:t>
            </w:r>
            <w:r>
              <w:rPr/>
              <w:t>2.5;</w:t>
            </w:r>
            <w:r>
              <w:rPr/>
              <w:t>4.0;</w:t>
            </w:r>
            <w:r>
              <w:rPr/>
              <w:t>）</w:t>
            </w:r>
          </w:p>
        </w:tc>
        <w:tc>
          <w:tcPr>
            <w:tcW w:type="dxa" w:w="5076"/>
          </w:tcPr>
          <w:p>
            <w:pPr>
              <w:pStyle w:val="null3"/>
              <w:jc w:val="left"/>
            </w:pPr>
            <w:r>
              <w:rPr/>
              <w:t>根据投标人提供的培训售后服务方案进行评审:(包括但不限于培训内容范围、培训对象、培训方案，维保服务标准，售后服务机构设置，人员配备，故障响应时间，保障措施等。) 1.售后服务方案详细科学可行；售后响应时间及故障修复时间优于招标文件要求，每月进行巡检等内容；提供详细的运维服务故障处理流程、维护保障流程及组织架构，提供免费服务电话等售后服务内容，运维服务方案详细、完整及具备同类型项目应急保障服务能力，投标人或投标人所属公司人员具备良好的系统运维管理能力；完全满足招标项目的需求的，得4分； 2.售后服务方案中提供故障处理流程、维护保障流程及组织架构，提供免费服务电话和售后服务承诺，并包含了项目运维服务和应急保障方案的实施方法及方式, 具备同类型项目应急保障服务能力；具备提供本地化服务能力，得2.5分； 3.售后服务基本满足采购文件服务要求的，有简单的售后维护和应急保障方案，得1分。 4.无提供相关内容的，得0分。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(12.0分)</w:t>
            </w:r>
          </w:p>
        </w:tc>
        <w:tc>
          <w:tcPr>
            <w:tcW w:type="dxa" w:w="5076"/>
          </w:tcPr>
          <w:p>
            <w:pPr>
              <w:pStyle w:val="null3"/>
              <w:jc w:val="left"/>
            </w:pPr>
            <w:r>
              <w:rPr/>
              <w:t>1.投标人具有有效期内的服务质量达标测评认证证书，得3分； 2.投标人具有有效期内的软件过程及能力成熟度评估SPCA认证证书（等级5级），得3分； 3.投标人具有有效期内的数据安全服务能力评定资格证书（数据安全建设二级或以上），得3分； 4.投标人具有信息系统建设和服务能力（CS）证书，得3分。 备注：投标文件中须提供上述有效期内的证书复印件（获证证书主体须与投标人名称一致），并加盖投标人公章，未按要求提供的不得分。第1、2项证书须能在“全国认证认可信息公共服务平台”（http://cx.cnca.cn/）查询到；第3项证书需在“数据安全产业公共服务平台”（http://www.china-ds.org.cn/）查询到；第4项证书需在“信息系统建设和服务能力评估平台”（https://www.cs-cas.cn/）查询到；以上4项认证均需提供网页截图方可得分，已失效或撤销或暂停的认证不得分。 投标人成立时间不足3个月且供应商提供书面说明未能获得证书原因的，可对应得分。</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投标人2021年1月1日以来（以合同签订日期为准）承接的同类项目业绩情况：每提供1个合同得1分，满分4分。 注：1.提供加盖投标人公章的业绩合同或协议的关键页复印件；2.合同关键页内容必须清晰阐明项目名称、双方单位名称、合同签订时间或合同约定生效日期或履约期限、合同履行主要内容；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项目经理（项目负责人）要求 (10.0分)</w:t>
            </w:r>
          </w:p>
        </w:tc>
        <w:tc>
          <w:tcPr>
            <w:tcW w:type="dxa" w:w="5076"/>
          </w:tcPr>
          <w:p>
            <w:pPr>
              <w:pStyle w:val="null3"/>
              <w:jc w:val="left"/>
            </w:pPr>
            <w:r>
              <w:rPr/>
              <w:t>拟投入的项目经理（即项目负责人）具有： 1.具有“计算机技术与软件专业技术资格(水平)考试”的高级信息系统项目管理师证书； 2.具有“计算机技术与软件专业技术资格(水平)考试”的高级系统规划与管理师证书。 3.具有网络安全技术（高级）证书； 4.具有云计算工程师（高级）证书； 5.具有信息安全保障人员认证证书（认证方向须为风险管理）； 每提供一类证书得2分，本项最高得10分。 注：以上资格只能是同一人具备，投标文件中提供项目经理（即项目负责人）的相关证书及2024年7月至今投标人为其购买的连续三个月社保证明复印件并加盖公章，不提供不得分。若投标人未能提供人员社保的，可以在投标文件中提供相关承诺，视为满足社保评审要求（承诺书原件须盖公章，格式自行编制，承诺书内容包括但不限于以下内容：若我单位中标，合同签订前保证按投标文件中所配备投入本项目的人员全部到位并提供所有人员的社保证明或劳务合同，否则视为我单位放弃中标资格）。</w:t>
            </w:r>
          </w:p>
        </w:tc>
      </w:tr>
      <w:tr>
        <w:tc>
          <w:tcPr>
            <w:tcW w:type="dxa" w:w="922"/>
            <w:gridSpan w:val="2"/>
            <w:vMerge/>
          </w:tcPr>
          <w:p/>
        </w:tc>
        <w:tc>
          <w:tcPr>
            <w:tcW w:type="dxa" w:w="2307"/>
          </w:tcPr>
          <w:p>
            <w:pPr>
              <w:pStyle w:val="null3"/>
              <w:jc w:val="left"/>
            </w:pPr>
            <w:r>
              <w:rPr/>
              <w:t>技术负责人要求 (10.0分)</w:t>
            </w:r>
          </w:p>
        </w:tc>
        <w:tc>
          <w:tcPr>
            <w:tcW w:type="dxa" w:w="5076"/>
          </w:tcPr>
          <w:p>
            <w:pPr>
              <w:pStyle w:val="null3"/>
              <w:jc w:val="left"/>
            </w:pPr>
            <w:r>
              <w:rPr/>
              <w:t>拟投入的技术负责人具有： 1.具有“计算机技术与软件专业技术资格(水平)考试”的高级信息系统项目管理师资格证书； 2.具有“计算机技术与软件专业技术资格(水平)考试”的高级系统分析师证书； 3.具有“计算机技术与软件专业技术资格(水平)考试”的高级系统规划与管理师证书； 4.信息安全管理（高级）证书； 5.电子工程师证书。 每提供一类证书得2分，本项最高得10分。 注：以上资格只能是同一人具备，投标文件中提供技术负责人的相关证书及2024年7月至今投标人为其购买的连续三个月社保证明复印件并加盖公章，不提供不得分。若投标人未能提供人员社保的，可以在投标文件中提供相关承诺，视为满足社保评审要求（承诺书原件须盖公章，格式自行编制，承诺书内容包括但不限于以下内容：若我单位中标，合同签订前保证按投标文件中所配备投入本项目的人员全部到位并提供所有人员的社保证明或劳务合同，否则视为我单位放弃中标资格）。</w:t>
            </w:r>
          </w:p>
        </w:tc>
      </w:tr>
      <w:tr>
        <w:tc>
          <w:tcPr>
            <w:tcW w:type="dxa" w:w="922"/>
            <w:gridSpan w:val="2"/>
            <w:vMerge/>
          </w:tcPr>
          <w:p/>
        </w:tc>
        <w:tc>
          <w:tcPr>
            <w:tcW w:type="dxa" w:w="2307"/>
          </w:tcPr>
          <w:p>
            <w:pPr>
              <w:pStyle w:val="null3"/>
              <w:jc w:val="left"/>
            </w:pPr>
            <w:r>
              <w:rPr/>
              <w:t>团队成员要求 (4.0分)</w:t>
            </w:r>
          </w:p>
        </w:tc>
        <w:tc>
          <w:tcPr>
            <w:tcW w:type="dxa" w:w="5076"/>
          </w:tcPr>
          <w:p>
            <w:pPr>
              <w:pStyle w:val="null3"/>
              <w:jc w:val="left"/>
            </w:pPr>
            <w:r>
              <w:rPr/>
              <w:t>项目实施团队（项目经理、技术负责人除外），配备具有以下证书的施工人员： 1.具有“计算机技术与软件专业技术资格(水平)考试”的中级软件设计师资格证书、或高级信息系统项目管理师证书、或信息安全工程师证书、或数据库系统工程师证书，每提供1人得1分，最高得4分。 注：1.本项最高4分。 2.投标文件中提供相关证书及2024年7月至今投标人为其购买的连续三个月社保证明复印件并加盖公章，不提供不得分。若投标人未能提供人员社保的，可以在投标文件中提供相关承诺，视为满足社保评审要求（承诺书原件须盖公章，格式自行编制，承诺书内容包括但不限于以下内容：若我单位中标，合同签订前保证按投标文件中所配备投入本项目的人员全部到位并提供所有人员的社保证明或劳务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44"/>
        </w:rPr>
        <w:t>广东省政府采购</w:t>
      </w:r>
    </w:p>
    <w:p>
      <w:pPr>
        <w:pStyle w:val="null3"/>
        <w:jc w:val="center"/>
      </w:pPr>
      <w:r>
        <w:rPr>
          <w:sz w:val="44"/>
        </w:rPr>
        <w:t xml:space="preserve"> </w:t>
      </w:r>
      <w:r>
        <w:rPr>
          <w:sz w:val="44"/>
        </w:rPr>
        <w:t>合</w:t>
      </w:r>
      <w:r>
        <w:rPr>
          <w:sz w:val="44"/>
        </w:rPr>
        <w:t xml:space="preserve">  </w:t>
      </w:r>
      <w:r>
        <w:rPr>
          <w:sz w:val="44"/>
        </w:rPr>
        <w:t>同</w:t>
      </w:r>
      <w:r>
        <w:rPr>
          <w:sz w:val="44"/>
        </w:rPr>
        <w:t xml:space="preserve">  </w:t>
      </w:r>
      <w:r>
        <w:rPr>
          <w:sz w:val="44"/>
        </w:rPr>
        <w:t>书</w:t>
      </w:r>
    </w:p>
    <w:p>
      <w:pPr>
        <w:pStyle w:val="null3"/>
        <w:jc w:val="center"/>
      </w:pPr>
      <w:r>
        <w:rPr>
          <w:sz w:val="18"/>
        </w:rPr>
        <w:t>（本合同范本仅供参考，乙方与甲方可根据双方的具体要求进行修订，双方所签订的合同不得对招标文件确定的事项和乙方投标文件作实质性修改。）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color w:val="222222"/>
        </w:rPr>
        <w:t>采购计划编号：</w:t>
      </w:r>
      <w:r>
        <w:rPr>
          <w:sz w:val="21"/>
          <w:u w:val="single"/>
        </w:rPr>
        <w:t xml:space="preserve">                            </w:t>
      </w:r>
    </w:p>
    <w:p>
      <w:pPr>
        <w:pStyle w:val="null3"/>
        <w:jc w:val="both"/>
      </w:pPr>
      <w:r>
        <w:rPr>
          <w:sz w:val="22"/>
          <w:color w:val="222222"/>
        </w:rPr>
        <w:t>项目编号：</w:t>
      </w:r>
      <w:r>
        <w:rPr>
          <w:sz w:val="21"/>
          <w:u w:val="single"/>
        </w:rPr>
        <w:t xml:space="preserve">                                 </w:t>
      </w:r>
    </w:p>
    <w:p>
      <w:pPr>
        <w:pStyle w:val="null3"/>
        <w:jc w:val="both"/>
      </w:pPr>
      <w:r>
        <w:rPr>
          <w:sz w:val="22"/>
          <w:color w:val="222222"/>
        </w:rPr>
        <w:t>项目名称：</w:t>
      </w:r>
      <w:r>
        <w:rPr>
          <w:sz w:val="21"/>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color w:val="222222"/>
        </w:rPr>
        <w:t>：</w:t>
      </w:r>
      <w:r>
        <w:rPr>
          <w:sz w:val="21"/>
          <w:u w:val="single"/>
        </w:rPr>
        <w:t xml:space="preserve">  </w:t>
      </w:r>
      <w:r>
        <w:rPr>
          <w:sz w:val="21"/>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jc w:val="both"/>
      </w:pPr>
      <w:r>
        <w:rPr>
          <w:sz w:val="21"/>
        </w:rPr>
        <w:t xml:space="preserve"> </w:t>
      </w:r>
    </w:p>
    <w:p>
      <w:pPr>
        <w:pStyle w:val="null3"/>
        <w:jc w:val="both"/>
      </w:pPr>
      <w:r>
        <w:rPr>
          <w:sz w:val="21"/>
          <w:color w:val="222222"/>
        </w:rPr>
        <w:t xml:space="preserve">  </w:t>
      </w:r>
      <w:r>
        <w:rPr>
          <w:sz w:val="21"/>
          <w:color w:val="222222"/>
        </w:rPr>
        <w:t>根据</w:t>
      </w:r>
      <w:r>
        <w:rPr>
          <w:sz w:val="21"/>
          <w:u w:val="single"/>
        </w:rPr>
        <w:t xml:space="preserve">         </w:t>
      </w:r>
      <w:r>
        <w:rPr>
          <w:sz w:val="21"/>
          <w:u w:val="single"/>
        </w:rPr>
        <w:t>项目</w:t>
      </w:r>
      <w:r>
        <w:rPr>
          <w:sz w:val="21"/>
          <w:color w:val="222222"/>
        </w:rPr>
        <w:t>的采购结果，按照《中华人民共和国政府采购法》，《中华人民共和国民法典</w:t>
      </w:r>
      <w:r>
        <w:rPr>
          <w:sz w:val="21"/>
          <w:color w:val="222222"/>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_____________元（￥_________元）人民币。</w:t>
      </w:r>
    </w:p>
    <w:p>
      <w:pPr>
        <w:pStyle w:val="null3"/>
        <w:jc w:val="both"/>
      </w:pPr>
      <w:r>
        <w:rPr>
          <w:sz w:val="21"/>
          <w:b/>
        </w:rPr>
        <w:t>二、服务范围</w:t>
      </w:r>
    </w:p>
    <w:p>
      <w:pPr>
        <w:pStyle w:val="null3"/>
        <w:jc w:val="both"/>
      </w:pPr>
      <w:r>
        <w:rPr>
          <w:sz w:val="21"/>
          <w:color w:val="222222"/>
        </w:rPr>
        <w:t>　　甲方聘请乙方提供以下服务：</w:t>
      </w:r>
    </w:p>
    <w:p>
      <w:pPr>
        <w:pStyle w:val="null3"/>
        <w:jc w:val="both"/>
      </w:pPr>
      <w:r>
        <w:rPr>
          <w:sz w:val="21"/>
          <w:color w:val="222222"/>
        </w:rPr>
        <w:t>1．</w:t>
      </w:r>
      <w:r>
        <w:rPr>
          <w:sz w:val="21"/>
          <w:color w:val="222222"/>
        </w:rPr>
        <w:t>。</w:t>
      </w:r>
    </w:p>
    <w:p>
      <w:pPr>
        <w:pStyle w:val="null3"/>
        <w:jc w:val="both"/>
      </w:pPr>
      <w:r>
        <w:rPr>
          <w:sz w:val="21"/>
          <w:color w:val="222222"/>
        </w:rPr>
        <w:t>2．</w:t>
      </w:r>
    </w:p>
    <w:p>
      <w:pPr>
        <w:pStyle w:val="null3"/>
        <w:jc w:val="both"/>
      </w:pPr>
      <w:r>
        <w:rPr>
          <w:sz w:val="21"/>
          <w:color w:val="222222"/>
        </w:rPr>
        <w:t>……</w:t>
      </w:r>
    </w:p>
    <w:p>
      <w:pPr>
        <w:pStyle w:val="null3"/>
        <w:jc w:val="both"/>
      </w:pPr>
      <w:r>
        <w:rPr>
          <w:sz w:val="21"/>
          <w:b/>
        </w:rPr>
        <w:t>三、甲方乙方的权利和义务</w:t>
      </w:r>
    </w:p>
    <w:p>
      <w:pPr>
        <w:pStyle w:val="null3"/>
        <w:jc w:val="both"/>
      </w:pPr>
      <w:r>
        <w:rPr>
          <w:sz w:val="21"/>
          <w:color w:val="222222"/>
        </w:rPr>
        <w:t>1.甲方的权利和义务</w:t>
      </w:r>
    </w:p>
    <w:p>
      <w:pPr>
        <w:pStyle w:val="null3"/>
        <w:jc w:val="both"/>
      </w:pPr>
      <w:r>
        <w:rPr>
          <w:sz w:val="21"/>
          <w:color w:val="222222"/>
        </w:rPr>
        <w:t>2.乙方的权利和义务</w:t>
      </w:r>
    </w:p>
    <w:p>
      <w:pPr>
        <w:pStyle w:val="null3"/>
        <w:jc w:val="both"/>
      </w:pPr>
      <w:r>
        <w:rPr>
          <w:sz w:val="21"/>
          <w:b/>
        </w:rPr>
        <w:t>四、服务期间（项目完成期限）</w:t>
      </w:r>
    </w:p>
    <w:p>
      <w:pPr>
        <w:pStyle w:val="null3"/>
        <w:jc w:val="both"/>
      </w:pPr>
      <w:r>
        <w:rPr>
          <w:sz w:val="21"/>
          <w:color w:val="222222"/>
        </w:rPr>
        <w:t>1.委托服务期间自______年______月至______年______月止。</w:t>
      </w:r>
    </w:p>
    <w:p>
      <w:pPr>
        <w:pStyle w:val="null3"/>
        <w:jc w:val="both"/>
      </w:pPr>
      <w:r>
        <w:rPr>
          <w:sz w:val="21"/>
          <w:b/>
        </w:rPr>
        <w:t>五、付款方式</w:t>
      </w:r>
    </w:p>
    <w:p>
      <w:pPr>
        <w:pStyle w:val="null3"/>
        <w:jc w:val="both"/>
      </w:pPr>
      <w:r>
        <w:rPr>
          <w:sz w:val="21"/>
          <w:color w:val="222222"/>
        </w:rPr>
        <w:t>　　由甲方按下列程序在</w:t>
      </w:r>
      <w:r>
        <w:rPr>
          <w:sz w:val="21"/>
          <w:u w:val="single"/>
        </w:rPr>
        <w:t xml:space="preserve">       </w:t>
      </w:r>
      <w:r>
        <w:rPr>
          <w:sz w:val="21"/>
          <w:color w:val="222222"/>
        </w:rPr>
        <w:t xml:space="preserve"> </w:t>
      </w:r>
      <w:r>
        <w:rPr>
          <w:sz w:val="21"/>
          <w:color w:val="222222"/>
        </w:rPr>
        <w:t>内付款：</w:t>
      </w:r>
    </w:p>
    <w:p>
      <w:pPr>
        <w:pStyle w:val="null3"/>
        <w:jc w:val="both"/>
      </w:pPr>
      <w:r>
        <w:rPr>
          <w:sz w:val="21"/>
          <w:color w:val="222222"/>
        </w:rPr>
        <w:t>　　第一期：完成合同签订，且乙方提交符合甲方财务要求的等额发票后</w:t>
      </w:r>
      <w:r>
        <w:rPr>
          <w:sz w:val="21"/>
          <w:color w:val="222222"/>
        </w:rPr>
        <w:t>30日内，甲方支付乙方第一笔服务费，支付至合同总金额的</w:t>
      </w:r>
      <w:r>
        <w:rPr>
          <w:sz w:val="21"/>
          <w:color w:val="222222"/>
        </w:rPr>
        <w:t>4</w:t>
      </w:r>
      <w:r>
        <w:rPr>
          <w:sz w:val="21"/>
          <w:color w:val="222222"/>
        </w:rPr>
        <w:t>0%。</w:t>
      </w:r>
    </w:p>
    <w:p>
      <w:pPr>
        <w:pStyle w:val="null3"/>
        <w:jc w:val="both"/>
      </w:pPr>
      <w:r>
        <w:rPr>
          <w:sz w:val="21"/>
          <w:color w:val="222222"/>
        </w:rPr>
        <w:t xml:space="preserve">    </w:t>
      </w:r>
      <w:r>
        <w:rPr>
          <w:sz w:val="21"/>
          <w:color w:val="222222"/>
        </w:rPr>
        <w:t>第二期：项目通过内部验收，且甲方自收到乙方提供的符合甲方财务要求的等额发票之日起</w:t>
      </w:r>
      <w:r>
        <w:rPr>
          <w:sz w:val="21"/>
          <w:color w:val="222222"/>
        </w:rPr>
        <w:t>30日内向乙方支付第二笔服务费，支付至合同总金额的</w:t>
      </w:r>
      <w:r>
        <w:rPr>
          <w:sz w:val="21"/>
          <w:color w:val="222222"/>
        </w:rPr>
        <w:t>4</w:t>
      </w:r>
      <w:r>
        <w:rPr>
          <w:sz w:val="21"/>
          <w:color w:val="222222"/>
        </w:rPr>
        <w:t>0%。</w:t>
      </w:r>
    </w:p>
    <w:p>
      <w:pPr>
        <w:pStyle w:val="null3"/>
        <w:jc w:val="both"/>
      </w:pPr>
      <w:r>
        <w:rPr>
          <w:sz w:val="21"/>
          <w:color w:val="222222"/>
        </w:rPr>
        <w:t xml:space="preserve">    </w:t>
      </w:r>
      <w:r>
        <w:rPr>
          <w:sz w:val="21"/>
          <w:color w:val="222222"/>
        </w:rPr>
        <w:t>第三期：项目通过综合验收（即终验），且甲方自收到乙方提供的符合甲方财务要求的等额发票之日起</w:t>
      </w:r>
      <w:r>
        <w:rPr>
          <w:sz w:val="21"/>
          <w:color w:val="222222"/>
        </w:rPr>
        <w:t>30日内向乙方支付第三笔服务费，支付至合同总金额的100%。</w:t>
      </w:r>
    </w:p>
    <w:p>
      <w:pPr>
        <w:pStyle w:val="null3"/>
        <w:jc w:val="both"/>
      </w:pPr>
      <w:r>
        <w:rPr>
          <w:sz w:val="21"/>
          <w:color w:val="222222"/>
        </w:rPr>
        <w:t>因甲方使用的是专项债务资金，甲方在前款规定的付款时间为向政府采购支付部门提出办理财政支付申请手续的时间（不含政府财政支付部门审核的时间），在规定时间内提出支付申请手续后即视为甲方已经按期支付。备注：实际结算费用以专项债务资金下达为准。</w:t>
      </w:r>
    </w:p>
    <w:p>
      <w:pPr>
        <w:pStyle w:val="null3"/>
        <w:jc w:val="both"/>
      </w:pPr>
      <w:r>
        <w:rPr>
          <w:sz w:val="21"/>
          <w:b/>
        </w:rPr>
        <w:t>六、知识产权归属</w:t>
      </w:r>
    </w:p>
    <w:p>
      <w:pPr>
        <w:pStyle w:val="null3"/>
        <w:ind w:left="420"/>
        <w:jc w:val="both"/>
      </w:pPr>
      <w:r>
        <w:rPr>
          <w:sz w:val="21"/>
          <w:b/>
        </w:rPr>
        <w:t>七、保密</w:t>
      </w:r>
    </w:p>
    <w:p>
      <w:pPr>
        <w:pStyle w:val="null3"/>
        <w:ind w:left="420"/>
        <w:jc w:val="both"/>
      </w:pPr>
      <w:r>
        <w:rPr>
          <w:sz w:val="21"/>
        </w:rPr>
        <w:t>未经甲方书面同意，乙方及派驻到甲方工作的服务人员对甲方的有关信息、数据和资料、财物负有严格保密、保护的责任。</w:t>
      </w:r>
    </w:p>
    <w:p>
      <w:pPr>
        <w:pStyle w:val="null3"/>
        <w:jc w:val="both"/>
      </w:pPr>
      <w:r>
        <w:rPr>
          <w:sz w:val="21"/>
          <w:b/>
        </w:rPr>
        <w:t>八、违约责任与赔偿损失</w:t>
      </w:r>
    </w:p>
    <w:p>
      <w:pPr>
        <w:pStyle w:val="null3"/>
        <w:ind w:firstLine="420"/>
        <w:jc w:val="both"/>
      </w:pPr>
      <w:r>
        <w:rPr>
          <w:sz w:val="21"/>
        </w:rPr>
        <w:t>1.乙方提供的服务不符合项目服务内容要求的，或未按约定履行义务的，视为乙方违约，乙方应承担相应的违约责任，服务期内乙方累计出现2次违约行为的，甲方有权解除合同并要求乙方承担甲方因此受到的损失。</w:t>
      </w:r>
    </w:p>
    <w:p>
      <w:pPr>
        <w:pStyle w:val="null3"/>
        <w:ind w:firstLine="420"/>
        <w:jc w:val="both"/>
      </w:pPr>
      <w:r>
        <w:rPr>
          <w:sz w:val="21"/>
        </w:rPr>
        <w:t>2.乙方未能按合同规定的时间提供服务的，视为乙方违约，乙方应承担相应的违约责任，逾期半个月以上的，甲方有权终止合同，由此造成的甲方经济损失由乙方承担。</w:t>
      </w:r>
    </w:p>
    <w:p>
      <w:pPr>
        <w:pStyle w:val="null3"/>
        <w:ind w:firstLine="420"/>
        <w:jc w:val="both"/>
      </w:pPr>
      <w:r>
        <w:rPr>
          <w:sz w:val="21"/>
        </w:rPr>
        <w:t>3.乙方给甲方造成的损失，甲方可采取必要的途径或方式追索，由此引起的费用由乙方负担，包括但不限于律师费、查档费、鉴定费、公证费、交通费、诉讼费、财产保全责任保险费等。</w:t>
      </w:r>
    </w:p>
    <w:p>
      <w:pPr>
        <w:pStyle w:val="null3"/>
        <w:ind w:firstLine="420"/>
        <w:jc w:val="both"/>
      </w:pPr>
      <w:r>
        <w:rPr>
          <w:sz w:val="21"/>
        </w:rPr>
        <w:t>4.甲方无正当理由拒绝接受服务，到期非因服务费用金额有误等乙方原因拒付服务款项的，甲方应承担相应的违约责任。</w:t>
      </w:r>
    </w:p>
    <w:p>
      <w:pPr>
        <w:pStyle w:val="null3"/>
        <w:ind w:firstLine="420"/>
        <w:jc w:val="both"/>
      </w:pPr>
      <w:r>
        <w:rPr>
          <w:sz w:val="21"/>
        </w:rPr>
        <w:t>5.其他违约责任按《中华人民共和国民法典》处理。</w:t>
      </w:r>
    </w:p>
    <w:p>
      <w:pPr>
        <w:pStyle w:val="null3"/>
        <w:jc w:val="both"/>
      </w:pPr>
      <w:r>
        <w:rPr>
          <w:sz w:val="21"/>
          <w:b/>
        </w:rPr>
        <w:t>九、争议的解决</w:t>
      </w:r>
    </w:p>
    <w:p>
      <w:pPr>
        <w:pStyle w:val="null3"/>
        <w:ind w:firstLine="609"/>
        <w:jc w:val="both"/>
      </w:pPr>
      <w:r>
        <w:rPr>
          <w:sz w:val="21"/>
        </w:rPr>
        <w:t>合同执行过程中发生的任何争议，双方应先友好协商解决，若双方不能通过友好协商解决的，任何一方可向甲方所在地人民法院提起诉讼。败诉方应承担对方因此而支出的诉讼费、律师费等费用。</w:t>
      </w:r>
      <w:r>
        <w:rPr>
          <w:sz w:val="21"/>
        </w:rPr>
        <w:t xml:space="preserve">    </w:t>
      </w:r>
    </w:p>
    <w:p>
      <w:pPr>
        <w:pStyle w:val="null3"/>
        <w:jc w:val="both"/>
      </w:pPr>
      <w:r>
        <w:rPr>
          <w:sz w:val="21"/>
          <w:b/>
        </w:rPr>
        <w:t>十、不可抗力</w:t>
      </w:r>
    </w:p>
    <w:p>
      <w:pPr>
        <w:pStyle w:val="null3"/>
        <w:jc w:val="both"/>
      </w:pPr>
      <w:r>
        <w:rPr>
          <w:sz w:val="21"/>
        </w:rPr>
        <w:t>任何一方由于不可抗力原因不能履行协议时，应在不可抗力时间结束后</w:t>
      </w:r>
      <w:r>
        <w:rPr>
          <w:sz w:val="21"/>
        </w:rPr>
        <w:t>1日内向对方通报，以减轻可能给对方造成的损失，在取得有关机构的不可抗力证明或双方谅解确认后，允许延期履行或修订协议，并根据情况可部分或全部免于承担违约责任。</w:t>
      </w:r>
    </w:p>
    <w:p>
      <w:pPr>
        <w:pStyle w:val="null3"/>
        <w:jc w:val="both"/>
      </w:pPr>
      <w:r>
        <w:rPr>
          <w:sz w:val="21"/>
          <w:b/>
        </w:rPr>
        <w:t>十一、税费</w:t>
      </w:r>
    </w:p>
    <w:p>
      <w:pPr>
        <w:pStyle w:val="null3"/>
        <w:jc w:val="both"/>
      </w:pPr>
      <w:r>
        <w:rPr>
          <w:sz w:val="21"/>
          <w:color w:val="222222"/>
        </w:rPr>
        <w:t>　　在中国境内、外发生的与本合同执行有关的一切税费均由乙方负担。</w:t>
      </w:r>
    </w:p>
    <w:p>
      <w:pPr>
        <w:pStyle w:val="null3"/>
        <w:jc w:val="both"/>
      </w:pPr>
      <w:r>
        <w:rPr>
          <w:sz w:val="21"/>
          <w:b/>
        </w:rPr>
        <w:t>十二、其它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十三、合同生效</w:t>
      </w:r>
    </w:p>
    <w:p>
      <w:pPr>
        <w:pStyle w:val="null3"/>
        <w:jc w:val="both"/>
      </w:pPr>
      <w:r>
        <w:rPr>
          <w:sz w:val="21"/>
          <w:color w:val="222222"/>
        </w:rPr>
        <w:t>1.本合同在甲乙双方法人代表或其授权代表签字盖章后生效。</w:t>
      </w:r>
    </w:p>
    <w:p>
      <w:pPr>
        <w:pStyle w:val="null3"/>
        <w:jc w:val="both"/>
      </w:pPr>
      <w:r>
        <w:rPr>
          <w:sz w:val="21"/>
          <w:color w:val="222222"/>
        </w:rPr>
        <w:t>2.合同一式</w:t>
      </w:r>
      <w:r>
        <w:rPr>
          <w:sz w:val="21"/>
          <w:u w:val="single"/>
        </w:rPr>
        <w:t xml:space="preserve">   </w:t>
      </w:r>
      <w:r>
        <w:rPr>
          <w:sz w:val="21"/>
          <w:color w:val="222222"/>
        </w:rPr>
        <w:t xml:space="preserve"> </w:t>
      </w:r>
      <w:r>
        <w:rPr>
          <w:sz w:val="21"/>
          <w:color w:val="222222"/>
        </w:rPr>
        <w:t>份。</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w:t>
      </w:r>
      <w:r>
        <w:rPr>
          <w:sz w:val="21"/>
          <w:color w:val="222222"/>
        </w:rPr>
        <w:t>户</w:t>
      </w:r>
      <w:r>
        <w:rPr>
          <w:sz w:val="21"/>
          <w:color w:val="222222"/>
        </w:rPr>
        <w:t>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442000-2024-04586</w:t>
      </w:r>
    </w:p>
    <w:p>
      <w:pPr>
        <w:pStyle w:val="null3"/>
        <w:jc w:val="center"/>
        <w:outlineLvl w:val="3"/>
      </w:pPr>
      <w:r>
        <w:rPr>
          <w:sz w:val="24"/>
          <w:b/>
        </w:rPr>
        <w:t>采购项目编号：</w:t>
      </w:r>
      <w:r>
        <w:rPr>
          <w:sz w:val="24"/>
          <w:b/>
        </w:rPr>
        <w:t>442000-2024-04586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中山市住房公积金管理中心信息系统政务云迁移项目</w:t>
      </w:r>
      <w:r>
        <w:rPr>
          <w:u w:val="single"/>
        </w:rPr>
        <w:t>”</w:t>
      </w:r>
      <w:r>
        <w:rPr/>
        <w:t>项目的招标[采购项目编号为：</w:t>
      </w:r>
      <w:r>
        <w:rPr>
          <w:u w:val="single"/>
        </w:rPr>
        <w:t>442000-2024-04586</w:t>
      </w:r>
      <w:r>
        <w:rPr/>
        <w:t>]，我方愿参与投标。</w:t>
      </w:r>
    </w:p>
    <w:p>
      <w:pPr>
        <w:pStyle w:val="null3"/>
        <w:ind w:firstLine="480"/>
      </w:pPr>
      <w:r>
        <w:rPr/>
        <w:t>我方确认收到贵方提供的</w:t>
      </w:r>
      <w:r>
        <w:rPr>
          <w:u w:val="single"/>
        </w:rPr>
        <w:t>“</w:t>
      </w:r>
      <w:r>
        <w:rPr>
          <w:u w:val="single"/>
        </w:rPr>
        <w:t>中山市住房公积金管理中心信息系统政务云迁移项目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中山市住房公积金管理中心信息系统政务云迁移项目</w:t>
      </w:r>
      <w:r>
        <w:rPr/>
        <w:t>”项目采购[采购项目编号为</w:t>
      </w:r>
      <w:r>
        <w:rPr/>
        <w:t>442000-2024-04586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中山市住房公积金管理中心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中山市住房公积金管理中心信息系统政务云迁移项目</w:t>
      </w:r>
      <w:r>
        <w:rPr/>
        <w:t>招标中获中标（采购项目编号：</w:t>
      </w:r>
      <w:r>
        <w:rPr/>
        <w:t>442000-2024-04586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中山市住房公积金管理中心信息系统政务云迁移项目</w:t>
      </w:r>
      <w:r>
        <w:rPr/>
        <w:t>”项目（采购项目编号：</w:t>
      </w:r>
      <w:r>
        <w:rPr/>
        <w:t>442000-2024-04586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