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C8CD1">
      <w:pPr>
        <w:spacing w:line="360" w:lineRule="auto"/>
        <w:jc w:val="center"/>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磋商公告附件2：非“★”和“▲”的条款中参与评审条款汇总表</w:t>
      </w:r>
    </w:p>
    <w:p w14:paraId="09D27BC1">
      <w:pPr>
        <w:spacing w:line="360" w:lineRule="auto"/>
        <w:jc w:val="center"/>
        <w:outlineLvl w:val="9"/>
        <w:rPr>
          <w:rFonts w:hint="eastAsia" w:ascii="宋体" w:hAnsi="宋体" w:eastAsia="宋体" w:cs="宋体"/>
          <w:sz w:val="28"/>
          <w:szCs w:val="28"/>
        </w:rPr>
      </w:pPr>
      <w:r>
        <w:rPr>
          <w:rFonts w:hint="eastAsia" w:ascii="宋体" w:hAnsi="宋体" w:eastAsia="宋体" w:cs="宋体"/>
          <w:b/>
          <w:sz w:val="28"/>
          <w:szCs w:val="28"/>
        </w:rPr>
        <w:t>《技术和服务要求响应表》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2"/>
        <w:gridCol w:w="638"/>
        <w:gridCol w:w="630"/>
        <w:gridCol w:w="7007"/>
        <w:gridCol w:w="1774"/>
        <w:gridCol w:w="713"/>
        <w:gridCol w:w="1125"/>
        <w:gridCol w:w="946"/>
        <w:gridCol w:w="759"/>
      </w:tblGrid>
      <w:tr w14:paraId="7532A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top"/>
          </w:tcPr>
          <w:p w14:paraId="27908F20">
            <w:pPr>
              <w:pStyle w:val="15"/>
              <w:rPr>
                <w:rFonts w:hint="eastAsia" w:ascii="宋体" w:hAnsi="宋体" w:eastAsia="宋体" w:cs="宋体"/>
                <w:b w:val="0"/>
                <w:bCs w:val="0"/>
                <w:color w:val="auto"/>
                <w:sz w:val="22"/>
                <w:szCs w:val="22"/>
                <w:highlight w:val="none"/>
              </w:rPr>
            </w:pPr>
            <w:r>
              <w:rPr>
                <w:sz w:val="22"/>
                <w:szCs w:val="22"/>
              </w:rPr>
              <w:t>序号</w:t>
            </w:r>
          </w:p>
        </w:tc>
        <w:tc>
          <w:tcPr>
            <w:tcW w:w="638" w:type="dxa"/>
            <w:vAlign w:val="top"/>
          </w:tcPr>
          <w:p w14:paraId="24998C16">
            <w:pPr>
              <w:pStyle w:val="15"/>
              <w:rPr>
                <w:rFonts w:hint="eastAsia" w:ascii="宋体" w:hAnsi="宋体" w:eastAsia="宋体" w:cs="宋体"/>
                <w:b w:val="0"/>
                <w:bCs w:val="0"/>
                <w:color w:val="auto"/>
                <w:sz w:val="22"/>
                <w:szCs w:val="22"/>
                <w:highlight w:val="none"/>
              </w:rPr>
            </w:pPr>
            <w:r>
              <w:rPr>
                <w:sz w:val="22"/>
                <w:szCs w:val="22"/>
              </w:rPr>
              <w:t>标的名称</w:t>
            </w:r>
          </w:p>
        </w:tc>
        <w:tc>
          <w:tcPr>
            <w:tcW w:w="630" w:type="dxa"/>
            <w:vAlign w:val="top"/>
          </w:tcPr>
          <w:p w14:paraId="5C5E4A89">
            <w:pPr>
              <w:pStyle w:val="15"/>
              <w:rPr>
                <w:rFonts w:hint="eastAsia" w:ascii="宋体" w:hAnsi="宋体" w:eastAsia="宋体" w:cs="宋体"/>
                <w:b w:val="0"/>
                <w:bCs w:val="0"/>
                <w:color w:val="auto"/>
                <w:sz w:val="22"/>
                <w:szCs w:val="22"/>
                <w:highlight w:val="none"/>
              </w:rPr>
            </w:pPr>
            <w:r>
              <w:rPr>
                <w:sz w:val="22"/>
                <w:szCs w:val="22"/>
              </w:rPr>
              <w:t>参数性质</w:t>
            </w:r>
          </w:p>
        </w:tc>
        <w:tc>
          <w:tcPr>
            <w:tcW w:w="7007" w:type="dxa"/>
            <w:vAlign w:val="top"/>
          </w:tcPr>
          <w:p w14:paraId="69EA906C">
            <w:pPr>
              <w:pStyle w:val="15"/>
              <w:rPr>
                <w:rFonts w:hint="eastAsia" w:ascii="宋体" w:hAnsi="宋体" w:eastAsia="宋体" w:cs="宋体"/>
                <w:b w:val="0"/>
                <w:bCs w:val="0"/>
                <w:color w:val="auto"/>
                <w:sz w:val="22"/>
                <w:szCs w:val="22"/>
                <w:highlight w:val="none"/>
              </w:rPr>
            </w:pPr>
            <w:r>
              <w:rPr>
                <w:sz w:val="22"/>
                <w:szCs w:val="22"/>
              </w:rPr>
              <w:t>磋商文件规定的技术和服务要求</w:t>
            </w:r>
          </w:p>
        </w:tc>
        <w:tc>
          <w:tcPr>
            <w:tcW w:w="1774" w:type="dxa"/>
            <w:vAlign w:val="top"/>
          </w:tcPr>
          <w:p w14:paraId="6F92E410">
            <w:pPr>
              <w:pStyle w:val="15"/>
              <w:rPr>
                <w:rFonts w:hint="eastAsia" w:ascii="宋体" w:hAnsi="宋体" w:eastAsia="宋体" w:cs="宋体"/>
                <w:b w:val="0"/>
                <w:bCs w:val="0"/>
                <w:color w:val="auto"/>
                <w:sz w:val="22"/>
                <w:szCs w:val="22"/>
                <w:highlight w:val="none"/>
              </w:rPr>
            </w:pPr>
            <w:r>
              <w:rPr>
                <w:sz w:val="22"/>
                <w:szCs w:val="22"/>
              </w:rPr>
              <w:t>响应文件响应的具体内容</w:t>
            </w:r>
          </w:p>
        </w:tc>
        <w:tc>
          <w:tcPr>
            <w:tcW w:w="713" w:type="dxa"/>
            <w:vAlign w:val="top"/>
          </w:tcPr>
          <w:p w14:paraId="435095E0">
            <w:pPr>
              <w:pStyle w:val="15"/>
              <w:rPr>
                <w:rFonts w:hint="eastAsia" w:ascii="宋体" w:hAnsi="宋体" w:eastAsia="宋体" w:cs="宋体"/>
                <w:b w:val="0"/>
                <w:bCs w:val="0"/>
                <w:color w:val="auto"/>
                <w:sz w:val="22"/>
                <w:szCs w:val="22"/>
                <w:highlight w:val="none"/>
              </w:rPr>
            </w:pPr>
            <w:r>
              <w:rPr>
                <w:sz w:val="22"/>
                <w:szCs w:val="22"/>
              </w:rPr>
              <w:t>型号</w:t>
            </w:r>
          </w:p>
        </w:tc>
        <w:tc>
          <w:tcPr>
            <w:tcW w:w="1125" w:type="dxa"/>
            <w:vAlign w:val="top"/>
          </w:tcPr>
          <w:p w14:paraId="2E7B944B">
            <w:pPr>
              <w:pStyle w:val="15"/>
              <w:rPr>
                <w:rFonts w:hint="eastAsia" w:ascii="宋体" w:hAnsi="宋体" w:eastAsia="宋体" w:cs="宋体"/>
                <w:b w:val="0"/>
                <w:bCs w:val="0"/>
                <w:color w:val="auto"/>
                <w:sz w:val="22"/>
                <w:szCs w:val="22"/>
                <w:highlight w:val="none"/>
              </w:rPr>
            </w:pPr>
            <w:r>
              <w:rPr>
                <w:sz w:val="22"/>
                <w:szCs w:val="22"/>
              </w:rPr>
              <w:t>是否偏离</w:t>
            </w:r>
          </w:p>
        </w:tc>
        <w:tc>
          <w:tcPr>
            <w:tcW w:w="946" w:type="dxa"/>
            <w:vAlign w:val="top"/>
          </w:tcPr>
          <w:p w14:paraId="64B97D65">
            <w:pPr>
              <w:pStyle w:val="15"/>
              <w:rPr>
                <w:rFonts w:hint="eastAsia" w:ascii="宋体" w:hAnsi="宋体" w:eastAsia="宋体" w:cs="宋体"/>
                <w:b w:val="0"/>
                <w:bCs w:val="0"/>
                <w:color w:val="auto"/>
                <w:sz w:val="22"/>
                <w:szCs w:val="22"/>
                <w:highlight w:val="none"/>
              </w:rPr>
            </w:pPr>
            <w:r>
              <w:rPr>
                <w:sz w:val="22"/>
                <w:szCs w:val="22"/>
              </w:rPr>
              <w:t>证明文件所在位置</w:t>
            </w:r>
          </w:p>
        </w:tc>
        <w:tc>
          <w:tcPr>
            <w:tcW w:w="759" w:type="dxa"/>
            <w:vAlign w:val="top"/>
          </w:tcPr>
          <w:p w14:paraId="5E1824E9">
            <w:pPr>
              <w:pStyle w:val="15"/>
              <w:rPr>
                <w:rFonts w:hint="eastAsia" w:ascii="宋体" w:hAnsi="宋体" w:eastAsia="宋体" w:cs="宋体"/>
                <w:b w:val="0"/>
                <w:bCs w:val="0"/>
                <w:color w:val="auto"/>
                <w:sz w:val="22"/>
                <w:szCs w:val="22"/>
                <w:highlight w:val="none"/>
              </w:rPr>
            </w:pPr>
            <w:r>
              <w:rPr>
                <w:sz w:val="22"/>
                <w:szCs w:val="22"/>
              </w:rPr>
              <w:t>备注</w:t>
            </w:r>
          </w:p>
        </w:tc>
      </w:tr>
      <w:tr w14:paraId="47783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0CB04322">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38" w:type="dxa"/>
            <w:vAlign w:val="top"/>
          </w:tcPr>
          <w:p w14:paraId="3384073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4ADEB98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35383CF3">
            <w:pPr>
              <w:pStyle w:val="15"/>
              <w:keepNext w:val="0"/>
              <w:keepLines w:val="0"/>
              <w:pageBreakBefore w:val="0"/>
              <w:kinsoku/>
              <w:wordWrap/>
              <w:overflowPunct/>
              <w:topLinePunct w:val="0"/>
              <w:autoSpaceDE/>
              <w:autoSpaceDN/>
              <w:bidi w:val="0"/>
              <w:adjustRightInd/>
              <w:snapToGrid/>
              <w:spacing w:line="360" w:lineRule="auto"/>
              <w:jc w:val="both"/>
              <w:outlineLvl w:val="3"/>
              <w:rPr>
                <w:rFonts w:hint="eastAsia" w:ascii="宋体" w:hAnsi="宋体" w:eastAsia="宋体" w:cs="宋体"/>
                <w:sz w:val="22"/>
                <w:szCs w:val="22"/>
              </w:rPr>
            </w:pPr>
            <w:r>
              <w:rPr>
                <w:rFonts w:hint="eastAsia" w:ascii="宋体" w:hAnsi="宋体" w:eastAsia="宋体" w:cs="宋体"/>
                <w:b/>
                <w:sz w:val="22"/>
                <w:szCs w:val="22"/>
              </w:rPr>
              <w:t>三</w:t>
            </w:r>
            <w:r>
              <w:rPr>
                <w:rFonts w:hint="eastAsia" w:ascii="宋体" w:hAnsi="宋体" w:eastAsia="宋体" w:cs="宋体"/>
                <w:b/>
                <w:sz w:val="22"/>
                <w:szCs w:val="22"/>
                <w:lang w:eastAsia="zh-CN"/>
              </w:rPr>
              <w:t>、</w:t>
            </w:r>
            <w:r>
              <w:rPr>
                <w:rFonts w:hint="eastAsia" w:ascii="宋体" w:hAnsi="宋体" w:eastAsia="宋体" w:cs="宋体"/>
                <w:b/>
                <w:sz w:val="22"/>
                <w:szCs w:val="22"/>
              </w:rPr>
              <w:t>日常巡检与维护</w:t>
            </w:r>
          </w:p>
          <w:p w14:paraId="179CA9CE">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b/>
                <w:bCs/>
                <w:color w:val="000000"/>
                <w:sz w:val="22"/>
                <w:szCs w:val="22"/>
              </w:rPr>
            </w:pPr>
            <w:r>
              <w:rPr>
                <w:rFonts w:hint="eastAsia" w:ascii="宋体" w:hAnsi="宋体" w:eastAsia="宋体" w:cs="宋体"/>
                <w:b/>
                <w:bCs/>
                <w:color w:val="000000"/>
                <w:sz w:val="22"/>
                <w:szCs w:val="22"/>
                <w:lang w:eastAsia="zh-CN"/>
              </w:rPr>
              <w:t>（</w:t>
            </w:r>
            <w:r>
              <w:rPr>
                <w:rFonts w:hint="eastAsia" w:ascii="宋体" w:hAnsi="宋体" w:eastAsia="宋体" w:cs="宋体"/>
                <w:b/>
                <w:bCs/>
                <w:color w:val="000000"/>
                <w:sz w:val="22"/>
                <w:szCs w:val="22"/>
                <w:lang w:val="en-US" w:eastAsia="zh-CN"/>
              </w:rPr>
              <w:t>一</w:t>
            </w:r>
            <w:r>
              <w:rPr>
                <w:rFonts w:hint="eastAsia" w:ascii="宋体" w:hAnsi="宋体" w:eastAsia="宋体" w:cs="宋体"/>
                <w:b/>
                <w:bCs/>
                <w:color w:val="000000"/>
                <w:sz w:val="22"/>
                <w:szCs w:val="22"/>
                <w:lang w:eastAsia="zh-CN"/>
              </w:rPr>
              <w:t>）</w:t>
            </w:r>
            <w:r>
              <w:rPr>
                <w:rFonts w:hint="eastAsia" w:ascii="宋体" w:hAnsi="宋体" w:eastAsia="宋体" w:cs="宋体"/>
                <w:b/>
                <w:bCs/>
                <w:color w:val="000000"/>
                <w:sz w:val="22"/>
                <w:szCs w:val="22"/>
              </w:rPr>
              <w:t>具体方案</w:t>
            </w:r>
          </w:p>
          <w:p w14:paraId="439DAED2">
            <w:pPr>
              <w:pStyle w:val="15"/>
              <w:keepNext w:val="0"/>
              <w:keepLines w:val="0"/>
              <w:pageBreakBefore w:val="0"/>
              <w:kinsoku/>
              <w:wordWrap/>
              <w:overflowPunct/>
              <w:topLinePunct w:val="0"/>
              <w:autoSpaceDE/>
              <w:autoSpaceDN/>
              <w:bidi w:val="0"/>
              <w:adjustRightInd/>
              <w:snapToGrid/>
              <w:spacing w:line="360" w:lineRule="auto"/>
              <w:ind w:firstLine="44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本项目</w:t>
            </w:r>
            <w:r>
              <w:rPr>
                <w:rFonts w:hint="eastAsia" w:ascii="宋体" w:hAnsi="宋体" w:eastAsia="宋体" w:cs="宋体"/>
                <w:sz w:val="22"/>
                <w:szCs w:val="22"/>
              </w:rPr>
              <w:t>具体租赁明细如下：</w:t>
            </w:r>
          </w:p>
          <w:tbl>
            <w:tblPr>
              <w:tblStyle w:val="1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310"/>
              <w:gridCol w:w="3204"/>
            </w:tblGrid>
            <w:tr w14:paraId="59C783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678569">
                  <w:pPr>
                    <w:pStyle w:val="15"/>
                    <w:keepNext w:val="0"/>
                    <w:keepLines w:val="0"/>
                    <w:pageBreakBefore w:val="0"/>
                    <w:kinsoku/>
                    <w:wordWrap/>
                    <w:overflowPunct/>
                    <w:topLinePunct w:val="0"/>
                    <w:autoSpaceDE/>
                    <w:autoSpaceDN/>
                    <w:bidi w:val="0"/>
                    <w:adjustRightInd/>
                    <w:snapToGrid/>
                    <w:spacing w:line="360" w:lineRule="auto"/>
                    <w:ind w:left="120" w:right="120"/>
                    <w:jc w:val="center"/>
                    <w:rPr>
                      <w:rFonts w:hint="eastAsia" w:ascii="宋体" w:hAnsi="宋体" w:eastAsia="宋体" w:cs="宋体"/>
                      <w:sz w:val="22"/>
                      <w:szCs w:val="22"/>
                    </w:rPr>
                  </w:pPr>
                  <w:r>
                    <w:rPr>
                      <w:rFonts w:hint="eastAsia" w:ascii="宋体" w:hAnsi="宋体" w:eastAsia="宋体" w:cs="宋体"/>
                      <w:sz w:val="22"/>
                      <w:szCs w:val="22"/>
                    </w:rPr>
                    <w:t>设备/套餐名称</w:t>
                  </w:r>
                </w:p>
              </w:tc>
              <w:tc>
                <w:tcPr>
                  <w:tcW w:w="32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0A994CC">
                  <w:pPr>
                    <w:pStyle w:val="15"/>
                    <w:keepNext w:val="0"/>
                    <w:keepLines w:val="0"/>
                    <w:pageBreakBefore w:val="0"/>
                    <w:kinsoku/>
                    <w:wordWrap/>
                    <w:overflowPunct/>
                    <w:topLinePunct w:val="0"/>
                    <w:autoSpaceDE/>
                    <w:autoSpaceDN/>
                    <w:bidi w:val="0"/>
                    <w:adjustRightInd/>
                    <w:snapToGrid/>
                    <w:spacing w:line="360" w:lineRule="auto"/>
                    <w:ind w:left="120" w:right="120"/>
                    <w:jc w:val="center"/>
                    <w:rPr>
                      <w:rFonts w:hint="eastAsia" w:ascii="宋体" w:hAnsi="宋体" w:eastAsia="宋体" w:cs="宋体"/>
                      <w:sz w:val="22"/>
                      <w:szCs w:val="22"/>
                    </w:rPr>
                  </w:pPr>
                  <w:r>
                    <w:rPr>
                      <w:rFonts w:hint="eastAsia" w:ascii="宋体" w:hAnsi="宋体" w:eastAsia="宋体" w:cs="宋体"/>
                      <w:sz w:val="22"/>
                      <w:szCs w:val="22"/>
                    </w:rPr>
                    <w:t>租赁数量</w:t>
                  </w:r>
                </w:p>
              </w:tc>
            </w:tr>
            <w:tr w14:paraId="437105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AF87F9">
                  <w:pPr>
                    <w:pStyle w:val="15"/>
                    <w:keepNext w:val="0"/>
                    <w:keepLines w:val="0"/>
                    <w:pageBreakBefore w:val="0"/>
                    <w:kinsoku/>
                    <w:wordWrap/>
                    <w:overflowPunct/>
                    <w:topLinePunct w:val="0"/>
                    <w:autoSpaceDE/>
                    <w:autoSpaceDN/>
                    <w:bidi w:val="0"/>
                    <w:adjustRightInd/>
                    <w:snapToGrid/>
                    <w:spacing w:line="360" w:lineRule="auto"/>
                    <w:ind w:left="120" w:right="120"/>
                    <w:jc w:val="center"/>
                    <w:rPr>
                      <w:rFonts w:hint="eastAsia" w:ascii="宋体" w:hAnsi="宋体" w:eastAsia="宋体" w:cs="宋体"/>
                      <w:sz w:val="22"/>
                      <w:szCs w:val="22"/>
                    </w:rPr>
                  </w:pPr>
                  <w:r>
                    <w:rPr>
                      <w:rFonts w:hint="eastAsia" w:ascii="宋体" w:hAnsi="宋体" w:eastAsia="宋体" w:cs="宋体"/>
                      <w:color w:val="000000"/>
                      <w:sz w:val="22"/>
                      <w:szCs w:val="22"/>
                    </w:rPr>
                    <w:t>终端A及配套套餐和服务</w:t>
                  </w:r>
                </w:p>
              </w:tc>
              <w:tc>
                <w:tcPr>
                  <w:tcW w:w="3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62662C">
                  <w:pPr>
                    <w:pStyle w:val="15"/>
                    <w:spacing w:before="120" w:after="120" w:line="360" w:lineRule="auto"/>
                    <w:ind w:left="120" w:leftChars="0" w:right="120" w:rightChars="0"/>
                    <w:jc w:val="center"/>
                    <w:rPr>
                      <w:rFonts w:hint="eastAsia" w:ascii="宋体" w:hAnsi="宋体" w:eastAsia="宋体" w:cs="宋体"/>
                      <w:sz w:val="22"/>
                      <w:szCs w:val="22"/>
                    </w:rPr>
                  </w:pPr>
                  <w:r>
                    <w:rPr>
                      <w:rFonts w:hint="eastAsia" w:ascii="宋体" w:hAnsi="宋体" w:eastAsia="宋体" w:cs="宋体"/>
                      <w:color w:val="000000"/>
                      <w:sz w:val="22"/>
                      <w:szCs w:val="22"/>
                      <w:lang w:val="en-US" w:eastAsia="zh-CN"/>
                    </w:rPr>
                    <w:t>146</w:t>
                  </w:r>
                  <w:r>
                    <w:rPr>
                      <w:rFonts w:hint="eastAsia" w:ascii="宋体" w:hAnsi="宋体" w:eastAsia="宋体" w:cs="宋体"/>
                      <w:color w:val="000000"/>
                      <w:sz w:val="22"/>
                      <w:szCs w:val="22"/>
                    </w:rPr>
                    <w:t>套</w:t>
                  </w:r>
                </w:p>
              </w:tc>
            </w:tr>
            <w:tr w14:paraId="32317A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071403">
                  <w:pPr>
                    <w:pStyle w:val="15"/>
                    <w:keepNext w:val="0"/>
                    <w:keepLines w:val="0"/>
                    <w:pageBreakBefore w:val="0"/>
                    <w:kinsoku/>
                    <w:wordWrap/>
                    <w:overflowPunct/>
                    <w:topLinePunct w:val="0"/>
                    <w:autoSpaceDE/>
                    <w:autoSpaceDN/>
                    <w:bidi w:val="0"/>
                    <w:adjustRightInd/>
                    <w:snapToGrid/>
                    <w:spacing w:line="360" w:lineRule="auto"/>
                    <w:ind w:left="120" w:right="120"/>
                    <w:jc w:val="center"/>
                    <w:rPr>
                      <w:rFonts w:hint="eastAsia" w:ascii="宋体" w:hAnsi="宋体" w:eastAsia="宋体" w:cs="宋体"/>
                      <w:sz w:val="22"/>
                      <w:szCs w:val="22"/>
                    </w:rPr>
                  </w:pPr>
                  <w:r>
                    <w:rPr>
                      <w:rFonts w:hint="eastAsia" w:ascii="宋体" w:hAnsi="宋体" w:eastAsia="宋体" w:cs="宋体"/>
                      <w:color w:val="000000"/>
                      <w:sz w:val="22"/>
                      <w:szCs w:val="22"/>
                    </w:rPr>
                    <w:t>终端B及配套套餐和服务</w:t>
                  </w:r>
                </w:p>
              </w:tc>
              <w:tc>
                <w:tcPr>
                  <w:tcW w:w="3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427512">
                  <w:pPr>
                    <w:pStyle w:val="15"/>
                    <w:spacing w:before="120" w:after="120" w:line="360" w:lineRule="auto"/>
                    <w:ind w:left="120" w:leftChars="0" w:right="120" w:rightChars="0"/>
                    <w:jc w:val="center"/>
                    <w:rPr>
                      <w:rFonts w:hint="eastAsia" w:ascii="宋体" w:hAnsi="宋体" w:eastAsia="宋体" w:cs="宋体"/>
                      <w:sz w:val="22"/>
                      <w:szCs w:val="22"/>
                    </w:rPr>
                  </w:pPr>
                  <w:r>
                    <w:rPr>
                      <w:rFonts w:hint="eastAsia" w:ascii="宋体" w:hAnsi="宋体" w:eastAsia="宋体" w:cs="宋体"/>
                      <w:color w:val="000000"/>
                      <w:sz w:val="22"/>
                      <w:szCs w:val="22"/>
                      <w:lang w:val="en-US" w:eastAsia="zh-CN"/>
                    </w:rPr>
                    <w:t>24</w:t>
                  </w:r>
                  <w:r>
                    <w:rPr>
                      <w:rFonts w:hint="eastAsia" w:ascii="宋体" w:hAnsi="宋体" w:eastAsia="宋体" w:cs="宋体"/>
                      <w:color w:val="000000"/>
                      <w:sz w:val="22"/>
                      <w:szCs w:val="22"/>
                    </w:rPr>
                    <w:t>套</w:t>
                  </w:r>
                </w:p>
              </w:tc>
            </w:tr>
            <w:tr w14:paraId="7C323C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942BA6">
                  <w:pPr>
                    <w:pStyle w:val="15"/>
                    <w:keepNext w:val="0"/>
                    <w:keepLines w:val="0"/>
                    <w:pageBreakBefore w:val="0"/>
                    <w:kinsoku/>
                    <w:wordWrap/>
                    <w:overflowPunct/>
                    <w:topLinePunct w:val="0"/>
                    <w:autoSpaceDE/>
                    <w:autoSpaceDN/>
                    <w:bidi w:val="0"/>
                    <w:adjustRightInd/>
                    <w:snapToGrid/>
                    <w:spacing w:line="360" w:lineRule="auto"/>
                    <w:ind w:left="120" w:right="120"/>
                    <w:jc w:val="center"/>
                    <w:rPr>
                      <w:rFonts w:hint="eastAsia" w:ascii="宋体" w:hAnsi="宋体" w:eastAsia="宋体" w:cs="宋体"/>
                      <w:sz w:val="22"/>
                      <w:szCs w:val="22"/>
                    </w:rPr>
                  </w:pPr>
                  <w:r>
                    <w:rPr>
                      <w:rFonts w:hint="eastAsia" w:ascii="宋体" w:hAnsi="宋体" w:eastAsia="宋体" w:cs="宋体"/>
                      <w:sz w:val="22"/>
                      <w:szCs w:val="22"/>
                    </w:rPr>
                    <w:t>合计</w:t>
                  </w:r>
                </w:p>
              </w:tc>
              <w:tc>
                <w:tcPr>
                  <w:tcW w:w="3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01922D">
                  <w:pPr>
                    <w:pStyle w:val="15"/>
                    <w:spacing w:before="120" w:after="120" w:line="360" w:lineRule="auto"/>
                    <w:ind w:left="120" w:leftChars="0" w:right="120" w:rightChars="0"/>
                    <w:jc w:val="center"/>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70</w:t>
                  </w:r>
                  <w:r>
                    <w:rPr>
                      <w:rFonts w:hint="eastAsia" w:ascii="宋体" w:hAnsi="宋体" w:eastAsia="宋体" w:cs="宋体"/>
                      <w:color w:val="000000"/>
                      <w:sz w:val="22"/>
                      <w:szCs w:val="22"/>
                    </w:rPr>
                    <w:t>套</w:t>
                  </w:r>
                </w:p>
              </w:tc>
            </w:tr>
          </w:tbl>
          <w:p w14:paraId="608478A5">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按本项目要求按时完成月套餐服务、双系统终端、安全加密卡、MDM终端管控服务、省市互联链路、安装服务、运维服务、配套交换机等内容进行维护。</w:t>
            </w:r>
          </w:p>
          <w:p w14:paraId="6246C7DE">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w:t>
            </w:r>
            <w:r>
              <w:rPr>
                <w:rFonts w:hint="eastAsia" w:ascii="宋体" w:hAnsi="宋体" w:eastAsia="宋体" w:cs="宋体"/>
                <w:sz w:val="22"/>
                <w:szCs w:val="22"/>
                <w:lang w:val="en-US" w:eastAsia="zh-CN"/>
              </w:rPr>
              <w:t>自</w:t>
            </w:r>
            <w:r>
              <w:rPr>
                <w:rFonts w:hint="eastAsia" w:ascii="宋体" w:hAnsi="宋体" w:eastAsia="宋体" w:cs="宋体"/>
                <w:sz w:val="22"/>
                <w:szCs w:val="22"/>
              </w:rPr>
              <w:t>合同</w:t>
            </w:r>
            <w:r>
              <w:rPr>
                <w:rFonts w:hint="eastAsia" w:ascii="宋体" w:hAnsi="宋体" w:eastAsia="宋体" w:cs="宋体"/>
                <w:sz w:val="22"/>
                <w:szCs w:val="22"/>
                <w:lang w:val="en-US" w:eastAsia="zh-CN"/>
              </w:rPr>
              <w:t>生效</w:t>
            </w:r>
            <w:r>
              <w:rPr>
                <w:rFonts w:hint="eastAsia" w:ascii="宋体" w:hAnsi="宋体" w:eastAsia="宋体" w:cs="宋体"/>
                <w:sz w:val="22"/>
                <w:szCs w:val="22"/>
              </w:rPr>
              <w:t>后30个自然日内需保质保量交付项目采购的各项内容；项目周期里，如中标终端机型停产，</w:t>
            </w:r>
            <w:r>
              <w:rPr>
                <w:rFonts w:hint="eastAsia" w:ascii="宋体" w:hAnsi="宋体" w:eastAsia="宋体" w:cs="宋体"/>
                <w:sz w:val="22"/>
                <w:szCs w:val="22"/>
                <w:lang w:eastAsia="zh-CN"/>
              </w:rPr>
              <w:t>成交人</w:t>
            </w:r>
            <w:r>
              <w:rPr>
                <w:rFonts w:hint="eastAsia" w:ascii="宋体" w:hAnsi="宋体" w:eastAsia="宋体" w:cs="宋体"/>
                <w:sz w:val="22"/>
                <w:szCs w:val="22"/>
              </w:rPr>
              <w:t>需提供同等或更高性能的同品牌合规替代机型，差价由</w:t>
            </w:r>
            <w:r>
              <w:rPr>
                <w:rFonts w:hint="eastAsia" w:ascii="宋体" w:hAnsi="宋体" w:eastAsia="宋体" w:cs="宋体"/>
                <w:sz w:val="22"/>
                <w:szCs w:val="22"/>
                <w:lang w:eastAsia="zh-CN"/>
              </w:rPr>
              <w:t>成交人</w:t>
            </w:r>
            <w:r>
              <w:rPr>
                <w:rFonts w:hint="eastAsia" w:ascii="宋体" w:hAnsi="宋体" w:eastAsia="宋体" w:cs="宋体"/>
                <w:sz w:val="22"/>
                <w:szCs w:val="22"/>
              </w:rPr>
              <w:t>承担；合同所约定的服务时间和服务内容范围内，采购人预留未办理</w:t>
            </w:r>
            <w:r>
              <w:rPr>
                <w:rFonts w:hint="eastAsia" w:ascii="宋体" w:hAnsi="宋体" w:eastAsia="宋体" w:cs="宋体"/>
                <w:color w:val="000000"/>
                <w:sz w:val="22"/>
                <w:szCs w:val="22"/>
              </w:rPr>
              <w:t>的警务通终</w:t>
            </w:r>
            <w:r>
              <w:rPr>
                <w:rFonts w:hint="eastAsia" w:ascii="宋体" w:hAnsi="宋体" w:eastAsia="宋体" w:cs="宋体"/>
                <w:sz w:val="22"/>
                <w:szCs w:val="22"/>
              </w:rPr>
              <w:t>端、套餐、安全加密服务、MDM终端安全管控服务等，采购人可随时办理；服务期内，</w:t>
            </w:r>
            <w:r>
              <w:rPr>
                <w:rFonts w:hint="eastAsia" w:ascii="宋体" w:hAnsi="宋体" w:eastAsia="宋体" w:cs="宋体"/>
                <w:sz w:val="22"/>
                <w:szCs w:val="22"/>
                <w:lang w:eastAsia="zh-CN"/>
              </w:rPr>
              <w:t>成交人</w:t>
            </w:r>
            <w:r>
              <w:rPr>
                <w:rFonts w:hint="eastAsia" w:ascii="宋体" w:hAnsi="宋体" w:eastAsia="宋体" w:cs="宋体"/>
                <w:sz w:val="22"/>
                <w:szCs w:val="22"/>
              </w:rPr>
              <w:t>提供采购内容的免费维保及技术支持服务。</w:t>
            </w:r>
          </w:p>
          <w:p w14:paraId="2571E697">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highlight w:val="none"/>
                <w:lang w:bidi="ar"/>
              </w:rPr>
            </w:pPr>
            <w:r>
              <w:rPr>
                <w:rFonts w:hint="eastAsia" w:ascii="宋体" w:hAnsi="宋体" w:eastAsia="宋体" w:cs="宋体"/>
                <w:sz w:val="22"/>
                <w:szCs w:val="22"/>
                <w:lang w:val="en-US" w:eastAsia="zh-CN"/>
              </w:rPr>
              <w:t>4</w:t>
            </w:r>
            <w:r>
              <w:rPr>
                <w:rFonts w:hint="eastAsia" w:ascii="宋体" w:hAnsi="宋体" w:eastAsia="宋体" w:cs="宋体"/>
                <w:sz w:val="22"/>
                <w:szCs w:val="22"/>
              </w:rPr>
              <w:t>.服务期内终端发生故障时，</w:t>
            </w:r>
            <w:r>
              <w:rPr>
                <w:rFonts w:hint="eastAsia" w:ascii="宋体" w:hAnsi="宋体" w:eastAsia="宋体" w:cs="宋体"/>
                <w:sz w:val="22"/>
                <w:szCs w:val="22"/>
                <w:lang w:eastAsia="zh-CN"/>
              </w:rPr>
              <w:t>成交人</w:t>
            </w:r>
            <w:r>
              <w:rPr>
                <w:rFonts w:hint="eastAsia" w:ascii="宋体" w:hAnsi="宋体" w:eastAsia="宋体" w:cs="宋体"/>
                <w:sz w:val="22"/>
                <w:szCs w:val="22"/>
              </w:rPr>
              <w:t>或其委托维修单位须在采购人监督下开展维修工作。</w:t>
            </w:r>
          </w:p>
        </w:tc>
        <w:tc>
          <w:tcPr>
            <w:tcW w:w="1774" w:type="dxa"/>
            <w:vAlign w:val="top"/>
          </w:tcPr>
          <w:p w14:paraId="3562817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13" w:type="dxa"/>
            <w:vAlign w:val="top"/>
          </w:tcPr>
          <w:p w14:paraId="45AB7CD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125" w:type="dxa"/>
            <w:vAlign w:val="top"/>
          </w:tcPr>
          <w:p w14:paraId="2668C28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25E88F1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2FEB98F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4098C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27471C40">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38" w:type="dxa"/>
            <w:vAlign w:val="top"/>
          </w:tcPr>
          <w:p w14:paraId="7FF0B59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2B1722A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5FF1838C">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（二）具体维护内容：</w:t>
            </w:r>
          </w:p>
          <w:p w14:paraId="1D0DF679">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1.确保移动警务终端正常使用，链路状态稳定，与省厅移动警务安全认证正常连接，支撑移动警务应用正常使用。</w:t>
            </w:r>
          </w:p>
          <w:p w14:paraId="0EDAC36B">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2.稳定的高带宽接入，APN 用户不需绕行运营商核心网，缩短逻辑路径，降低时延。</w:t>
            </w:r>
          </w:p>
          <w:p w14:paraId="60841235">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3.MEC 本地部署，配置灵活，利于业务部署和调整。</w:t>
            </w:r>
          </w:p>
          <w:p w14:paraId="73738ED7">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4.可通过无线网切片技术，实现客户的无线专网，确保数据安全性和保密性。</w:t>
            </w:r>
          </w:p>
          <w:p w14:paraId="75BD2D53">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5.接入白名单要求：将本项目涉及的警务通号码设为白名单，优先加入附近基站。</w:t>
            </w:r>
          </w:p>
          <w:p w14:paraId="70581195">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6.针对采购人实际需求提供相应的网络优化保障服务，例如大型活动、重要会议、节日保障以及特殊区域与位置的网络信号加强与优化保障。</w:t>
            </w:r>
          </w:p>
          <w:p w14:paraId="083C1C0B">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7.MDM终端管控系统</w:t>
            </w:r>
          </w:p>
          <w:p w14:paraId="06D07821">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7.1.基本维护服务，基本服务指为保证系统正常运行所需的预防性维护、日常维护支持、数据备份支持等工作。包括：①日常维护技术支持：对系统进行维护，监控应用软件运行情况，保证系统正常运行。②数据安全性管理技术支持：对系统的数据备份和恢复进行技术支持，以备在异常情况下尽快恢复系统。</w:t>
            </w:r>
          </w:p>
          <w:p w14:paraId="53E02B12">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7.2.①升级支持服务，版本升级技术支持：应用软件版本的升级支撑服务。②第三方软件升级：在采购人已经购买的第三方软件的升级服务的情况下，成交人应在第三方软件升级时进行相关的技术支持。③7*24小时电话技术咨询服务。④技术资料支持。提供全面详实的系统技术资料，当系统或网络发生变化时在5个工作日内更新相关文档。</w:t>
            </w:r>
          </w:p>
          <w:p w14:paraId="4FFF9E27">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7.3.故障排除。工作日要求运维人员5分钟内响应，10分钟内开展故障排查，30分钟内定位问题，1小时内将问题解决，如硬件故障要求2小时内提供备用硬件到达现场更换。非工作日要求10分钟内响应，30分钟内到达现场，2小时内解决问题，硬件故障要求6小时内更换新备件解决问题。</w:t>
            </w:r>
          </w:p>
          <w:p w14:paraId="6C069752">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8.安全加密卡服务需求</w:t>
            </w:r>
          </w:p>
          <w:p w14:paraId="7EE6AF14">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8.1.功能需求，安全加密卡需经国家密码管理局安全审查，采用国产密码算法。可放置在一般的SIM 卡上再插入智能终端的卡槽中，可为智能终端提供身份认证和信息加密服务，提供的主要加密服务包括：</w:t>
            </w:r>
          </w:p>
          <w:p w14:paraId="268CE11C">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8.1.1.用于存储个人数字身份证书和签名私钥，为移动警务终端提供数字签名、签名验证和数据加解密等密码服务。</w:t>
            </w:r>
          </w:p>
          <w:p w14:paraId="110CE959">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8.1.2.用于实现SM1 算法和密钥管理，为移动警务终端提供基于 SM1 算法的数据加解密服务。移动警务终端设备配备安全加密卡，安装安全客户端软件后，具备以下功能：</w:t>
            </w:r>
          </w:p>
          <w:p w14:paraId="239AFAD0">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8.1.2.1.用户识别功能：安全加密卡提供基于PIN码的用户识别功能，合法用户可以设置和修改用户口令，非法用户无法通过口令验证，因而也无法使用移动应用功能；此外，PIN 码验证提供防暴力破解功能，连续错误输入口令次数超过设定次数将导致安全加密卡PIN 码被锁定。</w:t>
            </w:r>
          </w:p>
          <w:p w14:paraId="1A808A66">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8.1.2.2.信息安全存储功能：安全加密卡通过访问控制提供密钥等关键信息的安全存储，该信息的存储对访问进行了特殊标记；对称密钥信息加密存储，必须通过用户身份识别后才能进行读写。</w:t>
            </w:r>
          </w:p>
          <w:p w14:paraId="0BE9488D">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8.1.2.3.密码学运算功能：安全加密卡主要提供的密码学运算有：随机数生成国密SM1算法、国密 SM2算法、SHA1杂凑算法、RSA1024算法等。</w:t>
            </w:r>
          </w:p>
          <w:p w14:paraId="4C4F8E13">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8.2.参数需求</w:t>
            </w:r>
          </w:p>
          <w:p w14:paraId="478219CE">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8.2.2.支持标准SIM 卡、Micro SIM 卡和 Nano SIM 卡三种 SIM 卡类型。</w:t>
            </w:r>
          </w:p>
          <w:p w14:paraId="4D28F1BD">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8.2.3.支持国密算法高速加解密，可满足流媒体加密需求。</w:t>
            </w:r>
          </w:p>
          <w:p w14:paraId="20A0398F">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8.2.4.低功耗设计，满足手机的应用环境。</w:t>
            </w:r>
          </w:p>
          <w:p w14:paraId="4DDE4150">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8.2.5.支持基于国密算法的移动应用分发，防止未授权的应用访问。</w:t>
            </w:r>
          </w:p>
          <w:p w14:paraId="5E62CC7C">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8.2.6.全面支持Android、鸿蒙等主流操作系统平台。</w:t>
            </w:r>
          </w:p>
          <w:p w14:paraId="09686D38">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8.2.7.安全加密卡支持SM1、SM2、SM3、SM4 等国密算法。</w:t>
            </w:r>
          </w:p>
          <w:p w14:paraId="0F6E10C0">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8.2.8.安全加密卡可存储个人数字身份证书和签名私钥，为移动终端提供数字签名、签名验证和数据加密等密码服务。</w:t>
            </w:r>
          </w:p>
          <w:p w14:paraId="70F7C274">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8.2.9.安全加密卡可实现SM2 算法和密钥管理，为移动终端提供基于 SM2 算法的数据加解密服务。</w:t>
            </w:r>
          </w:p>
          <w:p w14:paraId="46766BFA">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8.2.11. SIM 卡可与安全加密卡插在同一卡槽。</w:t>
            </w:r>
          </w:p>
          <w:p w14:paraId="0D2810DE">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8.2.12. SM2 密钥对生成不少于 0.1s/对。</w:t>
            </w:r>
          </w:p>
          <w:p w14:paraId="1F986188">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8.2.13. SM2 签名不少于 13 次/s。</w:t>
            </w:r>
          </w:p>
          <w:p w14:paraId="4F4F06FE">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8.2.14. SM2 验证不少于 12 次/s。</w:t>
            </w:r>
          </w:p>
          <w:p w14:paraId="05A4A5A9">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8.2.15. SM2 加密不少于 5Kbps。</w:t>
            </w:r>
          </w:p>
          <w:p w14:paraId="191056DF">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8.2.16. SM2 解密不少于 6Kbps。</w:t>
            </w:r>
          </w:p>
          <w:p w14:paraId="405D2908">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8.2.17. SM3 摘要不少于 19Kbps。</w:t>
            </w:r>
          </w:p>
          <w:p w14:paraId="35C71664">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8.2.18. SM1 加解密不少于 13Kbps。</w:t>
            </w:r>
          </w:p>
          <w:p w14:paraId="4F951EC1">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8.2.19. SM4 加解密不少于 10Mbps。</w:t>
            </w:r>
          </w:p>
          <w:p w14:paraId="228FD3D4">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8.2.20.工作温度：-25℃到+85℃；存放温度：-40℃到+125℃。</w:t>
            </w:r>
          </w:p>
          <w:p w14:paraId="3FDFD8FB">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8.2.3认证需求，安全加密卡应具备与达到等级保护（三级）安全水平的移动通信服务平台实现身份认证能力；</w:t>
            </w:r>
          </w:p>
        </w:tc>
        <w:tc>
          <w:tcPr>
            <w:tcW w:w="1774" w:type="dxa"/>
            <w:vAlign w:val="top"/>
          </w:tcPr>
          <w:p w14:paraId="0F4B8F1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13" w:type="dxa"/>
            <w:vAlign w:val="top"/>
          </w:tcPr>
          <w:p w14:paraId="475DA06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125" w:type="dxa"/>
            <w:vAlign w:val="top"/>
          </w:tcPr>
          <w:p w14:paraId="4688879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2A91AB0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0E62627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31FDD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5EFBB1D3">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38" w:type="dxa"/>
            <w:vAlign w:val="top"/>
          </w:tcPr>
          <w:p w14:paraId="140D5E2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5B300D9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01F5D5A8">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六、现场技术支持</w:t>
            </w:r>
          </w:p>
          <w:p w14:paraId="72B46C3A">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1.提供平台定期巡检、故障检查、故障诊断、数据整理、数据备份迁移、服务联调等工作；提供在线7*24小时在线支持服务。</w:t>
            </w:r>
          </w:p>
          <w:p w14:paraId="60EE42A2">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2.移动平台终端软件版本配合省厅平台定期升级服务，包括新终端适配、软件功能升级、应用测试和适配、平台功能迭代升级等服务。</w:t>
            </w:r>
          </w:p>
          <w:p w14:paraId="4D084EFA">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3.按需求提供相应的移动警务终端服务、移动警务通信服务、流量套餐配置服务、MDM 终端安全管控服务、安装服务、运维服务，并提供相应的业务办理服务及保障。</w:t>
            </w:r>
          </w:p>
          <w:p w14:paraId="3CEA5AC8">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eastAsia="zh-CN"/>
              </w:rPr>
              <w:t>成交人</w:t>
            </w:r>
            <w:r>
              <w:rPr>
                <w:rFonts w:hint="eastAsia" w:ascii="宋体" w:hAnsi="宋体" w:eastAsia="宋体" w:cs="宋体"/>
                <w:sz w:val="22"/>
                <w:szCs w:val="22"/>
              </w:rPr>
              <w:t>必须向采购人提供本项目采购的所有软件模块的安装、测试和维护服务的全部内容。</w:t>
            </w:r>
          </w:p>
          <w:p w14:paraId="4477B5E2">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eastAsia="zh-CN"/>
              </w:rPr>
              <w:t>成交人</w:t>
            </w:r>
            <w:r>
              <w:rPr>
                <w:rFonts w:hint="eastAsia" w:ascii="宋体" w:hAnsi="宋体" w:eastAsia="宋体" w:cs="宋体"/>
                <w:sz w:val="22"/>
                <w:szCs w:val="22"/>
              </w:rPr>
              <w:t>须提供项目所有管理、实施、</w:t>
            </w:r>
            <w:r>
              <w:rPr>
                <w:rFonts w:hint="eastAsia" w:ascii="宋体" w:hAnsi="宋体" w:eastAsia="宋体" w:cs="宋体"/>
                <w:sz w:val="22"/>
                <w:szCs w:val="22"/>
                <w:lang w:val="en-US" w:eastAsia="zh-CN"/>
              </w:rPr>
              <w:t>运维</w:t>
            </w:r>
            <w:r>
              <w:rPr>
                <w:rFonts w:hint="eastAsia" w:ascii="宋体" w:hAnsi="宋体" w:eastAsia="宋体" w:cs="宋体"/>
                <w:sz w:val="22"/>
                <w:szCs w:val="22"/>
              </w:rPr>
              <w:t>人员的社保证明或与其签订的劳动合同或服务协议等资料给采购人审核后方可进场。</w:t>
            </w:r>
          </w:p>
          <w:p w14:paraId="3A613AB2">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6.服务期内，</w:t>
            </w:r>
            <w:r>
              <w:rPr>
                <w:rFonts w:hint="eastAsia" w:ascii="宋体" w:hAnsi="宋体" w:eastAsia="宋体" w:cs="宋体"/>
                <w:sz w:val="22"/>
                <w:szCs w:val="22"/>
                <w:lang w:eastAsia="zh-CN"/>
              </w:rPr>
              <w:t>成交人</w:t>
            </w:r>
            <w:r>
              <w:rPr>
                <w:rFonts w:hint="eastAsia" w:ascii="宋体" w:hAnsi="宋体" w:eastAsia="宋体" w:cs="宋体"/>
                <w:sz w:val="22"/>
                <w:szCs w:val="22"/>
              </w:rPr>
              <w:t>对提供的软硬件产品提供质量保证服务及产品免费技术支持售后服务。</w:t>
            </w:r>
          </w:p>
        </w:tc>
        <w:tc>
          <w:tcPr>
            <w:tcW w:w="1774" w:type="dxa"/>
            <w:vAlign w:val="top"/>
          </w:tcPr>
          <w:p w14:paraId="34F59D4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13" w:type="dxa"/>
            <w:vAlign w:val="top"/>
          </w:tcPr>
          <w:p w14:paraId="6FA5D20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125" w:type="dxa"/>
            <w:vAlign w:val="top"/>
          </w:tcPr>
          <w:p w14:paraId="7060B86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30F5846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3AD6764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540AE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651311F0">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38" w:type="dxa"/>
            <w:vAlign w:val="top"/>
          </w:tcPr>
          <w:p w14:paraId="2960EA1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75ED0E1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1C1A31E7">
            <w:pPr>
              <w:pStyle w:val="15"/>
              <w:keepNext w:val="0"/>
              <w:keepLines w:val="0"/>
              <w:pageBreakBefore w:val="0"/>
              <w:kinsoku/>
              <w:wordWrap/>
              <w:overflowPunct/>
              <w:topLinePunct w:val="0"/>
              <w:autoSpaceDE/>
              <w:autoSpaceDN/>
              <w:bidi w:val="0"/>
              <w:adjustRightInd/>
              <w:snapToGrid/>
              <w:spacing w:line="360" w:lineRule="auto"/>
              <w:jc w:val="both"/>
              <w:outlineLvl w:val="3"/>
              <w:rPr>
                <w:rFonts w:hint="eastAsia" w:ascii="宋体" w:hAnsi="宋体" w:eastAsia="宋体" w:cs="宋体"/>
                <w:sz w:val="22"/>
                <w:szCs w:val="22"/>
              </w:rPr>
            </w:pPr>
            <w:r>
              <w:rPr>
                <w:rFonts w:hint="eastAsia" w:ascii="宋体" w:hAnsi="宋体" w:eastAsia="宋体" w:cs="宋体"/>
                <w:b/>
                <w:sz w:val="22"/>
                <w:szCs w:val="22"/>
                <w:lang w:val="en-US" w:eastAsia="zh-CN"/>
              </w:rPr>
              <w:t>八、</w:t>
            </w:r>
            <w:r>
              <w:rPr>
                <w:rFonts w:hint="eastAsia" w:ascii="宋体" w:hAnsi="宋体" w:eastAsia="宋体" w:cs="宋体"/>
                <w:b/>
                <w:sz w:val="22"/>
                <w:szCs w:val="22"/>
              </w:rPr>
              <w:t>设备清单</w:t>
            </w:r>
          </w:p>
          <w:tbl>
            <w:tblPr>
              <w:tblStyle w:val="13"/>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89"/>
              <w:gridCol w:w="875"/>
              <w:gridCol w:w="2988"/>
              <w:gridCol w:w="612"/>
              <w:gridCol w:w="738"/>
              <w:gridCol w:w="825"/>
            </w:tblGrid>
            <w:tr w14:paraId="78626D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9" w:type="dxa"/>
                  <w:tcBorders>
                    <w:top w:val="single" w:color="000000" w:sz="4" w:space="0"/>
                    <w:left w:val="single" w:color="000000" w:sz="4" w:space="0"/>
                    <w:bottom w:val="single" w:color="000000" w:sz="4" w:space="0"/>
                    <w:right w:val="single" w:color="000000" w:sz="4" w:space="0"/>
                  </w:tcBorders>
                  <w:shd w:val="clear" w:color="auto" w:fill="E0E0E0"/>
                  <w:tcMar>
                    <w:top w:w="0" w:type="dxa"/>
                    <w:left w:w="105" w:type="dxa"/>
                    <w:bottom w:w="0" w:type="dxa"/>
                    <w:right w:w="105" w:type="dxa"/>
                  </w:tcMar>
                  <w:vAlign w:val="top"/>
                </w:tcPr>
                <w:p w14:paraId="6BF0692F">
                  <w:pPr>
                    <w:pStyle w:val="15"/>
                    <w:spacing w:line="360" w:lineRule="auto"/>
                    <w:jc w:val="center"/>
                    <w:rPr>
                      <w:rFonts w:hint="eastAsia" w:ascii="宋体" w:hAnsi="宋体" w:eastAsia="宋体" w:cs="宋体"/>
                      <w:sz w:val="22"/>
                      <w:szCs w:val="22"/>
                    </w:rPr>
                  </w:pPr>
                  <w:r>
                    <w:rPr>
                      <w:rFonts w:hint="eastAsia" w:ascii="宋体" w:hAnsi="宋体" w:eastAsia="宋体" w:cs="宋体"/>
                      <w:b/>
                      <w:sz w:val="22"/>
                      <w:szCs w:val="22"/>
                    </w:rPr>
                    <w:t>序号</w:t>
                  </w:r>
                </w:p>
              </w:tc>
              <w:tc>
                <w:tcPr>
                  <w:tcW w:w="875" w:type="dxa"/>
                  <w:tcBorders>
                    <w:top w:val="single" w:color="000000" w:sz="4" w:space="0"/>
                    <w:left w:val="nil"/>
                    <w:bottom w:val="single" w:color="000000" w:sz="4" w:space="0"/>
                    <w:right w:val="single" w:color="000000" w:sz="4" w:space="0"/>
                  </w:tcBorders>
                  <w:shd w:val="clear" w:color="auto" w:fill="E0E0E0"/>
                  <w:tcMar>
                    <w:top w:w="0" w:type="dxa"/>
                    <w:left w:w="105" w:type="dxa"/>
                    <w:bottom w:w="0" w:type="dxa"/>
                    <w:right w:w="105" w:type="dxa"/>
                  </w:tcMar>
                  <w:vAlign w:val="top"/>
                </w:tcPr>
                <w:p w14:paraId="3E1416BF">
                  <w:pPr>
                    <w:pStyle w:val="15"/>
                    <w:spacing w:line="360" w:lineRule="auto"/>
                    <w:jc w:val="center"/>
                    <w:rPr>
                      <w:rFonts w:hint="eastAsia" w:ascii="宋体" w:hAnsi="宋体" w:eastAsia="宋体" w:cs="宋体"/>
                      <w:sz w:val="22"/>
                      <w:szCs w:val="22"/>
                    </w:rPr>
                  </w:pPr>
                  <w:r>
                    <w:rPr>
                      <w:rFonts w:hint="eastAsia" w:ascii="宋体" w:hAnsi="宋体" w:eastAsia="宋体" w:cs="宋体"/>
                      <w:b/>
                      <w:sz w:val="22"/>
                      <w:szCs w:val="22"/>
                    </w:rPr>
                    <w:t>服务名称</w:t>
                  </w:r>
                </w:p>
              </w:tc>
              <w:tc>
                <w:tcPr>
                  <w:tcW w:w="2988" w:type="dxa"/>
                  <w:tcBorders>
                    <w:top w:val="single" w:color="000000" w:sz="4" w:space="0"/>
                    <w:left w:val="nil"/>
                    <w:bottom w:val="single" w:color="000000" w:sz="4" w:space="0"/>
                    <w:right w:val="single" w:color="000000" w:sz="4" w:space="0"/>
                  </w:tcBorders>
                  <w:shd w:val="clear" w:color="auto" w:fill="E0E0E0"/>
                  <w:tcMar>
                    <w:top w:w="0" w:type="dxa"/>
                    <w:left w:w="105" w:type="dxa"/>
                    <w:bottom w:w="0" w:type="dxa"/>
                    <w:right w:w="105" w:type="dxa"/>
                  </w:tcMar>
                  <w:vAlign w:val="top"/>
                </w:tcPr>
                <w:p w14:paraId="5F73EB8A">
                  <w:pPr>
                    <w:pStyle w:val="15"/>
                    <w:spacing w:line="360" w:lineRule="auto"/>
                    <w:jc w:val="center"/>
                    <w:rPr>
                      <w:rFonts w:hint="eastAsia" w:ascii="宋体" w:hAnsi="宋体" w:eastAsia="宋体" w:cs="宋体"/>
                      <w:sz w:val="22"/>
                      <w:szCs w:val="22"/>
                    </w:rPr>
                  </w:pPr>
                  <w:r>
                    <w:rPr>
                      <w:rFonts w:hint="eastAsia" w:ascii="宋体" w:hAnsi="宋体" w:eastAsia="宋体" w:cs="宋体"/>
                      <w:b/>
                      <w:sz w:val="22"/>
                      <w:szCs w:val="22"/>
                    </w:rPr>
                    <w:t>具体内容</w:t>
                  </w:r>
                </w:p>
              </w:tc>
              <w:tc>
                <w:tcPr>
                  <w:tcW w:w="612" w:type="dxa"/>
                  <w:tcBorders>
                    <w:top w:val="single" w:color="000000" w:sz="4" w:space="0"/>
                    <w:left w:val="nil"/>
                    <w:bottom w:val="single" w:color="000000" w:sz="4" w:space="0"/>
                    <w:right w:val="single" w:color="000000" w:sz="4" w:space="0"/>
                  </w:tcBorders>
                  <w:shd w:val="clear" w:color="auto" w:fill="E0E0E0"/>
                  <w:tcMar>
                    <w:top w:w="0" w:type="dxa"/>
                    <w:left w:w="105" w:type="dxa"/>
                    <w:bottom w:w="0" w:type="dxa"/>
                    <w:right w:w="105" w:type="dxa"/>
                  </w:tcMar>
                  <w:vAlign w:val="top"/>
                </w:tcPr>
                <w:p w14:paraId="669B0DF3">
                  <w:pPr>
                    <w:pStyle w:val="15"/>
                    <w:spacing w:line="360" w:lineRule="auto"/>
                    <w:jc w:val="center"/>
                    <w:rPr>
                      <w:rFonts w:hint="eastAsia" w:ascii="宋体" w:hAnsi="宋体" w:eastAsia="宋体" w:cs="宋体"/>
                      <w:sz w:val="22"/>
                      <w:szCs w:val="22"/>
                    </w:rPr>
                  </w:pPr>
                  <w:r>
                    <w:rPr>
                      <w:rFonts w:hint="eastAsia" w:ascii="宋体" w:hAnsi="宋体" w:eastAsia="宋体" w:cs="宋体"/>
                      <w:b/>
                      <w:sz w:val="22"/>
                      <w:szCs w:val="22"/>
                    </w:rPr>
                    <w:t>单位</w:t>
                  </w:r>
                </w:p>
              </w:tc>
              <w:tc>
                <w:tcPr>
                  <w:tcW w:w="738" w:type="dxa"/>
                  <w:tcBorders>
                    <w:top w:val="single" w:color="000000" w:sz="4" w:space="0"/>
                    <w:left w:val="nil"/>
                    <w:bottom w:val="single" w:color="000000" w:sz="4" w:space="0"/>
                    <w:right w:val="single" w:color="000000" w:sz="4" w:space="0"/>
                  </w:tcBorders>
                  <w:shd w:val="clear" w:color="auto" w:fill="E0E0E0"/>
                  <w:tcMar>
                    <w:top w:w="0" w:type="dxa"/>
                    <w:left w:w="105" w:type="dxa"/>
                    <w:bottom w:w="0" w:type="dxa"/>
                    <w:right w:w="105" w:type="dxa"/>
                  </w:tcMar>
                  <w:vAlign w:val="top"/>
                </w:tcPr>
                <w:p w14:paraId="353D164E">
                  <w:pPr>
                    <w:pStyle w:val="15"/>
                    <w:spacing w:line="360" w:lineRule="auto"/>
                    <w:jc w:val="center"/>
                    <w:rPr>
                      <w:rFonts w:hint="eastAsia" w:ascii="宋体" w:hAnsi="宋体" w:eastAsia="宋体" w:cs="宋体"/>
                      <w:sz w:val="22"/>
                      <w:szCs w:val="22"/>
                    </w:rPr>
                  </w:pPr>
                  <w:r>
                    <w:rPr>
                      <w:rFonts w:hint="eastAsia" w:ascii="宋体" w:hAnsi="宋体" w:eastAsia="宋体" w:cs="宋体"/>
                      <w:b/>
                      <w:sz w:val="22"/>
                      <w:szCs w:val="22"/>
                    </w:rPr>
                    <w:t>数量</w:t>
                  </w:r>
                </w:p>
              </w:tc>
              <w:tc>
                <w:tcPr>
                  <w:tcW w:w="825" w:type="dxa"/>
                  <w:tcBorders>
                    <w:top w:val="single" w:color="000000" w:sz="4" w:space="0"/>
                    <w:left w:val="nil"/>
                    <w:bottom w:val="single" w:color="000000" w:sz="4" w:space="0"/>
                    <w:right w:val="single" w:color="000000" w:sz="4" w:space="0"/>
                  </w:tcBorders>
                  <w:shd w:val="clear" w:color="auto" w:fill="E0E0E0"/>
                  <w:tcMar>
                    <w:top w:w="0" w:type="dxa"/>
                    <w:left w:w="105" w:type="dxa"/>
                    <w:bottom w:w="0" w:type="dxa"/>
                    <w:right w:w="105" w:type="dxa"/>
                  </w:tcMar>
                  <w:vAlign w:val="top"/>
                </w:tcPr>
                <w:p w14:paraId="473F612D">
                  <w:pPr>
                    <w:pStyle w:val="15"/>
                    <w:spacing w:line="360" w:lineRule="auto"/>
                    <w:jc w:val="center"/>
                    <w:rPr>
                      <w:rFonts w:hint="eastAsia" w:ascii="宋体" w:hAnsi="宋体" w:eastAsia="宋体" w:cs="宋体"/>
                      <w:sz w:val="22"/>
                      <w:szCs w:val="22"/>
                    </w:rPr>
                  </w:pPr>
                  <w:r>
                    <w:rPr>
                      <w:rFonts w:hint="eastAsia" w:ascii="宋体" w:hAnsi="宋体" w:eastAsia="宋体" w:cs="宋体"/>
                      <w:b/>
                      <w:sz w:val="22"/>
                      <w:szCs w:val="22"/>
                    </w:rPr>
                    <w:t>服务时间（月）</w:t>
                  </w:r>
                </w:p>
              </w:tc>
            </w:tr>
            <w:tr w14:paraId="690F0C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DCBF78">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FEF650">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月套餐</w:t>
                  </w:r>
                </w:p>
              </w:tc>
              <w:tc>
                <w:tcPr>
                  <w:tcW w:w="2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D6293B">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警务通：</w:t>
                  </w:r>
                </w:p>
                <w:p w14:paraId="71BA8D86">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1.每月通话不少于700分钟、100条短信、30G互联网流量、30G移动警务专网流量(全局用户专网流量形成流量池，各用户从流量池中使用专网流量)。当月互联网流量、专网流量未用完则结转下个月使用。本项目内警务通手机号码互打免费。</w:t>
                  </w:r>
                </w:p>
              </w:tc>
              <w:tc>
                <w:tcPr>
                  <w:tcW w:w="6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759A10">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套</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948B4E">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170</w:t>
                  </w: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978321">
                  <w:pPr>
                    <w:pStyle w:val="15"/>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val="en-US" w:eastAsia="zh-CN"/>
                    </w:rPr>
                    <w:t>3</w:t>
                  </w:r>
                </w:p>
              </w:tc>
            </w:tr>
            <w:tr w14:paraId="5F5A43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366A6">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CC645E">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双系统移动终端</w:t>
                  </w:r>
                </w:p>
              </w:tc>
              <w:tc>
                <w:tcPr>
                  <w:tcW w:w="2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70FC0D">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color w:val="000000"/>
                      <w:sz w:val="22"/>
                      <w:szCs w:val="22"/>
                    </w:rPr>
                    <w:t>满足公安部《智能手机型移动警务终端第1部分:增强受控终端或多模式终端技术要求》（GA/T1466.1-2018）《智能手机型移动警务终端第2部分：安全监控组件技术规范》（GA/T1466.2-2018）要求</w:t>
                  </w:r>
                  <w:r>
                    <w:rPr>
                      <w:rFonts w:hint="eastAsia" w:ascii="宋体" w:hAnsi="宋体" w:eastAsia="宋体" w:cs="宋体"/>
                      <w:sz w:val="22"/>
                      <w:szCs w:val="22"/>
                    </w:rPr>
                    <w:t>。</w:t>
                  </w:r>
                </w:p>
                <w:p w14:paraId="29B62597">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2.性能要求：详见“终端设备清单”。</w:t>
                  </w:r>
                </w:p>
                <w:p w14:paraId="08BF7AC3">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5.服务期内，本项目所租赁的软硬件</w:t>
                  </w:r>
                  <w:r>
                    <w:rPr>
                      <w:rFonts w:hint="eastAsia" w:ascii="宋体" w:hAnsi="宋体" w:eastAsia="宋体" w:cs="宋体"/>
                      <w:sz w:val="22"/>
                      <w:szCs w:val="22"/>
                      <w:lang w:eastAsia="zh-CN"/>
                    </w:rPr>
                    <w:t>成交人</w:t>
                  </w:r>
                  <w:r>
                    <w:rPr>
                      <w:rFonts w:hint="eastAsia" w:ascii="宋体" w:hAnsi="宋体" w:eastAsia="宋体" w:cs="宋体"/>
                      <w:sz w:val="22"/>
                      <w:szCs w:val="22"/>
                    </w:rPr>
                    <w:t>均需免费维保（维修时需免费提供同型号或同品牌符合要求更高型号维修备用机）</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若</w:t>
                  </w:r>
                  <w:r>
                    <w:rPr>
                      <w:rFonts w:hint="eastAsia" w:ascii="宋体" w:hAnsi="宋体" w:eastAsia="宋体" w:cs="宋体"/>
                      <w:sz w:val="22"/>
                      <w:szCs w:val="22"/>
                    </w:rPr>
                    <w:t>终端设备</w:t>
                  </w:r>
                  <w:r>
                    <w:rPr>
                      <w:rFonts w:hint="eastAsia" w:ascii="宋体" w:hAnsi="宋体" w:eastAsia="宋体" w:cs="宋体"/>
                      <w:sz w:val="22"/>
                      <w:szCs w:val="22"/>
                      <w:lang w:val="en-US" w:eastAsia="zh-CN"/>
                    </w:rPr>
                    <w:t>屏幕出现故障 (人为故意损坏除外）</w:t>
                  </w:r>
                  <w:r>
                    <w:rPr>
                      <w:rFonts w:hint="eastAsia" w:ascii="宋体" w:hAnsi="宋体" w:eastAsia="宋体" w:cs="宋体"/>
                      <w:sz w:val="22"/>
                      <w:szCs w:val="22"/>
                      <w:lang w:eastAsia="zh-CN"/>
                    </w:rPr>
                    <w:t>成交人</w:t>
                  </w:r>
                  <w:r>
                    <w:rPr>
                      <w:rFonts w:hint="eastAsia" w:ascii="宋体" w:hAnsi="宋体" w:eastAsia="宋体" w:cs="宋体"/>
                      <w:sz w:val="22"/>
                      <w:szCs w:val="22"/>
                    </w:rPr>
                    <w:t>需免费换屏。</w:t>
                  </w:r>
                </w:p>
                <w:p w14:paraId="1F631180">
                  <w:pPr>
                    <w:pStyle w:val="15"/>
                    <w:spacing w:line="360" w:lineRule="auto"/>
                    <w:jc w:val="left"/>
                    <w:rPr>
                      <w:rFonts w:hint="eastAsia" w:ascii="宋体" w:hAnsi="宋体" w:eastAsia="宋体" w:cs="宋体"/>
                      <w:sz w:val="22"/>
                      <w:szCs w:val="22"/>
                    </w:rPr>
                  </w:pPr>
                  <w:r>
                    <w:rPr>
                      <w:rFonts w:hint="eastAsia" w:ascii="宋体" w:hAnsi="宋体" w:eastAsia="宋体" w:cs="宋体"/>
                      <w:sz w:val="22"/>
                      <w:szCs w:val="22"/>
                    </w:rPr>
                    <w:t>6.根据</w:t>
                  </w:r>
                  <w:r>
                    <w:rPr>
                      <w:rFonts w:hint="eastAsia" w:ascii="宋体" w:hAnsi="宋体" w:eastAsia="宋体" w:cs="宋体"/>
                      <w:color w:val="000000"/>
                      <w:sz w:val="22"/>
                      <w:szCs w:val="22"/>
                    </w:rPr>
                    <w:t>采购人</w:t>
                  </w:r>
                  <w:r>
                    <w:rPr>
                      <w:rFonts w:hint="eastAsia" w:ascii="宋体" w:hAnsi="宋体" w:eastAsia="宋体" w:cs="宋体"/>
                      <w:sz w:val="22"/>
                      <w:szCs w:val="22"/>
                    </w:rPr>
                    <w:t>要求定制开机动画。</w:t>
                  </w:r>
                </w:p>
                <w:p w14:paraId="1F281D1D">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7.服务期满后终端自然报废，不回收。</w:t>
                  </w:r>
                </w:p>
              </w:tc>
              <w:tc>
                <w:tcPr>
                  <w:tcW w:w="6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488484">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台</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820AFD">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170</w:t>
                  </w: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B130E5">
                  <w:pPr>
                    <w:pStyle w:val="15"/>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val="en-US" w:eastAsia="zh-CN"/>
                    </w:rPr>
                    <w:t>3</w:t>
                  </w:r>
                </w:p>
              </w:tc>
            </w:tr>
            <w:tr w14:paraId="6C8060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C01BFD">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4AF5B1">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安全加密卡服务</w:t>
                  </w:r>
                </w:p>
              </w:tc>
              <w:tc>
                <w:tcPr>
                  <w:tcW w:w="2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AB215">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1.用户识别功能：</w:t>
                  </w:r>
                </w:p>
                <w:p w14:paraId="7B1836FC">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安全加密卡提供基于PIN 码的用户识别功能，合法用户可以设置和修改用户口令，非法用户无法通过口令验证，因而也无法使用移动应用功能；此外，PIN码验证提供防暴力破解功能，连续错误输入口令次数超过设定次数将导致安全卡PIN码被锁定。</w:t>
                  </w:r>
                </w:p>
                <w:p w14:paraId="1EC6954B">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2.信息安全存储功能：</w:t>
                  </w:r>
                </w:p>
                <w:p w14:paraId="0C745234">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安全加密卡通过访问控制提供密钥等关键信息的安全存储，该信息的存储对访问进行了特殊标记；对称密钥信息加密存储，必须通过用户身份识别后才能进行读写。</w:t>
                  </w:r>
                </w:p>
                <w:p w14:paraId="7E785E3D">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3.密码学运算功能：</w:t>
                  </w:r>
                </w:p>
                <w:p w14:paraId="178A1B9A">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安全加密卡主要提供的密码学运算主要有：随机数生成国密SM1 算法、国密 SM2 算法、SHA1 杂凑算法、RSA1024 算法等，其余要求详见“安全加密卡服务需求”。</w:t>
                  </w:r>
                </w:p>
              </w:tc>
              <w:tc>
                <w:tcPr>
                  <w:tcW w:w="6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A3EC7C">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张</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813086">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170</w:t>
                  </w: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2304FB">
                  <w:pPr>
                    <w:pStyle w:val="15"/>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val="en-US" w:eastAsia="zh-CN"/>
                    </w:rPr>
                    <w:t>3</w:t>
                  </w:r>
                </w:p>
              </w:tc>
            </w:tr>
            <w:tr w14:paraId="741B08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8791FC">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C2D2B">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MDM终端安全管控服务</w:t>
                  </w:r>
                </w:p>
              </w:tc>
              <w:tc>
                <w:tcPr>
                  <w:tcW w:w="2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2C1DEE">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1.开放平台API功能：提供管控能力开放 API，方便与统一业务平台和安全接入平台系统进行对接集成。还可以对界面进行定制化。</w:t>
                  </w:r>
                </w:p>
                <w:p w14:paraId="13465F48">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3.大屏显示：支持在系统首页大屏显示系统关键数据，包括：设备状态、用户信息、系统状态监控、设备状态、设备违规情况、策略执行情况、应用安装情况等关键数据显示。</w:t>
                  </w:r>
                </w:p>
                <w:p w14:paraId="046838F0">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4.在线帮助：管理平台支持在线帮助的功能，在每个页面上点击右上角的问号，即可在浏览器新的Tab页打开当前所在页面的帮助信息。帮助信息包括每个功能页面的菜单导航操作、功能说明、FAQ、常用名词解释等信息。</w:t>
                  </w:r>
                </w:p>
                <w:p w14:paraId="794DD630">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5.管理员分级权限细分至操作：管理平台提供的权限模板可以将权限分配至每个模块下面对应的操作，实现更细粒度的控制。同时，管理员还可以选择不同的权限模板快速创建下级管理员。</w:t>
                  </w:r>
                </w:p>
                <w:p w14:paraId="7E46EAC4">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6.移动控制台：提供管理平台的移动APP，支持双因子验证、自动登录和IP锁定功能。在移动管理控制台可进行系统监控和部分轻量操作。</w:t>
                  </w:r>
                </w:p>
                <w:p w14:paraId="02DC1220">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7.二维码激活：支持通过二维码下载客户端，通过扫描二维码激活设备，支持在用户列表预览/下载激活二维码，提高激活工作效率。</w:t>
                  </w:r>
                </w:p>
                <w:p w14:paraId="003AB3E1">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8.用户扩展字段：管理员可以给用户添加扩展字段，用于保存用户的扩展信息如警号，最多五个字段。</w:t>
                  </w:r>
                </w:p>
                <w:p w14:paraId="04B05B50">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9.用户标签：支持静态标签和动态标签，可根据删选条件灵活设置标签。</w:t>
                  </w:r>
                </w:p>
                <w:p w14:paraId="040D7D1C">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10.必装应用设置：下发或更新警务应用时，提供多种灵活设置，可以设置应用必装或按需安装，支持静默安装、按时安装。并可统计用户应用安装情况。</w:t>
                  </w:r>
                </w:p>
                <w:p w14:paraId="240AA127">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11.安全容器：提供企业应用安全容器，支持将企业应用推送到安全容器，支持应用数据加解密功能，支持一键清除容器应用产生的数据，支持对容器应用的内部数据复制、剪切、粘贴功能控制，支持启动/禁用容器应用、支持是否允许使用相机、麦克风、地理位置、读取短信、联系人、通话记录、手机号码、发送短信、媒体库、蓝牙、拨打电话、数据共享和打印功能。</w:t>
                  </w:r>
                </w:p>
                <w:p w14:paraId="65BE16C1">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12.移动杀毒：提供企业杀毒客户端，支持配置自动扫描和处理危险的应用程序，手动扫描、升级病毒库，支持记录设备的所有杀毒记录，包括扫描时间、扫描应用数量、危险应用数量。</w:t>
                  </w:r>
                </w:p>
                <w:p w14:paraId="0CAAAF91">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13.安全浏览器：提供安全浏览器功能，支持设置网址黑白名单，设置书签，上传网址访问记录功能。</w:t>
                  </w:r>
                </w:p>
                <w:p w14:paraId="15B61430">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14.远程协助：支持远程协助功能，当警务终端用户出现问题时，可在管理后台远程协助显示终端界面，快速解决问题，提高工作效率。</w:t>
                  </w:r>
                </w:p>
                <w:p w14:paraId="690E2E2A">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15.时间/地理WL：支持通过时间或地理纬度实现WL功能，支持在WL内连续锁屏、配置移动数据WF、禁用摄像头、禁用蓝牙、相机安全提示、安全提示、通话白名单。</w:t>
                  </w:r>
                </w:p>
                <w:p w14:paraId="5824A014">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16.机卡绑定：可设置机卡绑定策略，防止用户私自更换SIM 卡。</w:t>
                  </w:r>
                </w:p>
                <w:p w14:paraId="4D85E8F6">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17.报表：强大的报表功能，支持提供设备激活记录、资产报表、设备已安装应用报表、设备淘汰报表、设备违规处理报表、设备杀毒报表、UEM 客户端统计报表、通话记录报表、短信记录报表、数据流量报表、用户详情报表、应用详情报表、应用安装统计报表、应用黑白名单报表、合规策略报表、内容报表。并支持导出为 excel 或 pdf 格式，支持报表订阅，租赁服务期内免费维保服务，满足公安部、广东省公安厅对终端管控要求。</w:t>
                  </w:r>
                </w:p>
              </w:tc>
              <w:tc>
                <w:tcPr>
                  <w:tcW w:w="6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89844F">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套</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240C4C">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170</w:t>
                  </w: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7C10F0">
                  <w:pPr>
                    <w:pStyle w:val="15"/>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val="en-US" w:eastAsia="zh-CN"/>
                    </w:rPr>
                    <w:t>3</w:t>
                  </w:r>
                </w:p>
              </w:tc>
            </w:tr>
            <w:tr w14:paraId="7FA073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E74EFE">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5</w:t>
                  </w:r>
                </w:p>
              </w:tc>
              <w:tc>
                <w:tcPr>
                  <w:tcW w:w="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640D49">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终端安装服务</w:t>
                  </w:r>
                </w:p>
              </w:tc>
              <w:tc>
                <w:tcPr>
                  <w:tcW w:w="2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0C6A83">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移动终端安装、调试（刷Rom、制作加密卡、设置拨号帐号、APP程序等）。</w:t>
                  </w:r>
                </w:p>
              </w:tc>
              <w:tc>
                <w:tcPr>
                  <w:tcW w:w="6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CF96DD">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个</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C4CDE0">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170</w:t>
                  </w: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944174">
                  <w:pPr>
                    <w:pStyle w:val="15"/>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val="en-US" w:eastAsia="zh-CN"/>
                    </w:rPr>
                    <w:t>3</w:t>
                  </w:r>
                </w:p>
              </w:tc>
            </w:tr>
            <w:tr w14:paraId="347A48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05F062">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6</w:t>
                  </w:r>
                </w:p>
              </w:tc>
              <w:tc>
                <w:tcPr>
                  <w:tcW w:w="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FEFCC">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省市互联链路</w:t>
                  </w:r>
                </w:p>
              </w:tc>
              <w:tc>
                <w:tcPr>
                  <w:tcW w:w="2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31D800">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1.移动警务系统终端到中山市局移动警务系统（VPN无线连接）3Gb带宽链路1条。</w:t>
                  </w:r>
                </w:p>
                <w:p w14:paraId="2F250BBF">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2.中山市局移动警务系统到广东省公安厅身份认证及安全接入3Gb带宽链路1条。</w:t>
                  </w:r>
                </w:p>
                <w:p w14:paraId="18BD298B">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3.中山市局移动警务系统到中山本地视频专网的3Gb带宽链路1条。</w:t>
                  </w:r>
                </w:p>
              </w:tc>
              <w:tc>
                <w:tcPr>
                  <w:tcW w:w="6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9BFC50">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条</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5FA3E5">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395F52">
                  <w:pPr>
                    <w:pStyle w:val="15"/>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val="en-US" w:eastAsia="zh-CN"/>
                    </w:rPr>
                    <w:t>3</w:t>
                  </w:r>
                </w:p>
              </w:tc>
            </w:tr>
            <w:tr w14:paraId="20A002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1FA12E">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7</w:t>
                  </w:r>
                </w:p>
              </w:tc>
              <w:tc>
                <w:tcPr>
                  <w:tcW w:w="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27F124">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终端维护服务</w:t>
                  </w:r>
                </w:p>
              </w:tc>
              <w:tc>
                <w:tcPr>
                  <w:tcW w:w="2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115D62">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1.提供平台定期巡检、故障检查、故障诊断、数据整理、数据备份迁移、服务联调等工作；提供在线7*24小时在线支持服务。</w:t>
                  </w:r>
                </w:p>
                <w:p w14:paraId="21BD9856">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2.移动平台终端软件版本配合省厅平台定期升级服务，包括新终端适配、软件功能升级、应用测试和适配、平台功能迭代升级等服务。</w:t>
                  </w:r>
                </w:p>
              </w:tc>
              <w:tc>
                <w:tcPr>
                  <w:tcW w:w="6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A7D649">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项</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A51D5A">
                  <w:pPr>
                    <w:pStyle w:val="15"/>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A6548B">
                  <w:pPr>
                    <w:pStyle w:val="15"/>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val="en-US" w:eastAsia="zh-CN"/>
                    </w:rPr>
                    <w:t>3</w:t>
                  </w:r>
                </w:p>
              </w:tc>
            </w:tr>
          </w:tbl>
          <w:p w14:paraId="13E4BBEA">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lang w:val="en-US" w:eastAsia="zh-CN"/>
              </w:rPr>
            </w:pPr>
          </w:p>
        </w:tc>
        <w:tc>
          <w:tcPr>
            <w:tcW w:w="1774" w:type="dxa"/>
            <w:vAlign w:val="top"/>
          </w:tcPr>
          <w:p w14:paraId="6C5FD87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13" w:type="dxa"/>
            <w:vAlign w:val="top"/>
          </w:tcPr>
          <w:p w14:paraId="32BAEA1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125" w:type="dxa"/>
            <w:vAlign w:val="top"/>
          </w:tcPr>
          <w:p w14:paraId="4CEA402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7B8BE73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6D1D169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29C18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141AEC74">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38" w:type="dxa"/>
            <w:vAlign w:val="top"/>
          </w:tcPr>
          <w:p w14:paraId="5E6336C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034C64C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6AE6A5E0">
            <w:pPr>
              <w:pStyle w:val="15"/>
              <w:keepNext w:val="0"/>
              <w:keepLines w:val="0"/>
              <w:pageBreakBefore w:val="0"/>
              <w:kinsoku/>
              <w:wordWrap/>
              <w:overflowPunct/>
              <w:topLinePunct w:val="0"/>
              <w:autoSpaceDE/>
              <w:autoSpaceDN/>
              <w:bidi w:val="0"/>
              <w:adjustRightInd/>
              <w:snapToGrid/>
              <w:spacing w:line="360" w:lineRule="auto"/>
              <w:jc w:val="both"/>
              <w:outlineLvl w:val="3"/>
              <w:rPr>
                <w:rFonts w:hint="eastAsia" w:ascii="宋体" w:hAnsi="宋体" w:eastAsia="宋体" w:cs="宋体"/>
                <w:sz w:val="22"/>
                <w:szCs w:val="22"/>
              </w:rPr>
            </w:pPr>
            <w:r>
              <w:rPr>
                <w:rFonts w:hint="eastAsia" w:ascii="宋体" w:hAnsi="宋体" w:eastAsia="宋体" w:cs="宋体"/>
                <w:b/>
                <w:sz w:val="22"/>
                <w:szCs w:val="22"/>
                <w:lang w:val="en-US" w:eastAsia="zh-CN"/>
              </w:rPr>
              <w:t>九、</w:t>
            </w:r>
            <w:r>
              <w:rPr>
                <w:rFonts w:hint="eastAsia" w:ascii="宋体" w:hAnsi="宋体" w:eastAsia="宋体" w:cs="宋体"/>
                <w:b/>
                <w:sz w:val="22"/>
                <w:szCs w:val="22"/>
              </w:rPr>
              <w:t>终端设备清单</w:t>
            </w:r>
          </w:p>
          <w:p w14:paraId="4CE3D8C3">
            <w:pPr>
              <w:pStyle w:val="15"/>
              <w:keepNext w:val="0"/>
              <w:keepLines w:val="0"/>
              <w:pageBreakBefore w:val="0"/>
              <w:kinsoku/>
              <w:wordWrap/>
              <w:overflowPunct/>
              <w:topLinePunct w:val="0"/>
              <w:autoSpaceDE/>
              <w:autoSpaceDN/>
              <w:bidi w:val="0"/>
              <w:adjustRightInd/>
              <w:snapToGrid/>
              <w:spacing w:line="360" w:lineRule="auto"/>
              <w:jc w:val="both"/>
              <w:outlineLvl w:val="4"/>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一</w:t>
            </w:r>
            <w:r>
              <w:rPr>
                <w:rFonts w:hint="eastAsia" w:ascii="宋体" w:hAnsi="宋体" w:eastAsia="宋体" w:cs="宋体"/>
                <w:b/>
                <w:sz w:val="22"/>
                <w:szCs w:val="22"/>
                <w:lang w:eastAsia="zh-CN"/>
              </w:rPr>
              <w:t>）</w:t>
            </w:r>
            <w:r>
              <w:rPr>
                <w:rFonts w:hint="eastAsia" w:ascii="宋体" w:hAnsi="宋体" w:eastAsia="宋体" w:cs="宋体"/>
                <w:b/>
                <w:sz w:val="22"/>
                <w:szCs w:val="22"/>
              </w:rPr>
              <w:t>终端A参数</w:t>
            </w:r>
          </w:p>
          <w:tbl>
            <w:tblPr>
              <w:tblStyle w:val="13"/>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89"/>
              <w:gridCol w:w="1138"/>
              <w:gridCol w:w="4500"/>
            </w:tblGrid>
            <w:tr w14:paraId="491652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000000" w:sz="4" w:space="0"/>
                    <w:left w:val="single" w:color="000000" w:sz="4" w:space="0"/>
                    <w:bottom w:val="single" w:color="000000" w:sz="4" w:space="0"/>
                    <w:right w:val="single" w:color="000000" w:sz="4" w:space="0"/>
                  </w:tcBorders>
                  <w:shd w:val="clear" w:color="auto" w:fill="BFBFBF"/>
                  <w:tcMar>
                    <w:top w:w="0" w:type="dxa"/>
                    <w:left w:w="105" w:type="dxa"/>
                    <w:bottom w:w="0" w:type="dxa"/>
                    <w:right w:w="105" w:type="dxa"/>
                  </w:tcMar>
                  <w:vAlign w:val="top"/>
                </w:tcPr>
                <w:p w14:paraId="04CA29C6">
                  <w:pPr>
                    <w:pStyle w:val="15"/>
                    <w:spacing w:line="360" w:lineRule="auto"/>
                    <w:jc w:val="center"/>
                    <w:rPr>
                      <w:rFonts w:hint="eastAsia" w:ascii="宋体" w:hAnsi="宋体" w:eastAsia="宋体" w:cs="宋体"/>
                      <w:sz w:val="22"/>
                      <w:szCs w:val="22"/>
                    </w:rPr>
                  </w:pPr>
                  <w:r>
                    <w:rPr>
                      <w:rFonts w:hint="eastAsia" w:ascii="宋体" w:hAnsi="宋体" w:eastAsia="宋体" w:cs="宋体"/>
                      <w:b/>
                      <w:color w:val="000000"/>
                      <w:sz w:val="22"/>
                      <w:szCs w:val="22"/>
                    </w:rPr>
                    <w:t>分类</w:t>
                  </w:r>
                </w:p>
              </w:tc>
              <w:tc>
                <w:tcPr>
                  <w:tcW w:w="1138" w:type="dxa"/>
                  <w:tcBorders>
                    <w:top w:val="single" w:color="000000" w:sz="4" w:space="0"/>
                    <w:left w:val="nil"/>
                    <w:bottom w:val="single" w:color="000000" w:sz="4" w:space="0"/>
                    <w:right w:val="single" w:color="000000" w:sz="4" w:space="0"/>
                  </w:tcBorders>
                  <w:shd w:val="clear" w:color="auto" w:fill="BFBFBF"/>
                  <w:tcMar>
                    <w:top w:w="0" w:type="dxa"/>
                    <w:left w:w="105" w:type="dxa"/>
                    <w:bottom w:w="0" w:type="dxa"/>
                    <w:right w:w="105" w:type="dxa"/>
                  </w:tcMar>
                  <w:vAlign w:val="top"/>
                </w:tcPr>
                <w:p w14:paraId="76F34E79">
                  <w:pPr>
                    <w:pStyle w:val="15"/>
                    <w:spacing w:line="360" w:lineRule="auto"/>
                    <w:jc w:val="center"/>
                    <w:rPr>
                      <w:rFonts w:hint="eastAsia" w:ascii="宋体" w:hAnsi="宋体" w:eastAsia="宋体" w:cs="宋体"/>
                      <w:sz w:val="22"/>
                      <w:szCs w:val="22"/>
                    </w:rPr>
                  </w:pPr>
                  <w:r>
                    <w:rPr>
                      <w:rFonts w:hint="eastAsia" w:ascii="宋体" w:hAnsi="宋体" w:eastAsia="宋体" w:cs="宋体"/>
                      <w:b/>
                      <w:color w:val="000000"/>
                      <w:sz w:val="22"/>
                      <w:szCs w:val="22"/>
                    </w:rPr>
                    <w:t>分项</w:t>
                  </w:r>
                </w:p>
              </w:tc>
              <w:tc>
                <w:tcPr>
                  <w:tcW w:w="4500" w:type="dxa"/>
                  <w:tcBorders>
                    <w:top w:val="single" w:color="000000" w:sz="4" w:space="0"/>
                    <w:left w:val="nil"/>
                    <w:bottom w:val="single" w:color="000000" w:sz="4" w:space="0"/>
                    <w:right w:val="single" w:color="000000" w:sz="4" w:space="0"/>
                  </w:tcBorders>
                  <w:shd w:val="clear" w:color="auto" w:fill="BFBFBF"/>
                  <w:tcMar>
                    <w:top w:w="0" w:type="dxa"/>
                    <w:left w:w="105" w:type="dxa"/>
                    <w:bottom w:w="0" w:type="dxa"/>
                    <w:right w:w="105" w:type="dxa"/>
                  </w:tcMar>
                  <w:vAlign w:val="top"/>
                </w:tcPr>
                <w:p w14:paraId="39E610EA">
                  <w:pPr>
                    <w:pStyle w:val="15"/>
                    <w:spacing w:line="360" w:lineRule="auto"/>
                    <w:jc w:val="center"/>
                    <w:rPr>
                      <w:rFonts w:hint="eastAsia" w:ascii="宋体" w:hAnsi="宋体" w:eastAsia="宋体" w:cs="宋体"/>
                      <w:sz w:val="22"/>
                      <w:szCs w:val="22"/>
                    </w:rPr>
                  </w:pPr>
                  <w:r>
                    <w:rPr>
                      <w:rFonts w:hint="eastAsia" w:ascii="宋体" w:hAnsi="宋体" w:eastAsia="宋体" w:cs="宋体"/>
                      <w:b/>
                      <w:color w:val="000000"/>
                      <w:sz w:val="22"/>
                      <w:szCs w:val="22"/>
                    </w:rPr>
                    <w:t>技术参数</w:t>
                  </w:r>
                </w:p>
              </w:tc>
            </w:tr>
            <w:tr w14:paraId="2AB552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320F2F">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通用</w:t>
                  </w:r>
                </w:p>
                <w:p w14:paraId="07401D0B">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配置</w:t>
                  </w:r>
                </w:p>
                <w:p w14:paraId="20C2287F">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要求</w:t>
                  </w:r>
                </w:p>
              </w:tc>
              <w:tc>
                <w:tcPr>
                  <w:tcW w:w="1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830D15">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基本需求</w:t>
                  </w:r>
                </w:p>
              </w:tc>
              <w:tc>
                <w:tcPr>
                  <w:tcW w:w="4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300DBA">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3.终端均需含原装充电器、充电线。</w:t>
                  </w:r>
                </w:p>
              </w:tc>
            </w:tr>
            <w:tr w14:paraId="3F1038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35B0A076">
                  <w:pPr>
                    <w:spacing w:line="360" w:lineRule="auto"/>
                    <w:rPr>
                      <w:rFonts w:hint="eastAsia" w:ascii="宋体" w:hAnsi="宋体" w:eastAsia="宋体" w:cs="宋体"/>
                      <w:sz w:val="22"/>
                      <w:szCs w:val="22"/>
                    </w:rPr>
                  </w:pPr>
                </w:p>
              </w:tc>
              <w:tc>
                <w:tcPr>
                  <w:tcW w:w="1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081D34">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操作系统</w:t>
                  </w:r>
                </w:p>
              </w:tc>
              <w:tc>
                <w:tcPr>
                  <w:tcW w:w="4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811D6C">
                  <w:pPr>
                    <w:pStyle w:val="15"/>
                    <w:spacing w:line="360" w:lineRule="auto"/>
                    <w:jc w:val="left"/>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color w:val="000000"/>
                      <w:sz w:val="22"/>
                      <w:szCs w:val="22"/>
                    </w:rPr>
                    <w:t>1.安卓Android10.0 及以上或国产操作系统；</w:t>
                  </w:r>
                </w:p>
              </w:tc>
            </w:tr>
            <w:tr w14:paraId="1ECC3E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03835AD9">
                  <w:pPr>
                    <w:spacing w:line="360" w:lineRule="auto"/>
                    <w:rPr>
                      <w:rFonts w:hint="eastAsia" w:ascii="宋体" w:hAnsi="宋体" w:eastAsia="宋体" w:cs="宋体"/>
                      <w:sz w:val="22"/>
                      <w:szCs w:val="22"/>
                    </w:rPr>
                  </w:pPr>
                </w:p>
              </w:tc>
              <w:tc>
                <w:tcPr>
                  <w:tcW w:w="1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28EC8C">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网络支持</w:t>
                  </w:r>
                </w:p>
              </w:tc>
              <w:tc>
                <w:tcPr>
                  <w:tcW w:w="4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723799">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1.支持标准SIM 卡（15*25mm）、Micro SIM 卡（15*12mm）、Nano SIM（12.3*8.8mm）中的一种；</w:t>
                  </w:r>
                </w:p>
              </w:tc>
            </w:tr>
            <w:tr w14:paraId="2A42DF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69EB3C18">
                  <w:pPr>
                    <w:spacing w:line="360" w:lineRule="auto"/>
                    <w:rPr>
                      <w:rFonts w:hint="eastAsia" w:ascii="宋体" w:hAnsi="宋体" w:eastAsia="宋体" w:cs="宋体"/>
                      <w:sz w:val="22"/>
                      <w:szCs w:val="22"/>
                    </w:rPr>
                  </w:pPr>
                </w:p>
              </w:tc>
              <w:tc>
                <w:tcPr>
                  <w:tcW w:w="1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92EC4F">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传感器</w:t>
                  </w:r>
                </w:p>
              </w:tc>
              <w:tc>
                <w:tcPr>
                  <w:tcW w:w="4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3E8229">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1.支持RL识别；</w:t>
                  </w:r>
                </w:p>
                <w:p w14:paraId="1C0B4DE3">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2.具备NFC 功能。</w:t>
                  </w:r>
                </w:p>
              </w:tc>
            </w:tr>
            <w:tr w14:paraId="259B19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5FC8A073">
                  <w:pPr>
                    <w:spacing w:line="360" w:lineRule="auto"/>
                    <w:rPr>
                      <w:rFonts w:hint="eastAsia" w:ascii="宋体" w:hAnsi="宋体" w:eastAsia="宋体" w:cs="宋体"/>
                      <w:sz w:val="22"/>
                      <w:szCs w:val="22"/>
                    </w:rPr>
                  </w:pPr>
                </w:p>
              </w:tc>
              <w:tc>
                <w:tcPr>
                  <w:tcW w:w="1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150A14">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摄像头</w:t>
                  </w:r>
                </w:p>
              </w:tc>
              <w:tc>
                <w:tcPr>
                  <w:tcW w:w="4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86228C">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1.后置摄像头：≥5000万像素超光变摄像头(OIS光学防抖)，≥1200万像素超广角摄像头，≥1200万像素长焦摄像头（OIS光学防抖），支持自动对焦；</w:t>
                  </w:r>
                </w:p>
                <w:p w14:paraId="4527186A">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2.前置摄像头：≥1300万像素超广角摄像头；</w:t>
                  </w:r>
                </w:p>
                <w:p w14:paraId="43437F37">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3.配置LED 闪光灯，支持手电筒模式。</w:t>
                  </w:r>
                </w:p>
              </w:tc>
            </w:tr>
            <w:tr w14:paraId="6DF742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5AB829C5">
                  <w:pPr>
                    <w:spacing w:line="360" w:lineRule="auto"/>
                    <w:rPr>
                      <w:rFonts w:hint="eastAsia" w:ascii="宋体" w:hAnsi="宋体" w:eastAsia="宋体" w:cs="宋体"/>
                      <w:sz w:val="22"/>
                      <w:szCs w:val="22"/>
                    </w:rPr>
                  </w:pPr>
                </w:p>
              </w:tc>
              <w:tc>
                <w:tcPr>
                  <w:tcW w:w="1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2DE1D">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传输功能</w:t>
                  </w:r>
                </w:p>
              </w:tc>
              <w:tc>
                <w:tcPr>
                  <w:tcW w:w="4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F29E1E">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1.WLAN 协议 802.11 a/b/g/n/ac/ax,2x2z；</w:t>
                  </w:r>
                </w:p>
                <w:p w14:paraId="0125ADB5">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2.WLAN 频率 2.4GHz 和 5GHz；</w:t>
                  </w:r>
                </w:p>
                <w:p w14:paraId="65B40ED4">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3.支持WLAN 直连；</w:t>
                  </w:r>
                </w:p>
                <w:p w14:paraId="481B900A">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4.支持不低于Bluetooth5.2 协议；</w:t>
                  </w:r>
                </w:p>
                <w:p w14:paraId="6F6430C2">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5.支持USB3.1 GEN1 及以上高速传输标准及充电功能和 OTG 功能。</w:t>
                  </w:r>
                </w:p>
              </w:tc>
            </w:tr>
            <w:tr w14:paraId="661161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72DEF8F6">
                  <w:pPr>
                    <w:spacing w:line="360" w:lineRule="auto"/>
                    <w:rPr>
                      <w:rFonts w:hint="eastAsia" w:ascii="宋体" w:hAnsi="宋体" w:eastAsia="宋体" w:cs="宋体"/>
                      <w:sz w:val="22"/>
                      <w:szCs w:val="22"/>
                    </w:rPr>
                  </w:pPr>
                </w:p>
              </w:tc>
              <w:tc>
                <w:tcPr>
                  <w:tcW w:w="1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C6119D">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防护能力</w:t>
                  </w:r>
                </w:p>
              </w:tc>
              <w:tc>
                <w:tcPr>
                  <w:tcW w:w="4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3A2D8B">
                  <w:pPr>
                    <w:pStyle w:val="15"/>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持在GB/T 4208-2017（国内）标准下达到 IP68级防尘抗水能力。</w:t>
                  </w:r>
                </w:p>
              </w:tc>
            </w:tr>
            <w:tr w14:paraId="22E617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43F77B84">
                  <w:pPr>
                    <w:spacing w:line="360" w:lineRule="auto"/>
                    <w:rPr>
                      <w:rFonts w:hint="eastAsia" w:ascii="宋体" w:hAnsi="宋体" w:eastAsia="宋体" w:cs="宋体"/>
                      <w:sz w:val="22"/>
                      <w:szCs w:val="22"/>
                    </w:rPr>
                  </w:pPr>
                </w:p>
              </w:tc>
              <w:tc>
                <w:tcPr>
                  <w:tcW w:w="1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D43560">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其它</w:t>
                  </w:r>
                </w:p>
              </w:tc>
              <w:tc>
                <w:tcPr>
                  <w:tcW w:w="4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0E98C4">
                  <w:pPr>
                    <w:pStyle w:val="15"/>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1.工作系统和互联网系统能手动任意切换，支持指纹切换、快捷按钮切换；</w:t>
                  </w:r>
                </w:p>
                <w:p w14:paraId="512D0A70">
                  <w:pPr>
                    <w:pStyle w:val="15"/>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2.工作系统应具备语音电话白名单或者等同功能；</w:t>
                  </w:r>
                </w:p>
                <w:p w14:paraId="48CDB62F">
                  <w:pPr>
                    <w:pStyle w:val="15"/>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4.终端可按需求出厂预制主流警务软件及APN 参数。</w:t>
                  </w:r>
                </w:p>
              </w:tc>
            </w:tr>
            <w:tr w14:paraId="466894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B0C177">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性能</w:t>
                  </w:r>
                </w:p>
                <w:p w14:paraId="7732FB32">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要求</w:t>
                  </w:r>
                </w:p>
              </w:tc>
              <w:tc>
                <w:tcPr>
                  <w:tcW w:w="113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0C2DD95">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屏幕性能</w:t>
                  </w:r>
                </w:p>
              </w:tc>
              <w:tc>
                <w:tcPr>
                  <w:tcW w:w="450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5934261">
                  <w:pPr>
                    <w:pStyle w:val="15"/>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1.尺寸应为≥6.6 英寸；</w:t>
                  </w:r>
                </w:p>
                <w:p w14:paraId="1928C747">
                  <w:pPr>
                    <w:pStyle w:val="15"/>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2.色彩应为≥10.7亿色， P3 广色域；</w:t>
                  </w:r>
                </w:p>
                <w:p w14:paraId="42CE1E61">
                  <w:pPr>
                    <w:pStyle w:val="15"/>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3.屏幕类型：OLED 显示屏；</w:t>
                  </w:r>
                </w:p>
                <w:p w14:paraId="5BF4ACBA">
                  <w:pPr>
                    <w:pStyle w:val="15"/>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5.多点触控触摸屏，最多支持10点触控。</w:t>
                  </w:r>
                </w:p>
              </w:tc>
            </w:tr>
            <w:tr w14:paraId="37FE8F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3D1D3937">
                  <w:pPr>
                    <w:spacing w:line="360" w:lineRule="auto"/>
                    <w:rPr>
                      <w:rFonts w:hint="eastAsia" w:ascii="宋体" w:hAnsi="宋体" w:eastAsia="宋体" w:cs="宋体"/>
                      <w:sz w:val="22"/>
                      <w:szCs w:val="22"/>
                    </w:rPr>
                  </w:pPr>
                </w:p>
              </w:tc>
              <w:tc>
                <w:tcPr>
                  <w:tcW w:w="1138" w:type="dxa"/>
                  <w:vMerge w:val="continue"/>
                  <w:tcBorders>
                    <w:top w:val="nil"/>
                    <w:left w:val="nil"/>
                    <w:bottom w:val="single" w:color="000000" w:sz="4" w:space="0"/>
                    <w:right w:val="single" w:color="000000" w:sz="4" w:space="0"/>
                  </w:tcBorders>
                </w:tcPr>
                <w:p w14:paraId="72650DF5">
                  <w:pPr>
                    <w:spacing w:line="360" w:lineRule="auto"/>
                    <w:rPr>
                      <w:rFonts w:hint="eastAsia" w:ascii="宋体" w:hAnsi="宋体" w:eastAsia="宋体" w:cs="宋体"/>
                      <w:sz w:val="22"/>
                      <w:szCs w:val="22"/>
                    </w:rPr>
                  </w:pPr>
                </w:p>
              </w:tc>
              <w:tc>
                <w:tcPr>
                  <w:tcW w:w="4500" w:type="dxa"/>
                  <w:vMerge w:val="continue"/>
                  <w:tcBorders>
                    <w:top w:val="nil"/>
                    <w:left w:val="nil"/>
                    <w:bottom w:val="single" w:color="000000" w:sz="4" w:space="0"/>
                    <w:right w:val="single" w:color="000000" w:sz="4" w:space="0"/>
                  </w:tcBorders>
                </w:tcPr>
                <w:p w14:paraId="7EB228EA">
                  <w:pPr>
                    <w:spacing w:line="360" w:lineRule="auto"/>
                    <w:rPr>
                      <w:rFonts w:hint="eastAsia" w:ascii="宋体" w:hAnsi="宋体" w:eastAsia="宋体" w:cs="宋体"/>
                      <w:sz w:val="22"/>
                      <w:szCs w:val="22"/>
                    </w:rPr>
                  </w:pPr>
                </w:p>
              </w:tc>
            </w:tr>
            <w:tr w14:paraId="4AE44E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6873357F">
                  <w:pPr>
                    <w:spacing w:line="360" w:lineRule="auto"/>
                    <w:rPr>
                      <w:rFonts w:hint="eastAsia" w:ascii="宋体" w:hAnsi="宋体" w:eastAsia="宋体" w:cs="宋体"/>
                      <w:sz w:val="22"/>
                      <w:szCs w:val="22"/>
                    </w:rPr>
                  </w:pPr>
                </w:p>
              </w:tc>
              <w:tc>
                <w:tcPr>
                  <w:tcW w:w="1138" w:type="dxa"/>
                  <w:vMerge w:val="continue"/>
                  <w:tcBorders>
                    <w:top w:val="nil"/>
                    <w:left w:val="nil"/>
                    <w:bottom w:val="single" w:color="000000" w:sz="4" w:space="0"/>
                    <w:right w:val="single" w:color="000000" w:sz="4" w:space="0"/>
                  </w:tcBorders>
                </w:tcPr>
                <w:p w14:paraId="23FECEB9">
                  <w:pPr>
                    <w:spacing w:line="360" w:lineRule="auto"/>
                    <w:rPr>
                      <w:rFonts w:hint="eastAsia" w:ascii="宋体" w:hAnsi="宋体" w:eastAsia="宋体" w:cs="宋体"/>
                      <w:sz w:val="22"/>
                      <w:szCs w:val="22"/>
                    </w:rPr>
                  </w:pPr>
                </w:p>
              </w:tc>
              <w:tc>
                <w:tcPr>
                  <w:tcW w:w="4500" w:type="dxa"/>
                  <w:vMerge w:val="continue"/>
                  <w:tcBorders>
                    <w:top w:val="nil"/>
                    <w:left w:val="nil"/>
                    <w:bottom w:val="single" w:color="000000" w:sz="4" w:space="0"/>
                    <w:right w:val="single" w:color="000000" w:sz="4" w:space="0"/>
                  </w:tcBorders>
                </w:tcPr>
                <w:p w14:paraId="709261BC">
                  <w:pPr>
                    <w:spacing w:line="360" w:lineRule="auto"/>
                    <w:rPr>
                      <w:rFonts w:hint="eastAsia" w:ascii="宋体" w:hAnsi="宋体" w:eastAsia="宋体" w:cs="宋体"/>
                      <w:sz w:val="22"/>
                      <w:szCs w:val="22"/>
                    </w:rPr>
                  </w:pPr>
                </w:p>
              </w:tc>
            </w:tr>
            <w:tr w14:paraId="324B50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14770C0F">
                  <w:pPr>
                    <w:spacing w:line="360" w:lineRule="auto"/>
                    <w:rPr>
                      <w:rFonts w:hint="eastAsia" w:ascii="宋体" w:hAnsi="宋体" w:eastAsia="宋体" w:cs="宋体"/>
                      <w:sz w:val="22"/>
                      <w:szCs w:val="22"/>
                    </w:rPr>
                  </w:pPr>
                </w:p>
              </w:tc>
              <w:tc>
                <w:tcPr>
                  <w:tcW w:w="1138" w:type="dxa"/>
                  <w:vMerge w:val="continue"/>
                  <w:tcBorders>
                    <w:top w:val="nil"/>
                    <w:left w:val="nil"/>
                    <w:bottom w:val="single" w:color="000000" w:sz="4" w:space="0"/>
                    <w:right w:val="single" w:color="000000" w:sz="4" w:space="0"/>
                  </w:tcBorders>
                </w:tcPr>
                <w:p w14:paraId="55C2F7F9">
                  <w:pPr>
                    <w:spacing w:line="360" w:lineRule="auto"/>
                    <w:rPr>
                      <w:rFonts w:hint="eastAsia" w:ascii="宋体" w:hAnsi="宋体" w:eastAsia="宋体" w:cs="宋体"/>
                      <w:sz w:val="22"/>
                      <w:szCs w:val="22"/>
                    </w:rPr>
                  </w:pPr>
                </w:p>
              </w:tc>
              <w:tc>
                <w:tcPr>
                  <w:tcW w:w="4500" w:type="dxa"/>
                  <w:vMerge w:val="continue"/>
                  <w:tcBorders>
                    <w:top w:val="nil"/>
                    <w:left w:val="nil"/>
                    <w:bottom w:val="single" w:color="000000" w:sz="4" w:space="0"/>
                    <w:right w:val="single" w:color="000000" w:sz="4" w:space="0"/>
                  </w:tcBorders>
                </w:tcPr>
                <w:p w14:paraId="2E6B2F05">
                  <w:pPr>
                    <w:spacing w:line="360" w:lineRule="auto"/>
                    <w:rPr>
                      <w:rFonts w:hint="eastAsia" w:ascii="宋体" w:hAnsi="宋体" w:eastAsia="宋体" w:cs="宋体"/>
                      <w:sz w:val="22"/>
                      <w:szCs w:val="22"/>
                    </w:rPr>
                  </w:pPr>
                </w:p>
              </w:tc>
            </w:tr>
            <w:tr w14:paraId="519DCF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63AC9ABA">
                  <w:pPr>
                    <w:spacing w:line="360" w:lineRule="auto"/>
                    <w:rPr>
                      <w:rFonts w:hint="eastAsia" w:ascii="宋体" w:hAnsi="宋体" w:eastAsia="宋体" w:cs="宋体"/>
                      <w:sz w:val="22"/>
                      <w:szCs w:val="22"/>
                    </w:rPr>
                  </w:pPr>
                </w:p>
              </w:tc>
              <w:tc>
                <w:tcPr>
                  <w:tcW w:w="113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A807093">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电池性能</w:t>
                  </w:r>
                </w:p>
              </w:tc>
              <w:tc>
                <w:tcPr>
                  <w:tcW w:w="450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3AF965A">
                  <w:pPr>
                    <w:pStyle w:val="15"/>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1.使用锂聚合物电池；</w:t>
                  </w:r>
                </w:p>
                <w:p w14:paraId="23039BD2">
                  <w:pPr>
                    <w:pStyle w:val="15"/>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2.电池容量≥4650mA，支持不低于66W快充。</w:t>
                  </w:r>
                </w:p>
              </w:tc>
            </w:tr>
            <w:tr w14:paraId="6FEB0D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7985376D">
                  <w:pPr>
                    <w:spacing w:line="360" w:lineRule="auto"/>
                    <w:rPr>
                      <w:rFonts w:hint="eastAsia" w:ascii="宋体" w:hAnsi="宋体" w:eastAsia="宋体" w:cs="宋体"/>
                      <w:sz w:val="22"/>
                      <w:szCs w:val="22"/>
                    </w:rPr>
                  </w:pPr>
                </w:p>
              </w:tc>
              <w:tc>
                <w:tcPr>
                  <w:tcW w:w="1138" w:type="dxa"/>
                  <w:vMerge w:val="continue"/>
                  <w:tcBorders>
                    <w:top w:val="nil"/>
                    <w:left w:val="nil"/>
                    <w:bottom w:val="single" w:color="000000" w:sz="4" w:space="0"/>
                    <w:right w:val="single" w:color="000000" w:sz="4" w:space="0"/>
                  </w:tcBorders>
                </w:tcPr>
                <w:p w14:paraId="079B2433">
                  <w:pPr>
                    <w:spacing w:line="360" w:lineRule="auto"/>
                    <w:rPr>
                      <w:rFonts w:hint="eastAsia" w:ascii="宋体" w:hAnsi="宋体" w:eastAsia="宋体" w:cs="宋体"/>
                      <w:sz w:val="22"/>
                      <w:szCs w:val="22"/>
                    </w:rPr>
                  </w:pPr>
                </w:p>
              </w:tc>
              <w:tc>
                <w:tcPr>
                  <w:tcW w:w="4500" w:type="dxa"/>
                  <w:vMerge w:val="continue"/>
                  <w:tcBorders>
                    <w:top w:val="nil"/>
                    <w:left w:val="nil"/>
                    <w:bottom w:val="single" w:color="000000" w:sz="4" w:space="0"/>
                    <w:right w:val="single" w:color="000000" w:sz="4" w:space="0"/>
                  </w:tcBorders>
                </w:tcPr>
                <w:p w14:paraId="2B01621E">
                  <w:pPr>
                    <w:spacing w:line="360" w:lineRule="auto"/>
                    <w:rPr>
                      <w:rFonts w:hint="eastAsia" w:ascii="宋体" w:hAnsi="宋体" w:eastAsia="宋体" w:cs="宋体"/>
                      <w:sz w:val="22"/>
                      <w:szCs w:val="22"/>
                    </w:rPr>
                  </w:pPr>
                </w:p>
              </w:tc>
            </w:tr>
          </w:tbl>
          <w:p w14:paraId="7AF2FD9B">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lang w:val="en-US" w:eastAsia="zh-CN"/>
              </w:rPr>
            </w:pPr>
          </w:p>
        </w:tc>
        <w:tc>
          <w:tcPr>
            <w:tcW w:w="1774" w:type="dxa"/>
            <w:vAlign w:val="top"/>
          </w:tcPr>
          <w:p w14:paraId="391BD4A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13" w:type="dxa"/>
            <w:vAlign w:val="top"/>
          </w:tcPr>
          <w:p w14:paraId="664FACA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125" w:type="dxa"/>
            <w:vAlign w:val="top"/>
          </w:tcPr>
          <w:p w14:paraId="53C7DCE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77CEE11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067ABF5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31942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702907FF">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638" w:type="dxa"/>
            <w:vAlign w:val="top"/>
          </w:tcPr>
          <w:p w14:paraId="0A67874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1A9F021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18EF1C4A">
            <w:pPr>
              <w:pStyle w:val="15"/>
              <w:keepNext w:val="0"/>
              <w:keepLines w:val="0"/>
              <w:pageBreakBefore w:val="0"/>
              <w:kinsoku/>
              <w:wordWrap/>
              <w:overflowPunct/>
              <w:topLinePunct w:val="0"/>
              <w:autoSpaceDE/>
              <w:autoSpaceDN/>
              <w:bidi w:val="0"/>
              <w:adjustRightInd/>
              <w:snapToGrid/>
              <w:spacing w:line="360" w:lineRule="auto"/>
              <w:jc w:val="both"/>
              <w:outlineLvl w:val="4"/>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二</w:t>
            </w:r>
            <w:r>
              <w:rPr>
                <w:rFonts w:hint="eastAsia" w:ascii="宋体" w:hAnsi="宋体" w:eastAsia="宋体" w:cs="宋体"/>
                <w:b/>
                <w:sz w:val="22"/>
                <w:szCs w:val="22"/>
                <w:lang w:eastAsia="zh-CN"/>
              </w:rPr>
              <w:t>）</w:t>
            </w:r>
            <w:r>
              <w:rPr>
                <w:rFonts w:hint="eastAsia" w:ascii="宋体" w:hAnsi="宋体" w:eastAsia="宋体" w:cs="宋体"/>
                <w:b/>
                <w:sz w:val="22"/>
                <w:szCs w:val="22"/>
              </w:rPr>
              <w:t>终端B参数</w:t>
            </w:r>
          </w:p>
          <w:tbl>
            <w:tblPr>
              <w:tblStyle w:val="13"/>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64"/>
              <w:gridCol w:w="1368"/>
              <w:gridCol w:w="4262"/>
            </w:tblGrid>
            <w:tr w14:paraId="0EF016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tcBorders>
                    <w:top w:val="single" w:color="000000" w:sz="4" w:space="0"/>
                    <w:left w:val="single" w:color="000000" w:sz="4" w:space="0"/>
                    <w:bottom w:val="single" w:color="000000" w:sz="4" w:space="0"/>
                    <w:right w:val="single" w:color="000000" w:sz="4" w:space="0"/>
                  </w:tcBorders>
                  <w:shd w:val="clear" w:color="auto" w:fill="BFBFBF"/>
                  <w:tcMar>
                    <w:top w:w="0" w:type="dxa"/>
                    <w:left w:w="105" w:type="dxa"/>
                    <w:bottom w:w="0" w:type="dxa"/>
                    <w:right w:w="105" w:type="dxa"/>
                  </w:tcMar>
                  <w:vAlign w:val="top"/>
                </w:tcPr>
                <w:p w14:paraId="310DA978">
                  <w:pPr>
                    <w:pStyle w:val="15"/>
                    <w:spacing w:line="360" w:lineRule="auto"/>
                    <w:jc w:val="center"/>
                    <w:rPr>
                      <w:rFonts w:hint="eastAsia" w:ascii="宋体" w:hAnsi="宋体" w:eastAsia="宋体" w:cs="宋体"/>
                      <w:sz w:val="22"/>
                      <w:szCs w:val="22"/>
                    </w:rPr>
                  </w:pPr>
                  <w:r>
                    <w:rPr>
                      <w:rFonts w:hint="eastAsia" w:ascii="宋体" w:hAnsi="宋体" w:eastAsia="宋体" w:cs="宋体"/>
                      <w:b/>
                      <w:color w:val="000000"/>
                      <w:sz w:val="22"/>
                      <w:szCs w:val="22"/>
                    </w:rPr>
                    <w:t>分类</w:t>
                  </w:r>
                </w:p>
              </w:tc>
              <w:tc>
                <w:tcPr>
                  <w:tcW w:w="1368" w:type="dxa"/>
                  <w:tcBorders>
                    <w:top w:val="single" w:color="000000" w:sz="4" w:space="0"/>
                    <w:left w:val="nil"/>
                    <w:bottom w:val="single" w:color="000000" w:sz="4" w:space="0"/>
                    <w:right w:val="single" w:color="000000" w:sz="4" w:space="0"/>
                  </w:tcBorders>
                  <w:shd w:val="clear" w:color="auto" w:fill="BFBFBF"/>
                  <w:tcMar>
                    <w:top w:w="0" w:type="dxa"/>
                    <w:left w:w="105" w:type="dxa"/>
                    <w:bottom w:w="0" w:type="dxa"/>
                    <w:right w:w="105" w:type="dxa"/>
                  </w:tcMar>
                  <w:vAlign w:val="top"/>
                </w:tcPr>
                <w:p w14:paraId="619389B7">
                  <w:pPr>
                    <w:pStyle w:val="15"/>
                    <w:spacing w:line="360" w:lineRule="auto"/>
                    <w:jc w:val="center"/>
                    <w:rPr>
                      <w:rFonts w:hint="eastAsia" w:ascii="宋体" w:hAnsi="宋体" w:eastAsia="宋体" w:cs="宋体"/>
                      <w:sz w:val="22"/>
                      <w:szCs w:val="22"/>
                    </w:rPr>
                  </w:pPr>
                  <w:r>
                    <w:rPr>
                      <w:rFonts w:hint="eastAsia" w:ascii="宋体" w:hAnsi="宋体" w:eastAsia="宋体" w:cs="宋体"/>
                      <w:b/>
                      <w:color w:val="000000"/>
                      <w:sz w:val="22"/>
                      <w:szCs w:val="22"/>
                    </w:rPr>
                    <w:t>分项</w:t>
                  </w:r>
                </w:p>
              </w:tc>
              <w:tc>
                <w:tcPr>
                  <w:tcW w:w="4262" w:type="dxa"/>
                  <w:tcBorders>
                    <w:top w:val="single" w:color="000000" w:sz="4" w:space="0"/>
                    <w:left w:val="nil"/>
                    <w:bottom w:val="single" w:color="000000" w:sz="4" w:space="0"/>
                    <w:right w:val="single" w:color="000000" w:sz="4" w:space="0"/>
                  </w:tcBorders>
                  <w:shd w:val="clear" w:color="auto" w:fill="BFBFBF"/>
                  <w:tcMar>
                    <w:top w:w="0" w:type="dxa"/>
                    <w:left w:w="105" w:type="dxa"/>
                    <w:bottom w:w="0" w:type="dxa"/>
                    <w:right w:w="105" w:type="dxa"/>
                  </w:tcMar>
                  <w:vAlign w:val="top"/>
                </w:tcPr>
                <w:p w14:paraId="7B1898E7">
                  <w:pPr>
                    <w:pStyle w:val="15"/>
                    <w:spacing w:line="360" w:lineRule="auto"/>
                    <w:jc w:val="left"/>
                    <w:rPr>
                      <w:rFonts w:hint="eastAsia" w:ascii="宋体" w:hAnsi="宋体" w:eastAsia="宋体" w:cs="宋体"/>
                      <w:sz w:val="22"/>
                      <w:szCs w:val="22"/>
                    </w:rPr>
                  </w:pPr>
                  <w:r>
                    <w:rPr>
                      <w:rFonts w:hint="eastAsia" w:ascii="宋体" w:hAnsi="宋体" w:eastAsia="宋体" w:cs="宋体"/>
                      <w:b/>
                      <w:color w:val="000000"/>
                      <w:sz w:val="22"/>
                      <w:szCs w:val="22"/>
                    </w:rPr>
                    <w:t>技术参数</w:t>
                  </w:r>
                </w:p>
              </w:tc>
            </w:tr>
            <w:tr w14:paraId="483587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79BECB">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通用</w:t>
                  </w:r>
                </w:p>
                <w:p w14:paraId="32E6DA4E">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配置</w:t>
                  </w:r>
                </w:p>
                <w:p w14:paraId="45F46446">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要求</w:t>
                  </w: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B1C81F">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基本需求</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BD3B6D">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3.终端均需含原装充电器、充电线。</w:t>
                  </w:r>
                </w:p>
              </w:tc>
            </w:tr>
            <w:tr w14:paraId="70603D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707219EE">
                  <w:pPr>
                    <w:spacing w:line="360" w:lineRule="auto"/>
                    <w:rPr>
                      <w:rFonts w:hint="eastAsia" w:ascii="宋体" w:hAnsi="宋体" w:eastAsia="宋体" w:cs="宋体"/>
                      <w:sz w:val="22"/>
                      <w:szCs w:val="22"/>
                    </w:rPr>
                  </w:pP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5886CB">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操作系统</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4D8C1">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1.安卓Android10.0 及以上或国产操作系统；</w:t>
                  </w:r>
                </w:p>
              </w:tc>
            </w:tr>
            <w:tr w14:paraId="72243C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5889DA5E">
                  <w:pPr>
                    <w:spacing w:line="360" w:lineRule="auto"/>
                    <w:rPr>
                      <w:rFonts w:hint="eastAsia" w:ascii="宋体" w:hAnsi="宋体" w:eastAsia="宋体" w:cs="宋体"/>
                      <w:sz w:val="22"/>
                      <w:szCs w:val="22"/>
                    </w:rPr>
                  </w:pP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A72689">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网络支持</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D93F39">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1.支持标准SIM 卡（15*25mm）、Micro SIM 卡（15*12mm）、Nano SIM（12.3*8.8mm）中的一种；</w:t>
                  </w:r>
                </w:p>
              </w:tc>
            </w:tr>
            <w:tr w14:paraId="7F231C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22DA5C07">
                  <w:pPr>
                    <w:spacing w:line="360" w:lineRule="auto"/>
                    <w:rPr>
                      <w:rFonts w:hint="eastAsia" w:ascii="宋体" w:hAnsi="宋体" w:eastAsia="宋体" w:cs="宋体"/>
                      <w:sz w:val="22"/>
                      <w:szCs w:val="22"/>
                    </w:rPr>
                  </w:pP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C956ED">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传感器</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D3D583">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1.支持RL识别；</w:t>
                  </w:r>
                </w:p>
                <w:p w14:paraId="6BD042E5">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2.具备NFC 功能。</w:t>
                  </w:r>
                </w:p>
              </w:tc>
            </w:tr>
            <w:tr w14:paraId="5138DF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083C1A7F">
                  <w:pPr>
                    <w:spacing w:line="360" w:lineRule="auto"/>
                    <w:rPr>
                      <w:rFonts w:hint="eastAsia" w:ascii="宋体" w:hAnsi="宋体" w:eastAsia="宋体" w:cs="宋体"/>
                      <w:sz w:val="22"/>
                      <w:szCs w:val="22"/>
                    </w:rPr>
                  </w:pP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D38691">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摄像头</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A8B931">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1.后置摄像头：≥5000万像素超光变摄像头(OIS光学防抖)，≥1200万像素超广角摄像头，≥4800万像素长焦摄像头（OIS光学防抖），支持自动对焦；</w:t>
                  </w:r>
                </w:p>
                <w:p w14:paraId="5EEF21EB">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2.前置摄像头：≥1300万像素超广角摄像头；</w:t>
                  </w:r>
                </w:p>
                <w:p w14:paraId="1867CB21">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3.配置LED 闪光灯，支持手电筒模式。</w:t>
                  </w:r>
                </w:p>
              </w:tc>
            </w:tr>
            <w:tr w14:paraId="4C1D9D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66AF3CB3">
                  <w:pPr>
                    <w:spacing w:line="360" w:lineRule="auto"/>
                    <w:rPr>
                      <w:rFonts w:hint="eastAsia" w:ascii="宋体" w:hAnsi="宋体" w:eastAsia="宋体" w:cs="宋体"/>
                      <w:sz w:val="22"/>
                      <w:szCs w:val="22"/>
                    </w:rPr>
                  </w:pP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163020">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传输功能</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9F00FF">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1.WLAN 协议 802.11 a/b/g/n/ac/ax,2x2z；</w:t>
                  </w:r>
                </w:p>
                <w:p w14:paraId="75E0D3DE">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2.WLAN 频率 2.4GHz 和 5GHz；</w:t>
                  </w:r>
                </w:p>
                <w:p w14:paraId="74478112">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3.支持WLAN 直连；</w:t>
                  </w:r>
                </w:p>
                <w:p w14:paraId="097D486A">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4.支持不低于Bluetooth5.2 协议；</w:t>
                  </w:r>
                </w:p>
                <w:p w14:paraId="7CD399D0">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5.支持USB3.1 GEN1 及以上高速传输标准及充电功能和 OTG 功能。</w:t>
                  </w:r>
                </w:p>
              </w:tc>
            </w:tr>
            <w:tr w14:paraId="33C26F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30A302E8">
                  <w:pPr>
                    <w:spacing w:line="360" w:lineRule="auto"/>
                    <w:rPr>
                      <w:rFonts w:hint="eastAsia" w:ascii="宋体" w:hAnsi="宋体" w:eastAsia="宋体" w:cs="宋体"/>
                      <w:sz w:val="22"/>
                      <w:szCs w:val="22"/>
                    </w:rPr>
                  </w:pP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74238E">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防护能力</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0117F7">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支持在GB/T 4208-2017（国内）标准下达到 IP68 级防尘抗水能力。</w:t>
                  </w:r>
                </w:p>
              </w:tc>
            </w:tr>
            <w:tr w14:paraId="52B963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109576AE">
                  <w:pPr>
                    <w:spacing w:line="360" w:lineRule="auto"/>
                    <w:rPr>
                      <w:rFonts w:hint="eastAsia" w:ascii="宋体" w:hAnsi="宋体" w:eastAsia="宋体" w:cs="宋体"/>
                      <w:sz w:val="22"/>
                      <w:szCs w:val="22"/>
                    </w:rPr>
                  </w:pP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4FB9F9">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其它</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0C6CE5">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1.工作系统和互联网系统能手动任意切换，支持指纹切换、快捷按钮切换；</w:t>
                  </w:r>
                </w:p>
                <w:p w14:paraId="4A926751">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2.工作系统应具备语音电话白名单或者等同功能；</w:t>
                  </w:r>
                </w:p>
                <w:p w14:paraId="4AE98A27">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3.工作系统可支持对接主流警务通应用软件，免费开放接口，并能提供相应的技术支撑；</w:t>
                  </w:r>
                </w:p>
                <w:p w14:paraId="5440040A">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4.双系统终端可按照需求出厂预制主流警务软件及APN 参数。</w:t>
                  </w:r>
                </w:p>
              </w:tc>
            </w:tr>
            <w:tr w14:paraId="71FE07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CDFC64">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性能</w:t>
                  </w:r>
                </w:p>
                <w:p w14:paraId="798E8145">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要求</w:t>
                  </w:r>
                </w:p>
              </w:tc>
              <w:tc>
                <w:tcPr>
                  <w:tcW w:w="136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BA72585">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屏幕性能</w:t>
                  </w:r>
                </w:p>
              </w:tc>
              <w:tc>
                <w:tcPr>
                  <w:tcW w:w="426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DDD8891">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1.尺寸应为≥6.8英寸；</w:t>
                  </w:r>
                </w:p>
                <w:p w14:paraId="2D2CE308">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2.色彩应为≥10.7亿色， P3 广色域；</w:t>
                  </w:r>
                </w:p>
                <w:p w14:paraId="63B1C112">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3.屏幕类型：OLED 显示屏；</w:t>
                  </w:r>
                </w:p>
                <w:p w14:paraId="7C3B8369">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5.多点触控触摸屏，最多支持10 点触控。</w:t>
                  </w:r>
                </w:p>
              </w:tc>
            </w:tr>
            <w:tr w14:paraId="3589B6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2BEA127D">
                  <w:pPr>
                    <w:spacing w:line="360" w:lineRule="auto"/>
                    <w:rPr>
                      <w:rFonts w:hint="eastAsia" w:ascii="宋体" w:hAnsi="宋体" w:eastAsia="宋体" w:cs="宋体"/>
                      <w:sz w:val="22"/>
                      <w:szCs w:val="22"/>
                    </w:rPr>
                  </w:pPr>
                </w:p>
              </w:tc>
              <w:tc>
                <w:tcPr>
                  <w:tcW w:w="1368" w:type="dxa"/>
                  <w:vMerge w:val="continue"/>
                  <w:tcBorders>
                    <w:top w:val="nil"/>
                    <w:left w:val="nil"/>
                    <w:bottom w:val="single" w:color="000000" w:sz="4" w:space="0"/>
                    <w:right w:val="single" w:color="000000" w:sz="4" w:space="0"/>
                  </w:tcBorders>
                </w:tcPr>
                <w:p w14:paraId="33020971">
                  <w:pPr>
                    <w:spacing w:line="360" w:lineRule="auto"/>
                    <w:rPr>
                      <w:rFonts w:hint="eastAsia" w:ascii="宋体" w:hAnsi="宋体" w:eastAsia="宋体" w:cs="宋体"/>
                      <w:sz w:val="22"/>
                      <w:szCs w:val="22"/>
                    </w:rPr>
                  </w:pPr>
                </w:p>
              </w:tc>
              <w:tc>
                <w:tcPr>
                  <w:tcW w:w="4262" w:type="dxa"/>
                  <w:vMerge w:val="continue"/>
                  <w:tcBorders>
                    <w:top w:val="nil"/>
                    <w:left w:val="nil"/>
                    <w:bottom w:val="single" w:color="000000" w:sz="4" w:space="0"/>
                    <w:right w:val="single" w:color="000000" w:sz="4" w:space="0"/>
                  </w:tcBorders>
                </w:tcPr>
                <w:p w14:paraId="37C3A098">
                  <w:pPr>
                    <w:spacing w:line="360" w:lineRule="auto"/>
                    <w:rPr>
                      <w:rFonts w:hint="eastAsia" w:ascii="宋体" w:hAnsi="宋体" w:eastAsia="宋体" w:cs="宋体"/>
                      <w:sz w:val="22"/>
                      <w:szCs w:val="22"/>
                    </w:rPr>
                  </w:pPr>
                </w:p>
              </w:tc>
            </w:tr>
            <w:tr w14:paraId="08558A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04639B12">
                  <w:pPr>
                    <w:spacing w:line="360" w:lineRule="auto"/>
                    <w:rPr>
                      <w:rFonts w:hint="eastAsia" w:ascii="宋体" w:hAnsi="宋体" w:eastAsia="宋体" w:cs="宋体"/>
                      <w:sz w:val="22"/>
                      <w:szCs w:val="22"/>
                    </w:rPr>
                  </w:pPr>
                </w:p>
              </w:tc>
              <w:tc>
                <w:tcPr>
                  <w:tcW w:w="1368" w:type="dxa"/>
                  <w:vMerge w:val="continue"/>
                  <w:tcBorders>
                    <w:top w:val="nil"/>
                    <w:left w:val="nil"/>
                    <w:bottom w:val="single" w:color="000000" w:sz="4" w:space="0"/>
                    <w:right w:val="single" w:color="000000" w:sz="4" w:space="0"/>
                  </w:tcBorders>
                </w:tcPr>
                <w:p w14:paraId="54E5C5EC">
                  <w:pPr>
                    <w:spacing w:line="360" w:lineRule="auto"/>
                    <w:rPr>
                      <w:rFonts w:hint="eastAsia" w:ascii="宋体" w:hAnsi="宋体" w:eastAsia="宋体" w:cs="宋体"/>
                      <w:sz w:val="22"/>
                      <w:szCs w:val="22"/>
                    </w:rPr>
                  </w:pPr>
                </w:p>
              </w:tc>
              <w:tc>
                <w:tcPr>
                  <w:tcW w:w="4262" w:type="dxa"/>
                  <w:vMerge w:val="continue"/>
                  <w:tcBorders>
                    <w:top w:val="nil"/>
                    <w:left w:val="nil"/>
                    <w:bottom w:val="single" w:color="000000" w:sz="4" w:space="0"/>
                    <w:right w:val="single" w:color="000000" w:sz="4" w:space="0"/>
                  </w:tcBorders>
                </w:tcPr>
                <w:p w14:paraId="7624009E">
                  <w:pPr>
                    <w:spacing w:line="360" w:lineRule="auto"/>
                    <w:rPr>
                      <w:rFonts w:hint="eastAsia" w:ascii="宋体" w:hAnsi="宋体" w:eastAsia="宋体" w:cs="宋体"/>
                      <w:sz w:val="22"/>
                      <w:szCs w:val="22"/>
                    </w:rPr>
                  </w:pPr>
                </w:p>
              </w:tc>
            </w:tr>
            <w:tr w14:paraId="6B4BE8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1980742A">
                  <w:pPr>
                    <w:spacing w:line="360" w:lineRule="auto"/>
                    <w:rPr>
                      <w:rFonts w:hint="eastAsia" w:ascii="宋体" w:hAnsi="宋体" w:eastAsia="宋体" w:cs="宋体"/>
                      <w:sz w:val="22"/>
                      <w:szCs w:val="22"/>
                    </w:rPr>
                  </w:pPr>
                </w:p>
              </w:tc>
              <w:tc>
                <w:tcPr>
                  <w:tcW w:w="1368" w:type="dxa"/>
                  <w:vMerge w:val="continue"/>
                  <w:tcBorders>
                    <w:top w:val="nil"/>
                    <w:left w:val="nil"/>
                    <w:bottom w:val="single" w:color="000000" w:sz="4" w:space="0"/>
                    <w:right w:val="single" w:color="000000" w:sz="4" w:space="0"/>
                  </w:tcBorders>
                </w:tcPr>
                <w:p w14:paraId="009FED42">
                  <w:pPr>
                    <w:spacing w:line="360" w:lineRule="auto"/>
                    <w:rPr>
                      <w:rFonts w:hint="eastAsia" w:ascii="宋体" w:hAnsi="宋体" w:eastAsia="宋体" w:cs="宋体"/>
                      <w:sz w:val="22"/>
                      <w:szCs w:val="22"/>
                    </w:rPr>
                  </w:pPr>
                </w:p>
              </w:tc>
              <w:tc>
                <w:tcPr>
                  <w:tcW w:w="4262" w:type="dxa"/>
                  <w:vMerge w:val="continue"/>
                  <w:tcBorders>
                    <w:top w:val="nil"/>
                    <w:left w:val="nil"/>
                    <w:bottom w:val="single" w:color="000000" w:sz="4" w:space="0"/>
                    <w:right w:val="single" w:color="000000" w:sz="4" w:space="0"/>
                  </w:tcBorders>
                </w:tcPr>
                <w:p w14:paraId="7277128F">
                  <w:pPr>
                    <w:spacing w:line="360" w:lineRule="auto"/>
                    <w:rPr>
                      <w:rFonts w:hint="eastAsia" w:ascii="宋体" w:hAnsi="宋体" w:eastAsia="宋体" w:cs="宋体"/>
                      <w:sz w:val="22"/>
                      <w:szCs w:val="22"/>
                    </w:rPr>
                  </w:pPr>
                </w:p>
              </w:tc>
            </w:tr>
            <w:tr w14:paraId="2DC851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023C23B3">
                  <w:pPr>
                    <w:spacing w:line="360" w:lineRule="auto"/>
                    <w:rPr>
                      <w:rFonts w:hint="eastAsia" w:ascii="宋体" w:hAnsi="宋体" w:eastAsia="宋体" w:cs="宋体"/>
                      <w:sz w:val="22"/>
                      <w:szCs w:val="22"/>
                    </w:rPr>
                  </w:pPr>
                </w:p>
              </w:tc>
              <w:tc>
                <w:tcPr>
                  <w:tcW w:w="1368" w:type="dxa"/>
                  <w:vMerge w:val="continue"/>
                  <w:tcBorders>
                    <w:top w:val="nil"/>
                    <w:left w:val="nil"/>
                    <w:bottom w:val="single" w:color="000000" w:sz="4" w:space="0"/>
                    <w:right w:val="single" w:color="000000" w:sz="4" w:space="0"/>
                  </w:tcBorders>
                </w:tcPr>
                <w:p w14:paraId="3A733F35">
                  <w:pPr>
                    <w:spacing w:line="360" w:lineRule="auto"/>
                    <w:rPr>
                      <w:rFonts w:hint="eastAsia" w:ascii="宋体" w:hAnsi="宋体" w:eastAsia="宋体" w:cs="宋体"/>
                      <w:sz w:val="22"/>
                      <w:szCs w:val="22"/>
                    </w:rPr>
                  </w:pPr>
                </w:p>
              </w:tc>
              <w:tc>
                <w:tcPr>
                  <w:tcW w:w="4262" w:type="dxa"/>
                  <w:vMerge w:val="continue"/>
                  <w:tcBorders>
                    <w:top w:val="nil"/>
                    <w:left w:val="nil"/>
                    <w:bottom w:val="single" w:color="000000" w:sz="4" w:space="0"/>
                    <w:right w:val="single" w:color="000000" w:sz="4" w:space="0"/>
                  </w:tcBorders>
                </w:tcPr>
                <w:p w14:paraId="0AF83503">
                  <w:pPr>
                    <w:spacing w:line="360" w:lineRule="auto"/>
                    <w:rPr>
                      <w:rFonts w:hint="eastAsia" w:ascii="宋体" w:hAnsi="宋体" w:eastAsia="宋体" w:cs="宋体"/>
                      <w:sz w:val="22"/>
                      <w:szCs w:val="22"/>
                    </w:rPr>
                  </w:pPr>
                </w:p>
              </w:tc>
            </w:tr>
            <w:tr w14:paraId="28E096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06682480">
                  <w:pPr>
                    <w:spacing w:line="360" w:lineRule="auto"/>
                    <w:rPr>
                      <w:rFonts w:hint="eastAsia" w:ascii="宋体" w:hAnsi="宋体" w:eastAsia="宋体" w:cs="宋体"/>
                      <w:sz w:val="22"/>
                      <w:szCs w:val="22"/>
                    </w:rPr>
                  </w:pP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789BC7">
                  <w:pPr>
                    <w:pStyle w:val="15"/>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电池性能</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174883">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1.使用锂聚合物电池；</w:t>
                  </w:r>
                </w:p>
                <w:p w14:paraId="1668CC48">
                  <w:pPr>
                    <w:pStyle w:val="15"/>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2.电池容量≥5000mA，支持不低于66W快充。</w:t>
                  </w:r>
                </w:p>
              </w:tc>
            </w:tr>
          </w:tbl>
          <w:p w14:paraId="1451F237">
            <w:pPr>
              <w:pStyle w:val="15"/>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lang w:val="en-US" w:eastAsia="zh-CN"/>
              </w:rPr>
            </w:pPr>
          </w:p>
        </w:tc>
        <w:tc>
          <w:tcPr>
            <w:tcW w:w="1774" w:type="dxa"/>
            <w:vAlign w:val="top"/>
          </w:tcPr>
          <w:p w14:paraId="50B1001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13" w:type="dxa"/>
            <w:vAlign w:val="top"/>
          </w:tcPr>
          <w:p w14:paraId="24F8584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125" w:type="dxa"/>
            <w:vAlign w:val="top"/>
          </w:tcPr>
          <w:p w14:paraId="4B7DA3E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3C43D72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27D966B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572AC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0FCD60EB">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638" w:type="dxa"/>
            <w:vAlign w:val="top"/>
          </w:tcPr>
          <w:p w14:paraId="4257AE0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0EB4B29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64332218">
            <w:pPr>
              <w:pStyle w:val="15"/>
              <w:spacing w:before="105" w:after="105" w:line="360" w:lineRule="auto"/>
              <w:jc w:val="left"/>
              <w:rPr>
                <w:rFonts w:hint="eastAsia" w:ascii="宋体" w:hAnsi="宋体" w:eastAsia="宋体" w:cs="宋体"/>
                <w:sz w:val="22"/>
                <w:szCs w:val="22"/>
              </w:rPr>
            </w:pPr>
            <w:r>
              <w:rPr>
                <w:rFonts w:hint="eastAsia" w:ascii="宋体" w:hAnsi="宋体" w:eastAsia="宋体" w:cs="宋体"/>
                <w:b/>
                <w:sz w:val="22"/>
                <w:szCs w:val="22"/>
              </w:rPr>
              <w:t>十、人员管理要求</w:t>
            </w:r>
          </w:p>
          <w:p w14:paraId="66ED1B37">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2.项目经理资质要求：</w:t>
            </w:r>
            <w:r>
              <w:rPr>
                <w:rFonts w:hint="eastAsia" w:ascii="宋体" w:hAnsi="宋体" w:eastAsia="宋体" w:cs="宋体"/>
                <w:color w:val="000000"/>
                <w:sz w:val="22"/>
                <w:szCs w:val="22"/>
              </w:rPr>
              <w:t>项目</w:t>
            </w:r>
            <w:r>
              <w:rPr>
                <w:rFonts w:hint="eastAsia" w:ascii="宋体" w:hAnsi="宋体" w:eastAsia="宋体" w:cs="宋体"/>
                <w:sz w:val="22"/>
                <w:szCs w:val="22"/>
              </w:rPr>
              <w:t>经理需具有5年以上的资深信息化运维服务管理经验，并熟悉同类的信息系统。具有信息系统项目管理师等与项目相关证书者优先。</w:t>
            </w:r>
          </w:p>
          <w:p w14:paraId="5CD75FA9">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3.运维服务团队人员应满足以下要求：</w:t>
            </w:r>
          </w:p>
          <w:p w14:paraId="0B4547EC">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3.1.具备良好的沟通协调能力；</w:t>
            </w:r>
          </w:p>
          <w:p w14:paraId="75E80A06">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3.2.熟悉掌握常用办公软件的使用；</w:t>
            </w:r>
          </w:p>
          <w:p w14:paraId="0C2256CA">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3.3.熟悉操作系统及软硬件的安装诊断和维护；</w:t>
            </w:r>
          </w:p>
          <w:p w14:paraId="302B9EBF">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3.4.熟悉服务器及主流数据库（Oracle、SQL等）的安装及配置维护；</w:t>
            </w:r>
          </w:p>
          <w:p w14:paraId="0F54F015">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3.5.遵守采购人的工作纪律，服从采购人的工作安排；</w:t>
            </w:r>
          </w:p>
          <w:p w14:paraId="64448D4F">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3.6.运维人员必须经双方资质审核合格后，才可上岗工作；</w:t>
            </w:r>
          </w:p>
          <w:p w14:paraId="1E7BBDD7">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3.7.运维人员必须签订保密协议，不得泄露与项目、采购人相关内容。</w:t>
            </w:r>
          </w:p>
          <w:p w14:paraId="2B6A4EE8">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3.9.若实际运维人员不符合工作要求，采购人有权要求更换；若运维人员有变更，需提前1个月书面通知采购人，经采购人审核同意后方可更换。</w:t>
            </w:r>
          </w:p>
          <w:p w14:paraId="699593C7">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4.本项目合同生效后，为保证运维人员工作顺利开展，构建有效激励约束机制，促进运维人员遵守工作纪律、提升技术水平、保证工作质量、积极开展工作，需制定运维团队管理办法，具体包括：</w:t>
            </w:r>
          </w:p>
          <w:p w14:paraId="7F99F6FE">
            <w:pPr>
              <w:pStyle w:val="15"/>
              <w:spacing w:line="360" w:lineRule="auto"/>
              <w:ind w:firstLine="440"/>
              <w:jc w:val="both"/>
              <w:rPr>
                <w:rFonts w:hint="eastAsia" w:ascii="宋体" w:hAnsi="宋体" w:eastAsia="宋体" w:cs="宋体"/>
                <w:sz w:val="22"/>
                <w:szCs w:val="22"/>
              </w:rPr>
            </w:pPr>
            <w:r>
              <w:rPr>
                <w:rFonts w:hint="eastAsia" w:ascii="宋体" w:hAnsi="宋体" w:eastAsia="宋体" w:cs="宋体"/>
                <w:sz w:val="22"/>
                <w:szCs w:val="22"/>
              </w:rPr>
              <w:t>4.1.制定考核机制，依托考核手段，提高运维人员工作积极性、规范化和计划性以及技术水平；</w:t>
            </w:r>
          </w:p>
          <w:p w14:paraId="47565FE2">
            <w:pPr>
              <w:pStyle w:val="15"/>
              <w:spacing w:line="360" w:lineRule="auto"/>
              <w:ind w:firstLine="440"/>
              <w:jc w:val="both"/>
              <w:rPr>
                <w:rFonts w:hint="eastAsia" w:ascii="宋体" w:hAnsi="宋体" w:eastAsia="宋体" w:cs="宋体"/>
                <w:sz w:val="22"/>
                <w:szCs w:val="22"/>
              </w:rPr>
            </w:pPr>
            <w:r>
              <w:rPr>
                <w:rFonts w:hint="eastAsia" w:ascii="宋体" w:hAnsi="宋体" w:eastAsia="宋体" w:cs="宋体"/>
                <w:sz w:val="22"/>
                <w:szCs w:val="22"/>
              </w:rPr>
              <w:t>4.2.运维人员必须遵守采购人的各项规章制度，保持良好的工作形象和工作态度，做好日常巡检和故障处理等工作；</w:t>
            </w:r>
          </w:p>
          <w:p w14:paraId="497D0745">
            <w:pPr>
              <w:pStyle w:val="15"/>
              <w:spacing w:line="360" w:lineRule="auto"/>
              <w:ind w:firstLine="440"/>
              <w:jc w:val="both"/>
              <w:rPr>
                <w:rFonts w:hint="eastAsia" w:ascii="宋体" w:hAnsi="宋体" w:eastAsia="宋体" w:cs="宋体"/>
                <w:sz w:val="22"/>
                <w:szCs w:val="22"/>
              </w:rPr>
            </w:pPr>
            <w:r>
              <w:rPr>
                <w:rFonts w:hint="eastAsia" w:ascii="宋体" w:hAnsi="宋体" w:eastAsia="宋体" w:cs="宋体"/>
                <w:sz w:val="22"/>
                <w:szCs w:val="22"/>
              </w:rPr>
              <w:t>4.3.由</w:t>
            </w:r>
            <w:r>
              <w:rPr>
                <w:rFonts w:hint="eastAsia" w:ascii="宋体" w:hAnsi="宋体" w:eastAsia="宋体" w:cs="宋体"/>
                <w:sz w:val="22"/>
                <w:szCs w:val="22"/>
                <w:lang w:eastAsia="zh-CN"/>
              </w:rPr>
              <w:t>成交人</w:t>
            </w:r>
            <w:r>
              <w:rPr>
                <w:rFonts w:hint="eastAsia" w:ascii="宋体" w:hAnsi="宋体" w:eastAsia="宋体" w:cs="宋体"/>
                <w:sz w:val="22"/>
                <w:szCs w:val="22"/>
              </w:rPr>
              <w:t>为运维人员配备运维所需设备；</w:t>
            </w:r>
          </w:p>
          <w:p w14:paraId="3EA6E114">
            <w:pPr>
              <w:pStyle w:val="15"/>
              <w:spacing w:line="360" w:lineRule="auto"/>
              <w:ind w:firstLine="440"/>
              <w:jc w:val="both"/>
              <w:rPr>
                <w:rFonts w:hint="eastAsia" w:ascii="宋体" w:hAnsi="宋体" w:eastAsia="宋体" w:cs="宋体"/>
                <w:sz w:val="22"/>
                <w:szCs w:val="22"/>
              </w:rPr>
            </w:pPr>
            <w:r>
              <w:rPr>
                <w:rFonts w:hint="eastAsia" w:ascii="宋体" w:hAnsi="宋体" w:eastAsia="宋体" w:cs="宋体"/>
                <w:sz w:val="22"/>
                <w:szCs w:val="22"/>
              </w:rPr>
              <w:t>4.4.采购人针对运维人员的巡检情况、故障解决能力、项目的稳定性等综合情况打分，纳入到考核；</w:t>
            </w:r>
          </w:p>
          <w:p w14:paraId="06CC52E8">
            <w:pPr>
              <w:pStyle w:val="15"/>
              <w:spacing w:line="360" w:lineRule="auto"/>
              <w:ind w:firstLine="440"/>
              <w:jc w:val="both"/>
              <w:rPr>
                <w:rFonts w:hint="eastAsia" w:ascii="宋体" w:hAnsi="宋体" w:eastAsia="宋体" w:cs="宋体"/>
                <w:sz w:val="22"/>
                <w:szCs w:val="22"/>
              </w:rPr>
            </w:pPr>
            <w:r>
              <w:rPr>
                <w:rFonts w:hint="eastAsia" w:ascii="宋体" w:hAnsi="宋体" w:eastAsia="宋体" w:cs="宋体"/>
                <w:sz w:val="22"/>
                <w:szCs w:val="22"/>
              </w:rPr>
              <w:t>4.5.若</w:t>
            </w:r>
            <w:r>
              <w:rPr>
                <w:rFonts w:hint="eastAsia" w:ascii="宋体" w:hAnsi="宋体" w:eastAsia="宋体" w:cs="宋体"/>
                <w:sz w:val="22"/>
                <w:szCs w:val="22"/>
                <w:lang w:eastAsia="zh-CN"/>
              </w:rPr>
              <w:t>成交人</w:t>
            </w:r>
            <w:r>
              <w:rPr>
                <w:rFonts w:hint="eastAsia" w:ascii="宋体" w:hAnsi="宋体" w:eastAsia="宋体" w:cs="宋体"/>
                <w:sz w:val="22"/>
                <w:szCs w:val="22"/>
              </w:rPr>
              <w:t>更换技术服务团队人员，必须经过采购人审核同意；</w:t>
            </w:r>
          </w:p>
          <w:p w14:paraId="38EF4309">
            <w:pPr>
              <w:pStyle w:val="15"/>
              <w:spacing w:line="360" w:lineRule="auto"/>
              <w:ind w:firstLine="440"/>
              <w:jc w:val="both"/>
              <w:rPr>
                <w:rFonts w:hint="eastAsia" w:ascii="宋体" w:hAnsi="宋体" w:eastAsia="宋体" w:cs="宋体"/>
                <w:sz w:val="22"/>
                <w:szCs w:val="22"/>
              </w:rPr>
            </w:pPr>
            <w:r>
              <w:rPr>
                <w:rFonts w:hint="eastAsia" w:ascii="宋体" w:hAnsi="宋体" w:eastAsia="宋体" w:cs="宋体"/>
                <w:sz w:val="22"/>
                <w:szCs w:val="22"/>
              </w:rPr>
              <w:t>4.6.运维人员接到故障任务，必须及时作出响应，并在规定时间内排除故障（远程或现场），同时提交处理报告；</w:t>
            </w:r>
          </w:p>
          <w:p w14:paraId="5FCA9BB8">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4.7.运维人员被临时抽调进行其他工作时，需经过相关负责人审批后方可离岗。</w:t>
            </w:r>
          </w:p>
          <w:p w14:paraId="0874CE7F">
            <w:pPr>
              <w:pStyle w:val="15"/>
              <w:spacing w:line="360" w:lineRule="auto"/>
              <w:jc w:val="both"/>
              <w:rPr>
                <w:rFonts w:hint="eastAsia" w:ascii="宋体" w:hAnsi="宋体" w:eastAsia="宋体" w:cs="宋体"/>
                <w:sz w:val="22"/>
                <w:szCs w:val="22"/>
              </w:rPr>
            </w:pPr>
            <w:r>
              <w:rPr>
                <w:rFonts w:hint="eastAsia" w:ascii="宋体" w:hAnsi="宋体" w:eastAsia="宋体" w:cs="宋体"/>
                <w:b/>
                <w:sz w:val="22"/>
                <w:szCs w:val="22"/>
              </w:rPr>
              <w:t>十一、服务形式</w:t>
            </w:r>
          </w:p>
          <w:p w14:paraId="707E2A5F">
            <w:pPr>
              <w:pStyle w:val="15"/>
              <w:keepNext w:val="0"/>
              <w:keepLines w:val="0"/>
              <w:pageBreakBefore w:val="0"/>
              <w:kinsoku/>
              <w:wordWrap/>
              <w:overflowPunct/>
              <w:topLinePunct w:val="0"/>
              <w:autoSpaceDE/>
              <w:autoSpaceDN/>
              <w:bidi w:val="0"/>
              <w:adjustRightInd/>
              <w:snapToGrid/>
              <w:spacing w:line="360" w:lineRule="auto"/>
              <w:jc w:val="both"/>
              <w:textAlignment w:val="auto"/>
              <w:outlineLvl w:val="3"/>
              <w:rPr>
                <w:rFonts w:hint="eastAsia" w:ascii="宋体" w:hAnsi="宋体" w:eastAsia="宋体" w:cs="宋体"/>
                <w:sz w:val="22"/>
                <w:szCs w:val="22"/>
              </w:rPr>
            </w:pPr>
            <w:r>
              <w:rPr>
                <w:rFonts w:hint="eastAsia" w:ascii="宋体" w:hAnsi="宋体" w:eastAsia="宋体" w:cs="宋体"/>
                <w:b/>
                <w:sz w:val="22"/>
                <w:szCs w:val="22"/>
                <w:lang w:val="en-US" w:eastAsia="zh-CN"/>
              </w:rPr>
              <w:t>1</w:t>
            </w:r>
            <w:r>
              <w:rPr>
                <w:rFonts w:hint="eastAsia" w:ascii="宋体" w:hAnsi="宋体" w:eastAsia="宋体" w:cs="宋体"/>
                <w:b/>
                <w:sz w:val="22"/>
                <w:szCs w:val="22"/>
              </w:rPr>
              <w:t>.远程支持</w:t>
            </w:r>
          </w:p>
          <w:p w14:paraId="6851BC2E">
            <w:pPr>
              <w:pStyle w:val="1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2"/>
                <w:szCs w:val="22"/>
              </w:rPr>
            </w:pPr>
            <w:r>
              <w:rPr>
                <w:rFonts w:hint="eastAsia" w:ascii="宋体" w:hAnsi="宋体" w:eastAsia="宋体" w:cs="宋体"/>
                <w:sz w:val="22"/>
                <w:szCs w:val="22"/>
                <w:lang w:eastAsia="zh-CN"/>
              </w:rPr>
              <w:t>成交人</w:t>
            </w:r>
            <w:r>
              <w:rPr>
                <w:rFonts w:hint="eastAsia" w:ascii="宋体" w:hAnsi="宋体" w:eastAsia="宋体" w:cs="宋体"/>
                <w:sz w:val="22"/>
                <w:szCs w:val="22"/>
              </w:rPr>
              <w:t>通过电话、QQ、电子邮件、传真、远程协助等方式为采购人提供每周7*24小时电话技术支持服务、7*24小时微信技术咨询服务，协助采购人进行故障定位和故障排除。采购人的电话享有高度优先级，得到优先处理，直到设备、系统恢复正常运行。</w:t>
            </w:r>
          </w:p>
          <w:p w14:paraId="396BB2C7">
            <w:pPr>
              <w:pStyle w:val="15"/>
              <w:keepNext w:val="0"/>
              <w:keepLines w:val="0"/>
              <w:pageBreakBefore w:val="0"/>
              <w:kinsoku/>
              <w:wordWrap/>
              <w:overflowPunct/>
              <w:topLinePunct w:val="0"/>
              <w:autoSpaceDE/>
              <w:autoSpaceDN/>
              <w:bidi w:val="0"/>
              <w:adjustRightInd/>
              <w:snapToGrid/>
              <w:spacing w:line="360" w:lineRule="auto"/>
              <w:jc w:val="both"/>
              <w:textAlignment w:val="auto"/>
              <w:outlineLvl w:val="3"/>
              <w:rPr>
                <w:rFonts w:hint="eastAsia" w:ascii="宋体" w:hAnsi="宋体" w:eastAsia="宋体" w:cs="宋体"/>
                <w:sz w:val="22"/>
                <w:szCs w:val="22"/>
              </w:rPr>
            </w:pPr>
            <w:r>
              <w:rPr>
                <w:rFonts w:hint="eastAsia" w:ascii="宋体" w:hAnsi="宋体" w:eastAsia="宋体" w:cs="宋体"/>
                <w:b/>
                <w:sz w:val="22"/>
                <w:szCs w:val="22"/>
                <w:lang w:val="en-US" w:eastAsia="zh-CN"/>
              </w:rPr>
              <w:t>2</w:t>
            </w:r>
            <w:r>
              <w:rPr>
                <w:rFonts w:hint="eastAsia" w:ascii="宋体" w:hAnsi="宋体" w:eastAsia="宋体" w:cs="宋体"/>
                <w:b/>
                <w:sz w:val="22"/>
                <w:szCs w:val="22"/>
              </w:rPr>
              <w:t>.紧急现场服务</w:t>
            </w:r>
          </w:p>
          <w:p w14:paraId="1F927F5D">
            <w:pPr>
              <w:pStyle w:val="1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2"/>
                <w:szCs w:val="22"/>
              </w:rPr>
            </w:pPr>
            <w:r>
              <w:rPr>
                <w:rFonts w:hint="eastAsia" w:ascii="宋体" w:hAnsi="宋体" w:eastAsia="宋体" w:cs="宋体"/>
                <w:sz w:val="22"/>
                <w:szCs w:val="22"/>
              </w:rPr>
              <w:t>每天（含重要节假日）24小时内，</w:t>
            </w:r>
            <w:r>
              <w:rPr>
                <w:rFonts w:hint="eastAsia" w:ascii="宋体" w:hAnsi="宋体" w:eastAsia="宋体" w:cs="宋体"/>
                <w:sz w:val="22"/>
                <w:szCs w:val="22"/>
                <w:lang w:eastAsia="zh-CN"/>
              </w:rPr>
              <w:t>成交人</w:t>
            </w:r>
            <w:r>
              <w:rPr>
                <w:rFonts w:hint="eastAsia" w:ascii="宋体" w:hAnsi="宋体" w:eastAsia="宋体" w:cs="宋体"/>
                <w:sz w:val="22"/>
                <w:szCs w:val="22"/>
              </w:rPr>
              <w:t>接到采购人的维护需求后，属于维护服务范围的，应立即指派具备相应能力的技术工程师在约定时间内到达故障现场，处理在服务期内出现的重大故障或重大事件。</w:t>
            </w:r>
          </w:p>
          <w:p w14:paraId="062828E0">
            <w:pPr>
              <w:pStyle w:val="15"/>
              <w:keepNext w:val="0"/>
              <w:keepLines w:val="0"/>
              <w:pageBreakBefore w:val="0"/>
              <w:kinsoku/>
              <w:wordWrap/>
              <w:overflowPunct/>
              <w:topLinePunct w:val="0"/>
              <w:autoSpaceDE/>
              <w:autoSpaceDN/>
              <w:bidi w:val="0"/>
              <w:adjustRightInd/>
              <w:snapToGrid/>
              <w:spacing w:line="360" w:lineRule="auto"/>
              <w:jc w:val="both"/>
              <w:textAlignment w:val="auto"/>
              <w:outlineLvl w:val="3"/>
              <w:rPr>
                <w:rFonts w:hint="eastAsia" w:ascii="宋体" w:hAnsi="宋体" w:eastAsia="宋体" w:cs="宋体"/>
                <w:sz w:val="22"/>
                <w:szCs w:val="22"/>
              </w:rPr>
            </w:pPr>
            <w:r>
              <w:rPr>
                <w:rFonts w:hint="eastAsia" w:ascii="宋体" w:hAnsi="宋体" w:eastAsia="宋体" w:cs="宋体"/>
                <w:b/>
                <w:sz w:val="22"/>
                <w:szCs w:val="22"/>
                <w:lang w:val="en-US" w:eastAsia="zh-CN"/>
              </w:rPr>
              <w:t>3</w:t>
            </w:r>
            <w:r>
              <w:rPr>
                <w:rFonts w:hint="eastAsia" w:ascii="宋体" w:hAnsi="宋体" w:eastAsia="宋体" w:cs="宋体"/>
                <w:b/>
                <w:sz w:val="22"/>
                <w:szCs w:val="22"/>
              </w:rPr>
              <w:t>.故障处理服务</w:t>
            </w:r>
          </w:p>
          <w:p w14:paraId="2E1D2CFE">
            <w:pPr>
              <w:pStyle w:val="1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2"/>
                <w:szCs w:val="22"/>
              </w:rPr>
            </w:pPr>
            <w:r>
              <w:rPr>
                <w:rFonts w:hint="eastAsia" w:ascii="宋体" w:hAnsi="宋体" w:eastAsia="宋体" w:cs="宋体"/>
                <w:sz w:val="22"/>
                <w:szCs w:val="22"/>
              </w:rPr>
              <w:t>采购人在使用软件系统中遇到疑难问题或系统出现不稳定情况，</w:t>
            </w:r>
            <w:r>
              <w:rPr>
                <w:rFonts w:hint="eastAsia" w:ascii="宋体" w:hAnsi="宋体" w:eastAsia="宋体" w:cs="宋体"/>
                <w:sz w:val="22"/>
                <w:szCs w:val="22"/>
                <w:lang w:eastAsia="zh-CN"/>
              </w:rPr>
              <w:t>成交人</w:t>
            </w:r>
            <w:r>
              <w:rPr>
                <w:rFonts w:hint="eastAsia" w:ascii="宋体" w:hAnsi="宋体" w:eastAsia="宋体" w:cs="宋体"/>
                <w:sz w:val="22"/>
                <w:szCs w:val="22"/>
              </w:rPr>
              <w:t>需提供7*24小时故障处理服务，并在规定时间内进行故障排除，及时定位故障并进行故障处理，减少或避免由于系统故障导致的损失。</w:t>
            </w:r>
          </w:p>
          <w:p w14:paraId="7238A541">
            <w:pPr>
              <w:pStyle w:val="15"/>
              <w:keepNext w:val="0"/>
              <w:keepLines w:val="0"/>
              <w:pageBreakBefore w:val="0"/>
              <w:kinsoku/>
              <w:wordWrap/>
              <w:overflowPunct/>
              <w:topLinePunct w:val="0"/>
              <w:autoSpaceDE/>
              <w:autoSpaceDN/>
              <w:bidi w:val="0"/>
              <w:adjustRightInd/>
              <w:snapToGrid/>
              <w:spacing w:line="360" w:lineRule="auto"/>
              <w:jc w:val="both"/>
              <w:textAlignment w:val="auto"/>
              <w:outlineLvl w:val="3"/>
              <w:rPr>
                <w:rFonts w:hint="eastAsia" w:ascii="宋体" w:hAnsi="宋体" w:eastAsia="宋体" w:cs="宋体"/>
                <w:sz w:val="22"/>
                <w:szCs w:val="22"/>
              </w:rPr>
            </w:pPr>
            <w:r>
              <w:rPr>
                <w:rFonts w:hint="eastAsia" w:ascii="宋体" w:hAnsi="宋体" w:eastAsia="宋体" w:cs="宋体"/>
                <w:b/>
                <w:sz w:val="22"/>
                <w:szCs w:val="22"/>
                <w:lang w:val="en-US" w:eastAsia="zh-CN"/>
              </w:rPr>
              <w:t>4</w:t>
            </w:r>
            <w:r>
              <w:rPr>
                <w:rFonts w:hint="eastAsia" w:ascii="宋体" w:hAnsi="宋体" w:eastAsia="宋体" w:cs="宋体"/>
                <w:b/>
                <w:sz w:val="22"/>
                <w:szCs w:val="22"/>
              </w:rPr>
              <w:t>.值守服务</w:t>
            </w:r>
          </w:p>
          <w:p w14:paraId="057116E8">
            <w:pPr>
              <w:pStyle w:val="1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2"/>
                <w:szCs w:val="22"/>
              </w:rPr>
            </w:pPr>
            <w:r>
              <w:rPr>
                <w:rFonts w:hint="eastAsia" w:ascii="宋体" w:hAnsi="宋体" w:eastAsia="宋体" w:cs="宋体"/>
                <w:sz w:val="22"/>
                <w:szCs w:val="22"/>
              </w:rPr>
              <w:t>重要节假日、重大活动（重大会议、重大活动、敏感时间段）期间，若采购人提出项目24小时值守需求，</w:t>
            </w:r>
            <w:r>
              <w:rPr>
                <w:rFonts w:hint="eastAsia" w:ascii="宋体" w:hAnsi="宋体" w:eastAsia="宋体" w:cs="宋体"/>
                <w:sz w:val="22"/>
                <w:szCs w:val="22"/>
                <w:lang w:eastAsia="zh-CN"/>
              </w:rPr>
              <w:t>成交人</w:t>
            </w:r>
            <w:r>
              <w:rPr>
                <w:rFonts w:hint="eastAsia" w:ascii="宋体" w:hAnsi="宋体" w:eastAsia="宋体" w:cs="宋体"/>
                <w:sz w:val="22"/>
                <w:szCs w:val="22"/>
              </w:rPr>
              <w:t>需按采购人需求作出响应。</w:t>
            </w:r>
          </w:p>
          <w:p w14:paraId="3FA85571">
            <w:pPr>
              <w:pStyle w:val="15"/>
              <w:spacing w:line="360" w:lineRule="auto"/>
              <w:jc w:val="both"/>
              <w:rPr>
                <w:rFonts w:hint="eastAsia" w:ascii="宋体" w:hAnsi="宋体" w:eastAsia="宋体" w:cs="宋体"/>
                <w:sz w:val="22"/>
                <w:szCs w:val="22"/>
              </w:rPr>
            </w:pPr>
            <w:r>
              <w:rPr>
                <w:rFonts w:hint="eastAsia" w:ascii="宋体" w:hAnsi="宋体" w:eastAsia="宋体" w:cs="宋体"/>
                <w:b/>
                <w:sz w:val="22"/>
                <w:szCs w:val="22"/>
              </w:rPr>
              <w:t>十二、培训服务要求</w:t>
            </w:r>
          </w:p>
          <w:p w14:paraId="4C56B822">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在运维期间，</w:t>
            </w:r>
            <w:r>
              <w:rPr>
                <w:rFonts w:hint="eastAsia" w:ascii="宋体" w:hAnsi="宋体" w:eastAsia="宋体" w:cs="宋体"/>
                <w:sz w:val="22"/>
                <w:szCs w:val="22"/>
                <w:lang w:eastAsia="zh-CN"/>
              </w:rPr>
              <w:t>成交人</w:t>
            </w:r>
            <w:r>
              <w:rPr>
                <w:rFonts w:hint="eastAsia" w:ascii="宋体" w:hAnsi="宋体" w:eastAsia="宋体" w:cs="宋体"/>
                <w:sz w:val="22"/>
                <w:szCs w:val="22"/>
              </w:rPr>
              <w:t>为采购人提供不少于1次培训，若采购人提出培训需求，</w:t>
            </w:r>
            <w:r>
              <w:rPr>
                <w:rFonts w:hint="eastAsia" w:ascii="宋体" w:hAnsi="宋体" w:eastAsia="宋体" w:cs="宋体"/>
                <w:sz w:val="22"/>
                <w:szCs w:val="22"/>
                <w:lang w:eastAsia="zh-CN"/>
              </w:rPr>
              <w:t>成交人</w:t>
            </w:r>
            <w:r>
              <w:rPr>
                <w:rFonts w:hint="eastAsia" w:ascii="宋体" w:hAnsi="宋体" w:eastAsia="宋体" w:cs="宋体"/>
                <w:sz w:val="22"/>
                <w:szCs w:val="22"/>
              </w:rPr>
              <w:t>需及时作出响应，并安排讲师进行培训。为了达到良好的培训效果，</w:t>
            </w:r>
            <w:r>
              <w:rPr>
                <w:rFonts w:hint="eastAsia" w:ascii="宋体" w:hAnsi="宋体" w:eastAsia="宋体" w:cs="宋体"/>
                <w:sz w:val="22"/>
                <w:szCs w:val="22"/>
                <w:lang w:eastAsia="zh-CN"/>
              </w:rPr>
              <w:t>成交人</w:t>
            </w:r>
            <w:r>
              <w:rPr>
                <w:rFonts w:hint="eastAsia" w:ascii="宋体" w:hAnsi="宋体" w:eastAsia="宋体" w:cs="宋体"/>
                <w:sz w:val="22"/>
                <w:szCs w:val="22"/>
              </w:rPr>
              <w:t>需提供相关培训教材及培训用具，应在培训前制定好详细的培训计划，罗列培训时间、地点、硬件和软件环境以及授课教师资质，为每个受训者提供一套培训材料，包括练习题、讲义、实验题等。</w:t>
            </w:r>
          </w:p>
          <w:p w14:paraId="385FC817">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根据采购人实际需要，在采购人指定范围内提供针对本项目信息系统系统架构设计、业务数据流、模块与模块之间关系，系统数据库结构关系和对数据库、应用服务器监控、系统调优专业课程及业务系统操作等的相关培训。在培训后制作问卷向采购人问询满意度，若采购人有需求，则需改进授课的方式，争取让采购人满意。</w:t>
            </w:r>
          </w:p>
          <w:p w14:paraId="430675D6">
            <w:pPr>
              <w:pStyle w:val="15"/>
              <w:spacing w:line="360" w:lineRule="auto"/>
              <w:jc w:val="both"/>
              <w:rPr>
                <w:rFonts w:hint="eastAsia" w:ascii="宋体" w:hAnsi="宋体" w:eastAsia="宋体" w:cs="宋体"/>
                <w:sz w:val="22"/>
                <w:szCs w:val="22"/>
              </w:rPr>
            </w:pPr>
            <w:r>
              <w:rPr>
                <w:rFonts w:hint="eastAsia" w:ascii="宋体" w:hAnsi="宋体" w:eastAsia="宋体" w:cs="宋体"/>
                <w:b/>
                <w:sz w:val="22"/>
                <w:szCs w:val="22"/>
              </w:rPr>
              <w:t>十三、维护工作执行办法</w:t>
            </w:r>
          </w:p>
          <w:p w14:paraId="28454E45">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lang w:eastAsia="zh-CN"/>
              </w:rPr>
              <w:t>成交人</w:t>
            </w:r>
            <w:r>
              <w:rPr>
                <w:rFonts w:hint="eastAsia" w:ascii="宋体" w:hAnsi="宋体" w:eastAsia="宋体" w:cs="宋体"/>
                <w:sz w:val="22"/>
                <w:szCs w:val="22"/>
              </w:rPr>
              <w:t>需按服务要求定期进行日常巡检，采购人不定期进行抽检；</w:t>
            </w:r>
            <w:r>
              <w:rPr>
                <w:rFonts w:hint="eastAsia" w:ascii="宋体" w:hAnsi="宋体" w:eastAsia="宋体" w:cs="宋体"/>
                <w:sz w:val="22"/>
                <w:szCs w:val="22"/>
                <w:lang w:eastAsia="zh-CN"/>
              </w:rPr>
              <w:t>成交人</w:t>
            </w:r>
            <w:r>
              <w:rPr>
                <w:rFonts w:hint="eastAsia" w:ascii="宋体" w:hAnsi="宋体" w:eastAsia="宋体" w:cs="宋体"/>
                <w:sz w:val="22"/>
                <w:szCs w:val="22"/>
              </w:rPr>
              <w:t>需每季度进行全面巡检，并提交照片和巡检报告，每周、每月、每季度定期向采购人提交周报、月报、季度报，作为考核和请款依据。</w:t>
            </w:r>
          </w:p>
          <w:p w14:paraId="1F786068">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成交人</w:t>
            </w:r>
            <w:r>
              <w:rPr>
                <w:rFonts w:hint="eastAsia" w:ascii="宋体" w:hAnsi="宋体" w:eastAsia="宋体" w:cs="宋体"/>
                <w:sz w:val="22"/>
                <w:szCs w:val="22"/>
              </w:rPr>
              <w:t>需按合同约定的要求开展日常巡检和运维服务工作，如发现质量问题将追究</w:t>
            </w:r>
            <w:r>
              <w:rPr>
                <w:rFonts w:hint="eastAsia" w:ascii="宋体" w:hAnsi="宋体" w:eastAsia="宋体" w:cs="宋体"/>
                <w:sz w:val="22"/>
                <w:szCs w:val="22"/>
                <w:lang w:eastAsia="zh-CN"/>
              </w:rPr>
              <w:t>成交人</w:t>
            </w:r>
            <w:r>
              <w:rPr>
                <w:rFonts w:hint="eastAsia" w:ascii="宋体" w:hAnsi="宋体" w:eastAsia="宋体" w:cs="宋体"/>
                <w:sz w:val="22"/>
                <w:szCs w:val="22"/>
              </w:rPr>
              <w:t>相应责任并根据考核结果扣除相应运维费。</w:t>
            </w:r>
          </w:p>
          <w:p w14:paraId="43C5C16B">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2.对涉及采购人的全部信息以及其他信息负有保密义务，未经采购人书面许可，</w:t>
            </w:r>
            <w:r>
              <w:rPr>
                <w:rFonts w:hint="eastAsia" w:ascii="宋体" w:hAnsi="宋体" w:eastAsia="宋体" w:cs="宋体"/>
                <w:sz w:val="22"/>
                <w:szCs w:val="22"/>
                <w:lang w:eastAsia="zh-CN"/>
              </w:rPr>
              <w:t>成交人</w:t>
            </w:r>
            <w:r>
              <w:rPr>
                <w:rFonts w:hint="eastAsia" w:ascii="宋体" w:hAnsi="宋体" w:eastAsia="宋体" w:cs="宋体"/>
                <w:sz w:val="22"/>
                <w:szCs w:val="22"/>
              </w:rPr>
              <w:t>不得以任何理由和形式私自使用及向外泄露。</w:t>
            </w:r>
          </w:p>
          <w:p w14:paraId="56EE8DC6">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成交人</w:t>
            </w:r>
            <w:r>
              <w:rPr>
                <w:rFonts w:hint="eastAsia" w:ascii="宋体" w:hAnsi="宋体" w:eastAsia="宋体" w:cs="宋体"/>
                <w:sz w:val="22"/>
                <w:szCs w:val="22"/>
              </w:rPr>
              <w:t>需了解采购人的使用情况，针对近期发生的故障分析产生的原因，培训采购人工作人员正确使用设备。</w:t>
            </w:r>
          </w:p>
          <w:p w14:paraId="3E55BE13">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eastAsia="zh-CN"/>
              </w:rPr>
              <w:t>成交人</w:t>
            </w:r>
            <w:r>
              <w:rPr>
                <w:rFonts w:hint="eastAsia" w:ascii="宋体" w:hAnsi="宋体" w:eastAsia="宋体" w:cs="宋体"/>
                <w:sz w:val="22"/>
                <w:szCs w:val="22"/>
              </w:rPr>
              <w:t>需安排专人进行资料管理。所有采购人的资料，每次在巡检中都应检查，并及时更新，使在册资料与实际情况完全保持一致。</w:t>
            </w:r>
          </w:p>
          <w:p w14:paraId="232FBB2C">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5.维护过程中，需要维修的故障在维修前需要向采购人进行书面确认，待维护完毕后同样需采购人书面确认后方可离场。</w:t>
            </w:r>
          </w:p>
          <w:p w14:paraId="628C8900">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eastAsia="zh-CN"/>
              </w:rPr>
              <w:t>成交人</w:t>
            </w:r>
            <w:r>
              <w:rPr>
                <w:rFonts w:hint="eastAsia" w:ascii="宋体" w:hAnsi="宋体" w:eastAsia="宋体" w:cs="宋体"/>
                <w:sz w:val="22"/>
                <w:szCs w:val="22"/>
              </w:rPr>
              <w:t>需配合采购人完成本项目范围内系统的网络安全等级保护测评工作与第三方软件测评工作。</w:t>
            </w:r>
          </w:p>
          <w:p w14:paraId="320D72C5">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7.</w:t>
            </w:r>
            <w:r>
              <w:rPr>
                <w:rFonts w:hint="eastAsia" w:ascii="宋体" w:hAnsi="宋体" w:eastAsia="宋体" w:cs="宋体"/>
                <w:sz w:val="22"/>
                <w:szCs w:val="22"/>
                <w:lang w:eastAsia="zh-CN"/>
              </w:rPr>
              <w:t>成交人</w:t>
            </w:r>
            <w:r>
              <w:rPr>
                <w:rFonts w:hint="eastAsia" w:ascii="宋体" w:hAnsi="宋体" w:eastAsia="宋体" w:cs="宋体"/>
                <w:sz w:val="22"/>
                <w:szCs w:val="22"/>
              </w:rPr>
              <w:t>需配合采购人完成项目审计工作，包括但不限于审计材料的收集与整理。</w:t>
            </w:r>
          </w:p>
          <w:p w14:paraId="5BA672A0">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8.运维服务团队需记录事件发生地点、设备名称、时间、事件现象等相关信息，形成运维事件处理登记表，综合管理团队根据事件现象判断运维事件类型，事件类型包括网络事件、硬件事件、软件事件，并根据判断结果指派工作人员，同时根据运维管理规定录入信息化运维事件工单，受指派工作人员到达事件现场，评估事件产生原因、影响力、重要性、紧迫性，决定是否需要启动应急预案，若需启动应急预案，则上报应急领导小组并执行应急预案管理流程，运维过程中判断</w:t>
            </w:r>
            <w:r>
              <w:rPr>
                <w:rFonts w:hint="eastAsia" w:ascii="宋体" w:hAnsi="宋体" w:eastAsia="宋体" w:cs="宋体"/>
                <w:sz w:val="22"/>
                <w:szCs w:val="22"/>
                <w:lang w:eastAsia="zh-CN"/>
              </w:rPr>
              <w:t>成交人</w:t>
            </w:r>
            <w:r>
              <w:rPr>
                <w:rFonts w:hint="eastAsia" w:ascii="宋体" w:hAnsi="宋体" w:eastAsia="宋体" w:cs="宋体"/>
                <w:sz w:val="22"/>
                <w:szCs w:val="22"/>
              </w:rPr>
              <w:t>是否能独立完成运维，若不能，则考虑将服务外包，并执行服务外包管理流程，输出运维事件处理记录表，事件处理过程中判断是否需要变更运维，若需变更，则按照运维变更处理流程开展工作，最后当运维变更需求处理结束确认无误后，管理员关闭工单，并将此次运维事件的处理方法录入运维知识库以备日后参考，流程结束。</w:t>
            </w:r>
          </w:p>
          <w:p w14:paraId="4214DF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rPr>
              <w:drawing>
                <wp:inline distT="0" distB="0" distL="0" distR="0">
                  <wp:extent cx="4006850" cy="4582795"/>
                  <wp:effectExtent l="0" t="0" r="12700" b="8255"/>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5"/>
                          <a:stretch>
                            <a:fillRect/>
                          </a:stretch>
                        </pic:blipFill>
                        <pic:spPr>
                          <a:xfrm>
                            <a:off x="0" y="0"/>
                            <a:ext cx="4006850" cy="4582795"/>
                          </a:xfrm>
                          <a:prstGeom prst="rect">
                            <a:avLst/>
                          </a:prstGeom>
                        </pic:spPr>
                      </pic:pic>
                    </a:graphicData>
                  </a:graphic>
                </wp:inline>
              </w:drawing>
            </w:r>
          </w:p>
        </w:tc>
        <w:tc>
          <w:tcPr>
            <w:tcW w:w="1774" w:type="dxa"/>
            <w:vAlign w:val="top"/>
          </w:tcPr>
          <w:p w14:paraId="67DD0D3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13" w:type="dxa"/>
            <w:vAlign w:val="top"/>
          </w:tcPr>
          <w:p w14:paraId="488D7C6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125" w:type="dxa"/>
            <w:vAlign w:val="top"/>
          </w:tcPr>
          <w:p w14:paraId="2A4843C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2D8204F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00374AC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125A0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61B78FC7">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38" w:type="dxa"/>
            <w:vAlign w:val="top"/>
          </w:tcPr>
          <w:p w14:paraId="1956C32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74BAB3E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01D0F94E">
            <w:pPr>
              <w:pStyle w:val="15"/>
              <w:spacing w:line="360" w:lineRule="auto"/>
              <w:jc w:val="both"/>
              <w:rPr>
                <w:rFonts w:hint="eastAsia" w:ascii="宋体" w:hAnsi="宋体" w:eastAsia="宋体" w:cs="宋体"/>
                <w:sz w:val="22"/>
                <w:szCs w:val="22"/>
              </w:rPr>
            </w:pPr>
            <w:r>
              <w:rPr>
                <w:rFonts w:hint="eastAsia" w:ascii="宋体" w:hAnsi="宋体" w:eastAsia="宋体" w:cs="宋体"/>
                <w:b/>
                <w:sz w:val="22"/>
                <w:szCs w:val="22"/>
              </w:rPr>
              <w:t>十四、保密要求</w:t>
            </w:r>
          </w:p>
          <w:p w14:paraId="283855EE">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1.为切实加强大数据平台各项应用的安全使用和管理，确保国家秘密和警务工作秘密的绝对安全，严防出现因越权访问、违规操作等造成公安信息泄露、侵犯公民隐私的行为发生，系统用户必须严格落实公安信息共享查询应用“七不准”管理规定，并承诺做到：</w:t>
            </w:r>
          </w:p>
          <w:p w14:paraId="3F640BF5">
            <w:pPr>
              <w:pStyle w:val="15"/>
              <w:spacing w:line="360" w:lineRule="auto"/>
              <w:ind w:firstLine="440"/>
              <w:jc w:val="both"/>
              <w:rPr>
                <w:rFonts w:hint="eastAsia" w:ascii="宋体" w:hAnsi="宋体" w:eastAsia="宋体" w:cs="宋体"/>
                <w:sz w:val="22"/>
                <w:szCs w:val="22"/>
              </w:rPr>
            </w:pPr>
            <w:r>
              <w:rPr>
                <w:rFonts w:hint="eastAsia" w:ascii="宋体" w:hAnsi="宋体" w:eastAsia="宋体" w:cs="宋体"/>
                <w:sz w:val="22"/>
                <w:szCs w:val="22"/>
              </w:rPr>
              <w:t>（1）严格遵守国家保密法律、法规和有关规章制度，履行保密义务，保守党和国家的秘密、保守公安工作秘密。</w:t>
            </w:r>
          </w:p>
          <w:p w14:paraId="09DDBE40">
            <w:pPr>
              <w:pStyle w:val="15"/>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（2）不将应用系统授权数字证书或账号转借他人使用。</w:t>
            </w:r>
          </w:p>
          <w:p w14:paraId="3BAE783F">
            <w:pPr>
              <w:pStyle w:val="15"/>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（3）不违规申报和审批系统授权用户。</w:t>
            </w:r>
          </w:p>
          <w:p w14:paraId="18C29505">
            <w:pPr>
              <w:pStyle w:val="15"/>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（4）不非法扫描、入侵系统，扰乱系统正常运行。</w:t>
            </w:r>
          </w:p>
          <w:p w14:paraId="5BFB992E">
            <w:pPr>
              <w:pStyle w:val="15"/>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（5）不公开宣传、与无关人员谈论应用系统及其相关内容。</w:t>
            </w:r>
          </w:p>
          <w:p w14:paraId="182E4342">
            <w:pPr>
              <w:pStyle w:val="15"/>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（6）不泄露、传播或出售通过应用系统获取的信息。</w:t>
            </w:r>
          </w:p>
          <w:p w14:paraId="4C4911D0">
            <w:pPr>
              <w:pStyle w:val="15"/>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（7）不对应用系统应用违规行为隐瞒不报、包庇袒护。</w:t>
            </w:r>
          </w:p>
          <w:p w14:paraId="5F2814B5">
            <w:pPr>
              <w:pStyle w:val="15"/>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（8）非因工作原因，不使用应用系统获取的各类信息。</w:t>
            </w:r>
          </w:p>
          <w:p w14:paraId="5C0F88A0">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2.应遵守采购人各项规章制度、工作流程和安全保密规定，接受采购人日常工作管理，做好安全检查与防范工作。</w:t>
            </w:r>
            <w:r>
              <w:rPr>
                <w:rFonts w:hint="eastAsia" w:ascii="宋体" w:hAnsi="宋体" w:eastAsia="宋体" w:cs="宋体"/>
                <w:sz w:val="22"/>
                <w:szCs w:val="22"/>
                <w:lang w:val="en-US" w:eastAsia="zh-CN"/>
              </w:rPr>
              <w:t>运维</w:t>
            </w:r>
            <w:r>
              <w:rPr>
                <w:rFonts w:hint="eastAsia" w:ascii="宋体" w:hAnsi="宋体" w:eastAsia="宋体" w:cs="宋体"/>
                <w:sz w:val="22"/>
                <w:szCs w:val="22"/>
              </w:rPr>
              <w:t>人员应按照采购人要求签署保密协议，承担安全保密责任和义务，并通过人防和</w:t>
            </w:r>
            <w:bookmarkStart w:id="0" w:name="_GoBack"/>
            <w:bookmarkEnd w:id="0"/>
            <w:r>
              <w:rPr>
                <w:rFonts w:hint="eastAsia" w:ascii="宋体" w:hAnsi="宋体" w:eastAsia="宋体" w:cs="宋体"/>
                <w:sz w:val="22"/>
                <w:szCs w:val="22"/>
              </w:rPr>
              <w:t>技防手段确保运维过程中产生的各类交易信息数据安全保密。</w:t>
            </w:r>
          </w:p>
          <w:p w14:paraId="6D5DFD56">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成交人</w:t>
            </w:r>
            <w:r>
              <w:rPr>
                <w:rFonts w:hint="eastAsia" w:ascii="宋体" w:hAnsi="宋体" w:eastAsia="宋体" w:cs="宋体"/>
                <w:sz w:val="22"/>
                <w:szCs w:val="22"/>
              </w:rPr>
              <w:t>对采购人所提供的所有资料以及在合同签订、履行过程中所接触到的采购人及</w:t>
            </w:r>
            <w:r>
              <w:rPr>
                <w:rFonts w:hint="eastAsia" w:ascii="宋体" w:hAnsi="宋体" w:eastAsia="宋体" w:cs="宋体"/>
                <w:sz w:val="22"/>
                <w:szCs w:val="22"/>
                <w:lang w:val="en-US" w:eastAsia="zh-CN"/>
              </w:rPr>
              <w:t>相关警务秘密或国际秘密</w:t>
            </w:r>
            <w:r>
              <w:rPr>
                <w:rFonts w:hint="eastAsia" w:ascii="宋体" w:hAnsi="宋体" w:eastAsia="宋体" w:cs="宋体"/>
                <w:sz w:val="22"/>
                <w:szCs w:val="22"/>
              </w:rPr>
              <w:t>、技术资料信息等资料和信息（统称“保密资料”）负有保密义务。未经采购人书面许可，</w:t>
            </w:r>
            <w:r>
              <w:rPr>
                <w:rFonts w:hint="eastAsia" w:ascii="宋体" w:hAnsi="宋体" w:eastAsia="宋体" w:cs="宋体"/>
                <w:sz w:val="22"/>
                <w:szCs w:val="22"/>
                <w:lang w:eastAsia="zh-CN"/>
              </w:rPr>
              <w:t>成交人</w:t>
            </w:r>
            <w:r>
              <w:rPr>
                <w:rFonts w:hint="eastAsia" w:ascii="宋体" w:hAnsi="宋体" w:eastAsia="宋体" w:cs="宋体"/>
                <w:sz w:val="22"/>
                <w:szCs w:val="22"/>
              </w:rPr>
              <w:t>不得向任何第三方披露，不得将保密资料的部分或全部用于本合同约定事项以外的其他用途。</w:t>
            </w:r>
            <w:r>
              <w:rPr>
                <w:rFonts w:hint="eastAsia" w:ascii="宋体" w:hAnsi="宋体" w:eastAsia="宋体" w:cs="宋体"/>
                <w:sz w:val="22"/>
                <w:szCs w:val="22"/>
                <w:lang w:eastAsia="zh-CN"/>
              </w:rPr>
              <w:t>成交人</w:t>
            </w:r>
            <w:r>
              <w:rPr>
                <w:rFonts w:hint="eastAsia" w:ascii="宋体" w:hAnsi="宋体" w:eastAsia="宋体" w:cs="宋体"/>
                <w:sz w:val="22"/>
                <w:szCs w:val="22"/>
              </w:rPr>
              <w:t>有义务对保密资料采取不低于对其本身商业秘密所采取的保护手段予以保护。</w:t>
            </w:r>
            <w:r>
              <w:rPr>
                <w:rFonts w:hint="eastAsia" w:ascii="宋体" w:hAnsi="宋体" w:eastAsia="宋体" w:cs="宋体"/>
                <w:sz w:val="22"/>
                <w:szCs w:val="22"/>
                <w:lang w:eastAsia="zh-CN"/>
              </w:rPr>
              <w:t>成交人</w:t>
            </w:r>
            <w:r>
              <w:rPr>
                <w:rFonts w:hint="eastAsia" w:ascii="宋体" w:hAnsi="宋体" w:eastAsia="宋体" w:cs="宋体"/>
                <w:sz w:val="22"/>
                <w:szCs w:val="22"/>
              </w:rPr>
              <w:t>可仅为合同目的向其内部有知悉保密资料必要的工作人员披露保密资料，但同时须指示其工作人员遵守本条规定的保密及不披露义务。</w:t>
            </w:r>
          </w:p>
          <w:p w14:paraId="02386373">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eastAsia="zh-CN"/>
              </w:rPr>
              <w:t>成交人</w:t>
            </w:r>
            <w:r>
              <w:rPr>
                <w:rFonts w:hint="eastAsia" w:ascii="宋体" w:hAnsi="宋体" w:eastAsia="宋体" w:cs="宋体"/>
                <w:sz w:val="22"/>
                <w:szCs w:val="22"/>
              </w:rPr>
              <w:t>仅可以为履行合同之目的对保密资料进行复制。</w:t>
            </w:r>
            <w:r>
              <w:rPr>
                <w:rFonts w:hint="eastAsia" w:ascii="宋体" w:hAnsi="宋体" w:eastAsia="宋体" w:cs="宋体"/>
                <w:sz w:val="22"/>
                <w:szCs w:val="22"/>
                <w:lang w:eastAsia="zh-CN"/>
              </w:rPr>
              <w:t>成交人</w:t>
            </w:r>
            <w:r>
              <w:rPr>
                <w:rFonts w:hint="eastAsia" w:ascii="宋体" w:hAnsi="宋体" w:eastAsia="宋体" w:cs="宋体"/>
                <w:sz w:val="22"/>
                <w:szCs w:val="22"/>
              </w:rPr>
              <w:t>不得以任何方式（如软硬盘、图纸、彩样、照片、菲林、光盘等）留存保密资料。</w:t>
            </w:r>
            <w:r>
              <w:rPr>
                <w:rFonts w:hint="eastAsia" w:ascii="宋体" w:hAnsi="宋体" w:eastAsia="宋体" w:cs="宋体"/>
                <w:sz w:val="22"/>
                <w:szCs w:val="22"/>
                <w:lang w:eastAsia="zh-CN"/>
              </w:rPr>
              <w:t>成交人</w:t>
            </w:r>
            <w:r>
              <w:rPr>
                <w:rFonts w:hint="eastAsia" w:ascii="宋体" w:hAnsi="宋体" w:eastAsia="宋体" w:cs="宋体"/>
                <w:sz w:val="22"/>
                <w:szCs w:val="22"/>
              </w:rPr>
              <w:t>应当在完成本项目任务或本合同终止或解除时将保密资料原件全部返还采购人，并销毁所有复制件。</w:t>
            </w:r>
            <w:r>
              <w:rPr>
                <w:rFonts w:hint="eastAsia" w:ascii="宋体" w:hAnsi="宋体" w:eastAsia="宋体" w:cs="宋体"/>
                <w:sz w:val="22"/>
                <w:szCs w:val="22"/>
                <w:lang w:eastAsia="zh-CN"/>
              </w:rPr>
              <w:t>成交人</w:t>
            </w:r>
            <w:r>
              <w:rPr>
                <w:rFonts w:hint="eastAsia" w:ascii="宋体" w:hAnsi="宋体" w:eastAsia="宋体" w:cs="宋体"/>
                <w:sz w:val="22"/>
                <w:szCs w:val="22"/>
              </w:rPr>
              <w:t>应当妥善保管保密资料，并对保密资料在</w:t>
            </w:r>
            <w:r>
              <w:rPr>
                <w:rFonts w:hint="eastAsia" w:ascii="宋体" w:hAnsi="宋体" w:eastAsia="宋体" w:cs="宋体"/>
                <w:sz w:val="22"/>
                <w:szCs w:val="22"/>
                <w:lang w:eastAsia="zh-CN"/>
              </w:rPr>
              <w:t>成交人</w:t>
            </w:r>
            <w:r>
              <w:rPr>
                <w:rFonts w:hint="eastAsia" w:ascii="宋体" w:hAnsi="宋体" w:eastAsia="宋体" w:cs="宋体"/>
                <w:sz w:val="22"/>
                <w:szCs w:val="22"/>
              </w:rPr>
              <w:t>服务期间发生的被盗、泄露或其他有损保密资料保密性的事件承担全部责任，因此造成采购人损失的，</w:t>
            </w:r>
            <w:r>
              <w:rPr>
                <w:rFonts w:hint="eastAsia" w:ascii="宋体" w:hAnsi="宋体" w:eastAsia="宋体" w:cs="宋体"/>
                <w:sz w:val="22"/>
                <w:szCs w:val="22"/>
                <w:lang w:eastAsia="zh-CN"/>
              </w:rPr>
              <w:t>成交人</w:t>
            </w:r>
            <w:r>
              <w:rPr>
                <w:rFonts w:hint="eastAsia" w:ascii="宋体" w:hAnsi="宋体" w:eastAsia="宋体" w:cs="宋体"/>
                <w:sz w:val="22"/>
                <w:szCs w:val="22"/>
              </w:rPr>
              <w:t>应负责赔偿。</w:t>
            </w:r>
          </w:p>
          <w:p w14:paraId="38FB9C2B">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5.当出现下述情况时，本条对保密资料的限制不适用。当保密资料：</w:t>
            </w:r>
          </w:p>
          <w:p w14:paraId="6965302E">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（1）并非</w:t>
            </w:r>
            <w:r>
              <w:rPr>
                <w:rFonts w:hint="eastAsia" w:ascii="宋体" w:hAnsi="宋体" w:eastAsia="宋体" w:cs="宋体"/>
                <w:sz w:val="22"/>
                <w:szCs w:val="22"/>
                <w:lang w:eastAsia="zh-CN"/>
              </w:rPr>
              <w:t>成交人</w:t>
            </w:r>
            <w:r>
              <w:rPr>
                <w:rFonts w:hint="eastAsia" w:ascii="宋体" w:hAnsi="宋体" w:eastAsia="宋体" w:cs="宋体"/>
                <w:sz w:val="22"/>
                <w:szCs w:val="22"/>
              </w:rPr>
              <w:t>的过错而已经进入公有领域的。</w:t>
            </w:r>
          </w:p>
          <w:p w14:paraId="37A71704">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（2）已通过该方的有关记录证明是由</w:t>
            </w:r>
            <w:r>
              <w:rPr>
                <w:rFonts w:hint="eastAsia" w:ascii="宋体" w:hAnsi="宋体" w:eastAsia="宋体" w:cs="宋体"/>
                <w:sz w:val="22"/>
                <w:szCs w:val="22"/>
                <w:lang w:eastAsia="zh-CN"/>
              </w:rPr>
              <w:t>成交人</w:t>
            </w:r>
            <w:r>
              <w:rPr>
                <w:rFonts w:hint="eastAsia" w:ascii="宋体" w:hAnsi="宋体" w:eastAsia="宋体" w:cs="宋体"/>
                <w:sz w:val="22"/>
                <w:szCs w:val="22"/>
              </w:rPr>
              <w:t>独立开发的。</w:t>
            </w:r>
          </w:p>
          <w:p w14:paraId="4F5D49BD">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（3）由</w:t>
            </w:r>
            <w:r>
              <w:rPr>
                <w:rFonts w:hint="eastAsia" w:ascii="宋体" w:hAnsi="宋体" w:eastAsia="宋体" w:cs="宋体"/>
                <w:sz w:val="22"/>
                <w:szCs w:val="22"/>
                <w:lang w:eastAsia="zh-CN"/>
              </w:rPr>
              <w:t>成交人</w:t>
            </w:r>
            <w:r>
              <w:rPr>
                <w:rFonts w:hint="eastAsia" w:ascii="宋体" w:hAnsi="宋体" w:eastAsia="宋体" w:cs="宋体"/>
                <w:sz w:val="22"/>
                <w:szCs w:val="22"/>
              </w:rPr>
              <w:t>从没有违反对采购人的保密义务的人合法取得的。</w:t>
            </w:r>
          </w:p>
          <w:p w14:paraId="4FC33328">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（4）法律要求</w:t>
            </w:r>
            <w:r>
              <w:rPr>
                <w:rFonts w:hint="eastAsia" w:ascii="宋体" w:hAnsi="宋体" w:eastAsia="宋体" w:cs="宋体"/>
                <w:sz w:val="22"/>
                <w:szCs w:val="22"/>
                <w:lang w:eastAsia="zh-CN"/>
              </w:rPr>
              <w:t>成交人</w:t>
            </w:r>
            <w:r>
              <w:rPr>
                <w:rFonts w:hint="eastAsia" w:ascii="宋体" w:hAnsi="宋体" w:eastAsia="宋体" w:cs="宋体"/>
                <w:sz w:val="22"/>
                <w:szCs w:val="22"/>
              </w:rPr>
              <w:t>披露的，但</w:t>
            </w:r>
            <w:r>
              <w:rPr>
                <w:rFonts w:hint="eastAsia" w:ascii="宋体" w:hAnsi="宋体" w:eastAsia="宋体" w:cs="宋体"/>
                <w:sz w:val="22"/>
                <w:szCs w:val="22"/>
                <w:lang w:eastAsia="zh-CN"/>
              </w:rPr>
              <w:t>成交人</w:t>
            </w:r>
            <w:r>
              <w:rPr>
                <w:rFonts w:hint="eastAsia" w:ascii="宋体" w:hAnsi="宋体" w:eastAsia="宋体" w:cs="宋体"/>
                <w:sz w:val="22"/>
                <w:szCs w:val="22"/>
              </w:rPr>
              <w:t>应在合理的时间提前通知采购人，使其得以采取其认为必要的保护措施。</w:t>
            </w:r>
          </w:p>
          <w:p w14:paraId="5E7A2FB6">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6.如</w:t>
            </w:r>
            <w:r>
              <w:rPr>
                <w:rFonts w:hint="eastAsia" w:ascii="宋体" w:hAnsi="宋体" w:eastAsia="宋体" w:cs="宋体"/>
                <w:sz w:val="22"/>
                <w:szCs w:val="22"/>
                <w:lang w:eastAsia="zh-CN"/>
              </w:rPr>
              <w:t>成交人</w:t>
            </w:r>
            <w:r>
              <w:rPr>
                <w:rFonts w:hint="eastAsia" w:ascii="宋体" w:hAnsi="宋体" w:eastAsia="宋体" w:cs="宋体"/>
                <w:sz w:val="22"/>
                <w:szCs w:val="22"/>
              </w:rPr>
              <w:t>违反合同关于保密的约定，</w:t>
            </w:r>
            <w:r>
              <w:rPr>
                <w:rFonts w:hint="eastAsia" w:ascii="宋体" w:hAnsi="宋体" w:eastAsia="宋体" w:cs="宋体"/>
                <w:sz w:val="22"/>
                <w:szCs w:val="22"/>
                <w:lang w:eastAsia="zh-CN"/>
              </w:rPr>
              <w:t>成交人</w:t>
            </w:r>
            <w:r>
              <w:rPr>
                <w:rFonts w:hint="eastAsia" w:ascii="宋体" w:hAnsi="宋体" w:eastAsia="宋体" w:cs="宋体"/>
                <w:sz w:val="22"/>
                <w:szCs w:val="22"/>
              </w:rPr>
              <w:t>应赔偿因此而给采购人造成的一切损失。</w:t>
            </w:r>
          </w:p>
          <w:p w14:paraId="4B768A3C">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7.保密条款自保密资料提供或披露之日起至永久有效。</w:t>
            </w:r>
          </w:p>
          <w:p w14:paraId="5BC5D241">
            <w:pPr>
              <w:pStyle w:val="15"/>
              <w:spacing w:line="360" w:lineRule="auto"/>
              <w:jc w:val="both"/>
              <w:rPr>
                <w:rFonts w:hint="eastAsia" w:ascii="宋体" w:hAnsi="宋体" w:eastAsia="宋体" w:cs="宋体"/>
                <w:sz w:val="22"/>
                <w:szCs w:val="22"/>
              </w:rPr>
            </w:pPr>
            <w:r>
              <w:rPr>
                <w:rFonts w:hint="eastAsia" w:ascii="宋体" w:hAnsi="宋体" w:eastAsia="宋体" w:cs="宋体"/>
                <w:b/>
                <w:sz w:val="22"/>
                <w:szCs w:val="22"/>
              </w:rPr>
              <w:t>十五、安全管理要求</w:t>
            </w:r>
          </w:p>
          <w:p w14:paraId="03BBF710">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成交人</w:t>
            </w:r>
            <w:r>
              <w:rPr>
                <w:rFonts w:hint="eastAsia" w:ascii="宋体" w:hAnsi="宋体" w:eastAsia="宋体" w:cs="宋体"/>
                <w:sz w:val="22"/>
                <w:szCs w:val="22"/>
              </w:rPr>
              <w:t>是业务安全生产管理主体，对业务安全生产管理工作负全责。</w:t>
            </w:r>
          </w:p>
          <w:p w14:paraId="08926FA3">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成交人</w:t>
            </w:r>
            <w:r>
              <w:rPr>
                <w:rFonts w:hint="eastAsia" w:ascii="宋体" w:hAnsi="宋体" w:eastAsia="宋体" w:cs="宋体"/>
                <w:sz w:val="22"/>
                <w:szCs w:val="22"/>
              </w:rPr>
              <w:t>负责日常安全生产管理，采购人只负责对</w:t>
            </w:r>
            <w:r>
              <w:rPr>
                <w:rFonts w:hint="eastAsia" w:ascii="宋体" w:hAnsi="宋体" w:eastAsia="宋体" w:cs="宋体"/>
                <w:sz w:val="22"/>
                <w:szCs w:val="22"/>
                <w:lang w:eastAsia="zh-CN"/>
              </w:rPr>
              <w:t>成交人</w:t>
            </w:r>
            <w:r>
              <w:rPr>
                <w:rFonts w:hint="eastAsia" w:ascii="宋体" w:hAnsi="宋体" w:eastAsia="宋体" w:cs="宋体"/>
                <w:sz w:val="22"/>
                <w:szCs w:val="22"/>
              </w:rPr>
              <w:t>进行考核和必要的监督检查。</w:t>
            </w:r>
          </w:p>
          <w:p w14:paraId="0DD9D572">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3.按“谁聘用、谁负责”原则，</w:t>
            </w:r>
            <w:r>
              <w:rPr>
                <w:rFonts w:hint="eastAsia" w:ascii="宋体" w:hAnsi="宋体" w:eastAsia="宋体" w:cs="宋体"/>
                <w:sz w:val="22"/>
                <w:szCs w:val="22"/>
                <w:lang w:eastAsia="zh-CN"/>
              </w:rPr>
              <w:t>成交人</w:t>
            </w:r>
            <w:r>
              <w:rPr>
                <w:rFonts w:hint="eastAsia" w:ascii="宋体" w:hAnsi="宋体" w:eastAsia="宋体" w:cs="宋体"/>
                <w:sz w:val="22"/>
                <w:szCs w:val="22"/>
              </w:rPr>
              <w:t>负责从业人员安全教育培训工作。</w:t>
            </w:r>
          </w:p>
          <w:p w14:paraId="2E7FCC0B">
            <w:pPr>
              <w:pStyle w:val="15"/>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4.劳动保护用品发放由从业人员劳动关系所属单位负责。即由</w:t>
            </w:r>
            <w:r>
              <w:rPr>
                <w:rFonts w:hint="eastAsia" w:ascii="宋体" w:hAnsi="宋体" w:eastAsia="宋体" w:cs="宋体"/>
                <w:sz w:val="22"/>
                <w:szCs w:val="22"/>
                <w:lang w:eastAsia="zh-CN"/>
              </w:rPr>
              <w:t>成交人</w:t>
            </w:r>
            <w:r>
              <w:rPr>
                <w:rFonts w:hint="eastAsia" w:ascii="宋体" w:hAnsi="宋体" w:eastAsia="宋体" w:cs="宋体"/>
                <w:sz w:val="22"/>
                <w:szCs w:val="22"/>
              </w:rPr>
              <w:t>负责采购及发放。</w:t>
            </w:r>
          </w:p>
          <w:p w14:paraId="73C4FE17">
            <w:pPr>
              <w:pStyle w:val="15"/>
              <w:spacing w:line="360" w:lineRule="auto"/>
              <w:jc w:val="both"/>
              <w:rPr>
                <w:rFonts w:hint="eastAsia" w:ascii="宋体" w:hAnsi="宋体" w:eastAsia="宋体" w:cs="宋体"/>
                <w:sz w:val="22"/>
                <w:szCs w:val="22"/>
              </w:rPr>
            </w:pPr>
            <w:r>
              <w:rPr>
                <w:rFonts w:hint="eastAsia" w:ascii="宋体" w:hAnsi="宋体" w:eastAsia="宋体" w:cs="宋体"/>
                <w:b/>
                <w:sz w:val="22"/>
                <w:szCs w:val="22"/>
              </w:rPr>
              <w:t xml:space="preserve">    </w:t>
            </w:r>
            <w:r>
              <w:rPr>
                <w:rFonts w:hint="eastAsia" w:ascii="宋体" w:hAnsi="宋体" w:eastAsia="宋体" w:cs="宋体"/>
                <w:sz w:val="22"/>
                <w:szCs w:val="22"/>
              </w:rPr>
              <w:t>5.若服务期间发生的各种工伤、生产安全事故，事故处理及赔偿均由</w:t>
            </w:r>
            <w:r>
              <w:rPr>
                <w:rFonts w:hint="eastAsia" w:ascii="宋体" w:hAnsi="宋体" w:eastAsia="宋体" w:cs="宋体"/>
                <w:sz w:val="22"/>
                <w:szCs w:val="22"/>
                <w:lang w:eastAsia="zh-CN"/>
              </w:rPr>
              <w:t>成交人</w:t>
            </w:r>
            <w:r>
              <w:rPr>
                <w:rFonts w:hint="eastAsia" w:ascii="宋体" w:hAnsi="宋体" w:eastAsia="宋体" w:cs="宋体"/>
                <w:sz w:val="22"/>
                <w:szCs w:val="22"/>
              </w:rPr>
              <w:t>负责，采购人免予承担一切责任。</w:t>
            </w:r>
            <w:r>
              <w:rPr>
                <w:rFonts w:hint="eastAsia" w:ascii="宋体" w:hAnsi="宋体" w:eastAsia="宋体" w:cs="宋体"/>
                <w:sz w:val="22"/>
                <w:szCs w:val="22"/>
                <w:lang w:eastAsia="zh-CN"/>
              </w:rPr>
              <w:t>成交人</w:t>
            </w:r>
            <w:r>
              <w:rPr>
                <w:rFonts w:hint="eastAsia" w:ascii="宋体" w:hAnsi="宋体" w:eastAsia="宋体" w:cs="宋体"/>
                <w:sz w:val="22"/>
                <w:szCs w:val="22"/>
              </w:rPr>
              <w:t>负责贯彻实施好国家及当地安全系统运维服务规定，排除安全隐患，注意运维安全，保证服务人员具备相应的资质要求，佩证上岗。如服务期间出现财产损失或人身损害等安全事故由</w:t>
            </w:r>
            <w:r>
              <w:rPr>
                <w:rFonts w:hint="eastAsia" w:ascii="宋体" w:hAnsi="宋体" w:eastAsia="宋体" w:cs="宋体"/>
                <w:sz w:val="22"/>
                <w:szCs w:val="22"/>
                <w:lang w:eastAsia="zh-CN"/>
              </w:rPr>
              <w:t>成交人</w:t>
            </w:r>
            <w:r>
              <w:rPr>
                <w:rFonts w:hint="eastAsia" w:ascii="宋体" w:hAnsi="宋体" w:eastAsia="宋体" w:cs="宋体"/>
                <w:sz w:val="22"/>
                <w:szCs w:val="22"/>
              </w:rPr>
              <w:t>负责，造成采购人损失，由</w:t>
            </w:r>
            <w:r>
              <w:rPr>
                <w:rFonts w:hint="eastAsia" w:ascii="宋体" w:hAnsi="宋体" w:eastAsia="宋体" w:cs="宋体"/>
                <w:sz w:val="22"/>
                <w:szCs w:val="22"/>
                <w:lang w:eastAsia="zh-CN"/>
              </w:rPr>
              <w:t>成交人</w:t>
            </w:r>
            <w:r>
              <w:rPr>
                <w:rFonts w:hint="eastAsia" w:ascii="宋体" w:hAnsi="宋体" w:eastAsia="宋体" w:cs="宋体"/>
                <w:sz w:val="22"/>
                <w:szCs w:val="22"/>
              </w:rPr>
              <w:t>承担赔偿责任。</w:t>
            </w:r>
          </w:p>
          <w:p w14:paraId="34A013CB">
            <w:pPr>
              <w:pStyle w:val="15"/>
              <w:spacing w:line="360" w:lineRule="auto"/>
              <w:jc w:val="both"/>
              <w:rPr>
                <w:rFonts w:hint="eastAsia" w:ascii="宋体" w:hAnsi="宋体" w:eastAsia="宋体" w:cs="宋体"/>
                <w:sz w:val="22"/>
                <w:szCs w:val="22"/>
              </w:rPr>
            </w:pPr>
            <w:r>
              <w:rPr>
                <w:rFonts w:hint="eastAsia" w:ascii="宋体" w:hAnsi="宋体" w:eastAsia="宋体" w:cs="宋体"/>
                <w:sz w:val="22"/>
                <w:szCs w:val="22"/>
              </w:rPr>
              <w:t xml:space="preserve">    6.</w:t>
            </w:r>
            <w:r>
              <w:rPr>
                <w:rFonts w:hint="eastAsia" w:ascii="宋体" w:hAnsi="宋体" w:eastAsia="宋体" w:cs="宋体"/>
                <w:sz w:val="22"/>
                <w:szCs w:val="22"/>
                <w:lang w:eastAsia="zh-CN"/>
              </w:rPr>
              <w:t>成交人</w:t>
            </w:r>
            <w:r>
              <w:rPr>
                <w:rFonts w:hint="eastAsia" w:ascii="宋体" w:hAnsi="宋体" w:eastAsia="宋体" w:cs="宋体"/>
                <w:sz w:val="22"/>
                <w:szCs w:val="22"/>
              </w:rPr>
              <w:t>执行采购人关于运维制服、外勤工作服款式、颜色的规定，采购由</w:t>
            </w:r>
            <w:r>
              <w:rPr>
                <w:rFonts w:hint="eastAsia" w:ascii="宋体" w:hAnsi="宋体" w:eastAsia="宋体" w:cs="宋体"/>
                <w:sz w:val="22"/>
                <w:szCs w:val="22"/>
                <w:lang w:eastAsia="zh-CN"/>
              </w:rPr>
              <w:t>成交人</w:t>
            </w:r>
            <w:r>
              <w:rPr>
                <w:rFonts w:hint="eastAsia" w:ascii="宋体" w:hAnsi="宋体" w:eastAsia="宋体" w:cs="宋体"/>
                <w:sz w:val="22"/>
                <w:szCs w:val="22"/>
              </w:rPr>
              <w:t>直接负责。</w:t>
            </w:r>
          </w:p>
          <w:p w14:paraId="44663D61">
            <w:pPr>
              <w:pStyle w:val="15"/>
              <w:spacing w:line="360" w:lineRule="auto"/>
              <w:ind w:firstLine="440"/>
              <w:rPr>
                <w:rFonts w:hint="eastAsia" w:ascii="宋体" w:hAnsi="宋体" w:eastAsia="宋体" w:cs="宋体"/>
                <w:sz w:val="22"/>
                <w:szCs w:val="22"/>
                <w:lang w:val="en-US" w:eastAsia="zh-CN"/>
              </w:rPr>
            </w:pPr>
            <w:r>
              <w:rPr>
                <w:rFonts w:hint="eastAsia" w:ascii="宋体" w:hAnsi="宋体" w:eastAsia="宋体" w:cs="宋体"/>
                <w:sz w:val="22"/>
                <w:szCs w:val="22"/>
              </w:rPr>
              <w:t>7.所涉及的安全生产费用由</w:t>
            </w:r>
            <w:r>
              <w:rPr>
                <w:rFonts w:hint="eastAsia" w:ascii="宋体" w:hAnsi="宋体" w:eastAsia="宋体" w:cs="宋体"/>
                <w:sz w:val="22"/>
                <w:szCs w:val="22"/>
                <w:lang w:eastAsia="zh-CN"/>
              </w:rPr>
              <w:t>成交人</w:t>
            </w:r>
            <w:r>
              <w:rPr>
                <w:rFonts w:hint="eastAsia" w:ascii="宋体" w:hAnsi="宋体" w:eastAsia="宋体" w:cs="宋体"/>
                <w:sz w:val="22"/>
                <w:szCs w:val="22"/>
              </w:rPr>
              <w:t>负责，采购人的委托运维价格已含从业人员安全教育培训、劳动防护用品费用等。</w:t>
            </w:r>
          </w:p>
        </w:tc>
        <w:tc>
          <w:tcPr>
            <w:tcW w:w="1774" w:type="dxa"/>
            <w:vAlign w:val="top"/>
          </w:tcPr>
          <w:p w14:paraId="1828956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13" w:type="dxa"/>
            <w:vAlign w:val="top"/>
          </w:tcPr>
          <w:p w14:paraId="66EB33E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125" w:type="dxa"/>
            <w:vAlign w:val="top"/>
          </w:tcPr>
          <w:p w14:paraId="1636A2E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0192548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610FC6F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bl>
    <w:p w14:paraId="4EB4F7D0"/>
    <w:p w14:paraId="5411F72E">
      <w:pPr>
        <w:spacing w:line="360" w:lineRule="auto"/>
        <w:rPr>
          <w:rFonts w:hint="eastAsia" w:ascii="宋体" w:hAnsi="宋体" w:eastAsia="宋体" w:cs="宋体"/>
          <w:b/>
          <w:bCs/>
          <w:sz w:val="24"/>
          <w:szCs w:val="32"/>
          <w:lang w:val="en-US" w:eastAsia="zh-CN"/>
        </w:rPr>
      </w:pPr>
    </w:p>
    <w:p w14:paraId="180EC9E6">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注：1.此表仅作为汇总参与评审的8项非“★”、“▲”的条款，按量化指标，每无偏离或正偏离1项得1分，满分8分（计算得分按四舍五入保留2位小数）；其余条款请投标人在制作响应文件中自行补充到《技术和服务要求响应表》中。</w:t>
      </w:r>
    </w:p>
    <w:p w14:paraId="71E8B38F">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32"/>
          <w:lang w:val="en-US" w:eastAsia="zh-CN"/>
        </w:rPr>
        <w:t>2.</w:t>
      </w:r>
      <w:r>
        <w:rPr>
          <w:rFonts w:hint="eastAsia" w:ascii="宋体" w:hAnsi="宋体" w:eastAsia="宋体" w:cs="宋体"/>
          <w:b/>
          <w:bCs/>
          <w:kern w:val="2"/>
          <w:sz w:val="24"/>
          <w:szCs w:val="24"/>
          <w:highlight w:val="none"/>
          <w:lang w:val="en-US" w:eastAsia="zh-CN" w:bidi="ar-SA"/>
        </w:rPr>
        <w:t>本表中“采购文件规定的技术和服务要求”的填写若与磋商文件第二章“采购需求”中的表述不一致，以磋商文件第二章“采购需求”中的表述为准。</w:t>
      </w:r>
    </w:p>
    <w:p w14:paraId="79D06FC0">
      <w:pPr>
        <w:rPr>
          <w:rFonts w:hint="default"/>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998F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A66B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0A66B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5"/>
      <w:suff w:val="space"/>
      <w:lvlText w:val="%1.%2.%3.%4"/>
      <w:lvlJc w:val="left"/>
      <w:pPr>
        <w:ind w:left="1984" w:hanging="1984"/>
      </w:pPr>
      <w:rPr>
        <w:rFonts w:hint="eastAsia"/>
      </w:rPr>
    </w:lvl>
    <w:lvl w:ilvl="4" w:tentative="0">
      <w:start w:val="1"/>
      <w:numFmt w:val="decimal"/>
      <w:pStyle w:val="6"/>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zMyZjhjN2E3YmVhODJhNzlkOThmNWY1ODE3NjYifQ=="/>
  </w:docVars>
  <w:rsids>
    <w:rsidRoot w:val="0972635E"/>
    <w:rsid w:val="00BD2F6A"/>
    <w:rsid w:val="0972635E"/>
    <w:rsid w:val="0CFD280E"/>
    <w:rsid w:val="34225E82"/>
    <w:rsid w:val="37F27598"/>
    <w:rsid w:val="3DB94353"/>
    <w:rsid w:val="41D00976"/>
    <w:rsid w:val="44F07DF4"/>
    <w:rsid w:val="45B2553E"/>
    <w:rsid w:val="4B2A100B"/>
    <w:rsid w:val="51C936B5"/>
    <w:rsid w:val="55D92F29"/>
    <w:rsid w:val="61863970"/>
    <w:rsid w:val="626F55F4"/>
    <w:rsid w:val="639D6CE4"/>
    <w:rsid w:val="65CF1751"/>
    <w:rsid w:val="68542959"/>
    <w:rsid w:val="76037A78"/>
    <w:rsid w:val="7612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next w:val="9"/>
    <w:qFormat/>
    <w:uiPriority w:val="0"/>
    <w:rPr>
      <w:sz w:val="20"/>
      <w:szCs w:val="20"/>
    </w:r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8"/>
    <w:next w:val="1"/>
    <w:unhideWhenUsed/>
    <w:qFormat/>
    <w:uiPriority w:val="99"/>
    <w:pPr>
      <w:ind w:firstLine="420" w:firstLineChars="100"/>
    </w:pPr>
  </w:style>
  <w:style w:type="paragraph" w:customStyle="1" w:styleId="1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9261</Words>
  <Characters>10188</Characters>
  <Lines>0</Lines>
  <Paragraphs>0</Paragraphs>
  <TotalTime>0</TotalTime>
  <ScaleCrop>false</ScaleCrop>
  <LinksUpToDate>false</LinksUpToDate>
  <CharactersWithSpaces>10316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2024-09-23T08:20:00Z</dcterms:created>
  <dc:creator>ZL-Sumoio</dc:creator>
  <cp:lastModifiedBy>ZL-Sumoio</cp:lastModifiedBy>
  <dcterms:modified xsi:type="dcterms:W3CDTF">2024-11-14T11:25:54Z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40ECF9E356104EC8B9BB151223C0C0E0_13</vt:lpwstr>
  </property>
</Properties>
</file>