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442000103-2024-00353</w:t>
      </w:r>
    </w:p>
    <w:p>
      <w:pPr>
        <w:pStyle w:val="null3"/>
        <w:jc w:val="center"/>
        <w:outlineLvl w:val="3"/>
      </w:pPr>
      <w:r>
        <w:rPr>
          <w:sz w:val="24"/>
          <w:b/>
        </w:rPr>
        <w:t>采购项目编号：</w:t>
      </w:r>
      <w:r>
        <w:rPr>
          <w:sz w:val="24"/>
          <w:b/>
        </w:rPr>
        <w:t>442000103-2024-00353</w:t>
      </w:r>
    </w:p>
    <w:p>
      <w:pPr>
        <w:pStyle w:val="null3"/>
        <w:jc w:val="center"/>
        <w:outlineLvl w:val="3"/>
      </w:pPr>
      <w:r>
        <w:rPr>
          <w:sz w:val="24"/>
          <w:b/>
        </w:rPr>
        <w:t>项目名称：</w:t>
      </w:r>
      <w:r>
        <w:rPr>
          <w:sz w:val="24"/>
          <w:b/>
        </w:rPr>
        <w:t>中山市东凤人民医院高清电子消化道内镜系统采购项目</w:t>
      </w:r>
    </w:p>
    <w:p>
      <w:pPr>
        <w:pStyle w:val="null3"/>
        <w:jc w:val="center"/>
        <w:outlineLvl w:val="3"/>
      </w:pPr>
      <w:r>
        <w:rPr>
          <w:sz w:val="24"/>
          <w:b/>
        </w:rPr>
        <w:t>采购人：</w:t>
      </w:r>
      <w:r>
        <w:rPr>
          <w:sz w:val="24"/>
          <w:b/>
        </w:rPr>
        <w:t>中山市东凤人民医院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中山市东凤人民医院</w:t>
      </w:r>
      <w:r>
        <w:rPr/>
        <w:t>的委托，采用</w:t>
      </w:r>
      <w:r>
        <w:rPr/>
        <w:t>公开招标</w:t>
      </w:r>
      <w:r>
        <w:rPr/>
        <w:t>方式组织采购</w:t>
      </w:r>
      <w:r>
        <w:rPr/>
        <w:t>中山市东凤人民医院高清电子消化道内镜系统采购项目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中山市东凤人民医院高清电子消化道内镜系统采购项目</w:t>
      </w:r>
    </w:p>
    <w:p>
      <w:pPr>
        <w:pStyle w:val="null3"/>
        <w:ind w:firstLine="480"/>
      </w:pPr>
      <w:r>
        <w:rPr/>
        <w:t>采购计划编号：</w:t>
      </w:r>
      <w:r>
        <w:rPr/>
        <w:t>442000103-2024-00353</w:t>
      </w:r>
    </w:p>
    <w:p>
      <w:pPr>
        <w:pStyle w:val="null3"/>
        <w:ind w:firstLine="480"/>
      </w:pPr>
      <w:r>
        <w:rPr/>
        <w:t>采购项目编号：</w:t>
      </w:r>
      <w:r>
        <w:rPr/>
        <w:t>442000103-2024-00353</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采购包1(高清电子消化道内镜系统):</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高清电子消化道内镜系统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合同履行期限：自合同约定生效之日起30个自然日内到货并完成安装调试。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采购包1（高清电子消化道内镜系统）：</w:t>
      </w:r>
      <w:r>
        <w:rPr/>
        <w:t>本项目不属于专门面向中小企业采购项目。</w:t>
      </w:r>
    </w:p>
    <w:p>
      <w:pPr>
        <w:pStyle w:val="null3"/>
        <w:outlineLvl w:val="3"/>
      </w:pPr>
      <w:r>
        <w:rPr>
          <w:sz w:val="24"/>
          <w:b/>
        </w:rPr>
        <w:t>3.本项目特定的资格要求：</w:t>
      </w:r>
    </w:p>
    <w:p>
      <w:pPr>
        <w:pStyle w:val="null3"/>
      </w:pPr>
      <w:r>
        <w:rPr/>
        <w:t>采购包1（高清电子消化道内镜系统）：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中山市东凤人民医院</w:t>
      </w:r>
    </w:p>
    <w:p>
      <w:pPr>
        <w:pStyle w:val="null3"/>
        <w:ind w:firstLine="480"/>
      </w:pPr>
      <w:r>
        <w:rPr/>
        <w:t xml:space="preserve"> 地址：</w:t>
      </w:r>
      <w:r>
        <w:rPr/>
        <w:t xml:space="preserve"> 中山市东凤镇厚德路9号</w:t>
      </w:r>
    </w:p>
    <w:p>
      <w:pPr>
        <w:pStyle w:val="null3"/>
        <w:ind w:firstLine="480"/>
      </w:pPr>
      <w:r>
        <w:rPr/>
        <w:t xml:space="preserve"> 联系方式：</w:t>
      </w:r>
      <w:r>
        <w:rPr/>
        <w:t>0760-22596217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中山市东凤人民医院高清电子消化道内镜系统采购项目</w:t>
      </w:r>
    </w:p>
    <w:p>
      <w:pPr>
        <w:pStyle w:val="null3"/>
        <w:jc w:val="both"/>
      </w:pPr>
      <w:r>
        <w:rPr>
          <w:sz w:val="21"/>
        </w:rPr>
        <w:t>2.采购计划编号：</w:t>
      </w:r>
      <w:r>
        <w:rPr>
          <w:sz w:val="21"/>
        </w:rPr>
        <w:t>442000103-2024-00353</w:t>
      </w:r>
    </w:p>
    <w:p>
      <w:pPr>
        <w:pStyle w:val="null3"/>
        <w:jc w:val="both"/>
      </w:pPr>
      <w:r>
        <w:rPr>
          <w:sz w:val="21"/>
        </w:rPr>
        <w:t>3.采购项目编号：</w:t>
      </w:r>
      <w:r>
        <w:rPr>
          <w:sz w:val="21"/>
        </w:rPr>
        <w:t>442000103-2024-00353</w:t>
      </w:r>
    </w:p>
    <w:p>
      <w:pPr>
        <w:pStyle w:val="null3"/>
        <w:jc w:val="both"/>
      </w:pPr>
      <w:r>
        <w:rPr>
          <w:sz w:val="21"/>
        </w:rPr>
        <w:t>4.采购方式：公开招标</w:t>
      </w:r>
    </w:p>
    <w:p>
      <w:pPr>
        <w:pStyle w:val="null3"/>
        <w:jc w:val="both"/>
      </w:pPr>
      <w:r>
        <w:rPr>
          <w:sz w:val="21"/>
        </w:rPr>
        <w:t>5.项目内容及包组情况：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569"/>
        <w:gridCol w:w="2615"/>
        <w:gridCol w:w="1215"/>
        <w:gridCol w:w="1646"/>
        <w:gridCol w:w="2261"/>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r>
              <w:rPr>
                <w:sz w:val="21"/>
              </w:rPr>
              <w:t>/单位</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预算金额（元）</w:t>
            </w:r>
          </w:p>
        </w:tc>
        <w:tc>
          <w:tcPr>
            <w:tcW w:type="dxa" w:w="2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合同履行期限</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高清电子消化道内镜系统</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3000000.00</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自合同约定生效之日起</w:t>
            </w:r>
            <w:r>
              <w:rPr>
                <w:sz w:val="21"/>
              </w:rPr>
              <w:t>30个自然日内到货并完成安装调试</w:t>
            </w:r>
          </w:p>
        </w:tc>
      </w:tr>
    </w:tbl>
    <w:p>
      <w:pPr>
        <w:pStyle w:val="null3"/>
        <w:jc w:val="both"/>
      </w:pPr>
      <w:r>
        <w:rPr>
          <w:sz w:val="21"/>
          <w:b/>
        </w:rPr>
        <w:t>6</w:t>
      </w:r>
      <w:r>
        <w:rPr>
          <w:sz w:val="21"/>
          <w:b/>
        </w:rPr>
        <w:t>.本项目不属于专门面向中小企业项目，供应商根据招标公告附件2《中小企业划型标准规定》及招标公告附件3《广东省财政厅关于进一步规范政府采购活动中落实促进中小企业发展政策的通知》要求自行判定是否属于工业的小微企业，符合小微企业类型的方可享受《政府采购促进中小企业发展管理办法》规定的中小企业扶持政策。</w:t>
      </w:r>
    </w:p>
    <w:p>
      <w:pPr>
        <w:pStyle w:val="null3"/>
        <w:jc w:val="both"/>
      </w:pPr>
      <w:r>
        <w:rPr>
          <w:sz w:val="21"/>
        </w:rPr>
        <w:t>7</w:t>
      </w:r>
      <w:r>
        <w:rPr>
          <w:sz w:val="21"/>
        </w:rPr>
        <w:t>.</w:t>
      </w:r>
      <w:r>
        <w:rPr>
          <w:sz w:val="21"/>
        </w:rPr>
        <w:t>本项目属于货物类项目，</w:t>
      </w:r>
      <w:r>
        <w:rPr>
          <w:sz w:val="21"/>
        </w:rPr>
        <w:t>采购标的对应的中小企业划分标准所属行业为：工业</w:t>
      </w:r>
      <w:r>
        <w:rPr>
          <w:sz w:val="21"/>
        </w:rPr>
        <w:t>。</w:t>
      </w:r>
    </w:p>
    <w:p>
      <w:pPr>
        <w:pStyle w:val="null3"/>
        <w:jc w:val="both"/>
      </w:pPr>
      <w:r>
        <w:rPr>
          <w:sz w:val="21"/>
          <w:b/>
        </w:rPr>
        <w:t>8</w:t>
      </w:r>
      <w:r>
        <w:rPr>
          <w:sz w:val="21"/>
          <w:b/>
        </w:rPr>
        <w:t>.</w:t>
      </w:r>
      <w:r>
        <w:rPr>
          <w:sz w:val="21"/>
          <w:b/>
        </w:rPr>
        <w:t>根据财政部关于《政府采购进口产品管理办法》</w:t>
      </w:r>
      <w:r>
        <w:rPr>
          <w:sz w:val="21"/>
          <w:b/>
        </w:rPr>
        <w:t>(</w:t>
      </w:r>
      <w:r>
        <w:rPr>
          <w:sz w:val="21"/>
          <w:b/>
        </w:rPr>
        <w:t>财库</w:t>
      </w:r>
      <w:r>
        <w:rPr>
          <w:sz w:val="21"/>
          <w:b/>
        </w:rPr>
        <w:t>(2007)119</w:t>
      </w:r>
      <w:r>
        <w:rPr>
          <w:sz w:val="21"/>
          <w:b/>
        </w:rPr>
        <w:t>号</w:t>
      </w:r>
      <w:r>
        <w:rPr>
          <w:sz w:val="21"/>
          <w:b/>
        </w:rPr>
        <w:t>)</w:t>
      </w:r>
      <w:r>
        <w:rPr>
          <w:sz w:val="21"/>
          <w:b/>
        </w:rPr>
        <w:t>和《广东省卫生健康委办公室关于印发</w:t>
      </w:r>
      <w:r>
        <w:rPr>
          <w:sz w:val="21"/>
          <w:b/>
        </w:rPr>
        <w:t>2024</w:t>
      </w:r>
      <w:r>
        <w:rPr>
          <w:sz w:val="21"/>
          <w:b/>
        </w:rPr>
        <w:t>年省级卫生健康机构进口产品目录》</w:t>
      </w:r>
      <w:r>
        <w:rPr>
          <w:sz w:val="21"/>
          <w:b/>
        </w:rPr>
        <w:t>,</w:t>
      </w:r>
      <w:r>
        <w:rPr>
          <w:sz w:val="21"/>
          <w:b/>
        </w:rPr>
        <w:t>经政府采购管理部门同意，本项目拟采购设备：</w:t>
      </w:r>
      <w:r>
        <w:rPr>
          <w:sz w:val="21"/>
          <w:b/>
        </w:rPr>
        <w:t>"</w:t>
      </w:r>
      <w:r>
        <w:rPr>
          <w:sz w:val="21"/>
          <w:b/>
        </w:rPr>
        <w:t>高清电子消化道内镜系统”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1"/>
        </w:rPr>
        <w:t>9.本采购包不接受联合体投标。</w:t>
      </w:r>
    </w:p>
    <w:p>
      <w:pPr>
        <w:pStyle w:val="null3"/>
        <w:jc w:val="both"/>
      </w:pPr>
      <w:r>
        <w:rPr>
          <w:sz w:val="21"/>
        </w:rPr>
        <w:t>10.招标文件中凡有“★”标识的内容条款为关键条款，投标人必须对此作全面响应和满足，任何负偏离将视为无效投标。加注“▲”的内容为重点评标条款，投标人必须对该标识条款按照要求进行真实应答描述。</w:t>
      </w:r>
    </w:p>
    <w:p>
      <w:pPr>
        <w:pStyle w:val="null3"/>
        <w:jc w:val="left"/>
      </w:pPr>
      <w:r>
        <w:rPr>
          <w:sz w:val="21"/>
          <w:b/>
        </w:rPr>
        <w:t>11.本项目由中标人负责招标文件对中标人要求的一切事宜及责任。投标报价中不得包</w:t>
      </w:r>
      <w:r>
        <w:rPr>
          <w:sz w:val="21"/>
          <w:b/>
        </w:rPr>
        <w:t>含</w:t>
      </w:r>
      <w:r>
        <w:rPr>
          <w:sz w:val="21"/>
          <w:b/>
        </w:rPr>
        <w:t>招标文件要求以外的内容，否则，在评标时不予核减；若投标报价有缺漏项的，缺漏项部分的价格视为已包含在投标报价中，中标后不作任何调整，采购人将不再支付任何费用。</w:t>
      </w:r>
    </w:p>
    <w:p>
      <w:pPr>
        <w:pStyle w:val="null3"/>
        <w:jc w:val="both"/>
      </w:pPr>
      <w:r>
        <w:rPr>
          <w:sz w:val="21"/>
          <w:b/>
        </w:rPr>
        <w:t>12.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pStyle w:val="null3"/>
        <w:jc w:val="both"/>
      </w:pPr>
      <w:r>
        <w:rPr>
          <w:sz w:val="21"/>
          <w:b/>
        </w:rPr>
        <w:t>13.如投标人认为本招标文件中存在“不合理的条件对投标人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1"/>
          <w:b/>
        </w:rPr>
        <w:t>★14.投标人需参照以下格式在投标文件中出具《无围标、串标行为承诺书》。</w:t>
      </w:r>
      <w:r>
        <w:rPr>
          <w:b/>
        </w:rPr>
        <w:t xml:space="preserve"> </w:t>
      </w:r>
    </w:p>
    <w:p>
      <w:pPr>
        <w:pStyle w:val="null3"/>
        <w:jc w:val="center"/>
      </w:pPr>
      <w:r>
        <w:rPr>
          <w:sz w:val="24"/>
          <w:b/>
        </w:rPr>
        <w:t>无围标、串标行为承诺书</w:t>
      </w:r>
    </w:p>
    <w:p>
      <w:pPr>
        <w:pStyle w:val="null3"/>
        <w:ind w:firstLine="420"/>
        <w:jc w:val="left"/>
      </w:pPr>
      <w:r>
        <w:rPr>
          <w:sz w:val="21"/>
        </w:rPr>
        <w:t>本公司郑重承诺：本公司在参加本次</w:t>
      </w:r>
      <w:r>
        <w:rPr>
          <w:sz w:val="21"/>
          <w:u w:val="single"/>
        </w:rPr>
        <w:t>：</w:t>
      </w:r>
      <w:r>
        <w:rPr>
          <w:sz w:val="21"/>
          <w:u w:val="single"/>
        </w:rPr>
        <w:t>中山市东凤人民医院高清电子消化道内镜系统采购项目</w:t>
      </w:r>
      <w:r>
        <w:rPr>
          <w:sz w:val="21"/>
        </w:rPr>
        <w:t>[采购项目编号：</w:t>
      </w:r>
      <w:r>
        <w:rPr>
          <w:sz w:val="21"/>
          <w:u w:val="single"/>
        </w:rPr>
        <w:t>442000103-2024-00353</w:t>
      </w:r>
      <w:r>
        <w:rPr>
          <w:sz w:val="21"/>
        </w:rPr>
        <w:t>]活动中，无以下围标、串标行为。</w:t>
      </w:r>
    </w:p>
    <w:p>
      <w:pPr>
        <w:pStyle w:val="null3"/>
        <w:jc w:val="left"/>
      </w:pPr>
      <w:r>
        <w:rPr>
          <w:sz w:val="21"/>
        </w:rPr>
        <w:t xml:space="preserve">    </w:t>
      </w:r>
      <w:r>
        <w:rPr>
          <w:sz w:val="21"/>
        </w:rPr>
        <w:t>1）不同供应商的投标文件由同一单位或者个人编制；</w:t>
      </w:r>
    </w:p>
    <w:p>
      <w:pPr>
        <w:pStyle w:val="null3"/>
        <w:jc w:val="left"/>
      </w:pPr>
      <w:r>
        <w:rPr>
          <w:sz w:val="21"/>
        </w:rPr>
        <w:t xml:space="preserve">    </w:t>
      </w:r>
      <w:r>
        <w:rPr>
          <w:sz w:val="21"/>
        </w:rPr>
        <w:t>2）不同供应商委托同一单位或者个人办理投标事宜；</w:t>
      </w:r>
    </w:p>
    <w:p>
      <w:pPr>
        <w:pStyle w:val="null3"/>
        <w:jc w:val="left"/>
      </w:pPr>
      <w:r>
        <w:rPr>
          <w:sz w:val="21"/>
        </w:rPr>
        <w:t xml:space="preserve">    </w:t>
      </w:r>
      <w:r>
        <w:rPr>
          <w:sz w:val="21"/>
        </w:rPr>
        <w:t>3）不同供应商的投标文件载明的项目管理成员或者联系人员为同一人；</w:t>
      </w:r>
    </w:p>
    <w:p>
      <w:pPr>
        <w:pStyle w:val="null3"/>
        <w:jc w:val="left"/>
      </w:pPr>
      <w:r>
        <w:rPr>
          <w:sz w:val="21"/>
        </w:rPr>
        <w:t xml:space="preserve">    </w:t>
      </w:r>
      <w:r>
        <w:rPr>
          <w:sz w:val="21"/>
        </w:rPr>
        <w:t>4）不同供应商的投标文件异常一致或者投标报价呈规律性差异；</w:t>
      </w:r>
    </w:p>
    <w:p>
      <w:pPr>
        <w:pStyle w:val="null3"/>
        <w:jc w:val="left"/>
      </w:pPr>
      <w:r>
        <w:rPr>
          <w:sz w:val="21"/>
        </w:rPr>
        <w:t xml:space="preserve">    </w:t>
      </w:r>
      <w:r>
        <w:rPr>
          <w:sz w:val="21"/>
        </w:rPr>
        <w:t>5）不同供应商的投标文件相互混装；</w:t>
      </w:r>
    </w:p>
    <w:p>
      <w:pPr>
        <w:pStyle w:val="null3"/>
        <w:jc w:val="left"/>
      </w:pPr>
      <w:r>
        <w:rPr>
          <w:sz w:val="21"/>
        </w:rPr>
        <w:t xml:space="preserve">    </w:t>
      </w:r>
      <w:r>
        <w:rPr>
          <w:sz w:val="21"/>
        </w:rPr>
        <w:t>6）不同供应商的投标保证金从同一单位或者个人的账户转出。</w:t>
      </w:r>
    </w:p>
    <w:p>
      <w:pPr>
        <w:pStyle w:val="null3"/>
        <w:jc w:val="left"/>
      </w:pPr>
      <w:r>
        <w:rPr>
          <w:sz w:val="21"/>
        </w:rPr>
        <w:t xml:space="preserve">    </w:t>
      </w:r>
      <w:r>
        <w:rPr>
          <w:sz w:val="21"/>
        </w:rPr>
        <w:t>7）</w:t>
      </w:r>
      <w:r>
        <w:rPr>
          <w:sz w:val="21"/>
        </w:rPr>
        <w:t>不同供应商的单位负责人为同一人或者存在控股、管理关系的不同单位参加同一招标项目投标；</w:t>
      </w:r>
    </w:p>
    <w:p>
      <w:pPr>
        <w:pStyle w:val="null3"/>
        <w:jc w:val="left"/>
      </w:pPr>
      <w:r>
        <w:rPr>
          <w:sz w:val="21"/>
        </w:rPr>
        <w:t xml:space="preserve">    </w:t>
      </w:r>
      <w:r>
        <w:rPr>
          <w:sz w:val="21"/>
        </w:rPr>
        <w:t>8）法律法规界定的其他围标串标行为。</w:t>
      </w:r>
    </w:p>
    <w:p>
      <w:pPr>
        <w:pStyle w:val="null3"/>
        <w:ind w:firstLine="420"/>
        <w:jc w:val="left"/>
      </w:pPr>
      <w:r>
        <w:rPr>
          <w:sz w:val="21"/>
        </w:rPr>
        <w:t>如有发现我公司存在围标、串标行为，我公司愿承担一切法律责任。</w:t>
      </w:r>
    </w:p>
    <w:p>
      <w:pPr>
        <w:pStyle w:val="null3"/>
        <w:ind w:firstLine="420"/>
        <w:jc w:val="left"/>
      </w:pPr>
      <w:r>
        <w:rPr>
          <w:sz w:val="21"/>
        </w:rPr>
        <w:t>特此承诺。</w:t>
      </w:r>
    </w:p>
    <w:p>
      <w:pPr>
        <w:pStyle w:val="null3"/>
        <w:jc w:val="right"/>
      </w:pPr>
      <w:r>
        <w:rPr>
          <w:sz w:val="21"/>
        </w:rPr>
        <w:t>投标人法定代表人（或法定代表人授权代表）签字或盖章：</w:t>
      </w:r>
      <w:r>
        <w:rPr>
          <w:sz w:val="21"/>
        </w:rPr>
        <w:t>__________________</w:t>
      </w:r>
    </w:p>
    <w:p>
      <w:pPr>
        <w:pStyle w:val="null3"/>
        <w:jc w:val="right"/>
      </w:pPr>
      <w:r>
        <w:rPr>
          <w:sz w:val="21"/>
        </w:rPr>
        <w:t>投标人名称（盖章）：</w:t>
      </w:r>
      <w:r>
        <w:rPr>
          <w:sz w:val="21"/>
        </w:rPr>
        <w:t>__________________</w:t>
      </w:r>
    </w:p>
    <w:p>
      <w:pPr>
        <w:pStyle w:val="null3"/>
        <w:jc w:val="right"/>
      </w:pPr>
      <w:r>
        <w:rPr>
          <w:sz w:val="21"/>
        </w:rPr>
        <w:t>日期：年</w:t>
      </w:r>
      <w:r>
        <w:rPr/>
        <w:t xml:space="preserve">  </w:t>
      </w:r>
      <w:r>
        <w:rPr>
          <w:sz w:val="21"/>
        </w:rPr>
        <w:t>月</w:t>
      </w:r>
      <w:r>
        <w:rPr/>
        <w:t xml:space="preserve">  </w:t>
      </w:r>
      <w:r>
        <w:rPr>
          <w:sz w:val="21"/>
        </w:rPr>
        <w:t>日</w:t>
      </w:r>
    </w:p>
    <w:p>
      <w:pPr>
        <w:pStyle w:val="null3"/>
      </w:pPr>
      <w:r>
        <w:rPr/>
        <w:t>采购包1（高清电子消化道内镜系统）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自合同约定生效之日起30个自然日内到货并完成安装调试。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1期：支付比例30%,签订采购合同后30个自然日内支付合同总额的30%。</w:t>
            </w:r>
          </w:p>
          <w:p>
            <w:pPr>
              <w:pStyle w:val="null3"/>
            </w:pPr>
            <w:r>
              <w:rPr/>
              <w:t>2期：支付比例70%,设备完成安装并验收合格后30个自然日内支付合同总额的70%。 本合同的每笔款项以人民币银行转账方式支付，合同设备到采购人指定地点交付并完成安装，验收合格后，中标供应商凭以下资料向采购人提出付款申请：（1）合同；（2）验收调试合格报告（加盖采购人公章）；（3）中标供应商开具的符合采购人财务要求的等额有效发票（加盖发票专用章）。</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设备安装调试完成并移交所有资料文档后7个工作日内组织验收，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收取比例：5%,说明：根据《中山市关于进一步优化政府采购营商环境若干措施》的通知，符合中小企业资格的中标人如在签订合同前提供中小企业承诺书不予收取。其他企业则在采购人支付货款前需收到中标人合同总额5%的履约保证金或银行保函；履约服务期满，经考核合格，履约保证金不计利息一次性返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投标人报价应包含投标人完成本项目工作内容的一切费用，包括但不限于驻场人员保险、各种税费等以及合同实施过程中的可预见或不可预见的一切费用。以上所有费用不管是否在投标文件中单列，均视为投标报价中已包括该费用。 1.2.涉及专机专用耗材、试剂、主要易损件等需单独列出报价。 1.3投标人的投标报价总价不得超出本项目预算金额：3000000.00元，否则视为无效投标处理。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★2.1.整机免费保修期（简称“质保期”）不少于 3 年，质保期为：采购人验收合格之日起计算； 2.2.在质保期内要求至少回访 6 次，非采购人的人为原因出现的产品质量问题、安装问题及产品故障，由中标人免费负责包修、包换或包退，并承担因此而产生的一切费用。中标人应在收到采购人通知或设备出现故障后 0.5 小时内对采购人提出的需求做出响应， 2 小时内服务到位，若故障在检修 8 小时后仍无法排除的， 应于 24 小时内负责提供同型号规格档次的全新设备供采购人使用，由此产生的一切费用均由中标人承担。如检修或更换过程中可能影响到系统性能时，须重新进行系统性能测试，并在通过性能测试后重新开始计算质量保证期。且质保期累计相应顺延。 2.3.中标人须具备售后服务能力，负责设备的安装调试和售后服务（或提供承诺函承诺中标后满足）。</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3.1.提供技术资料，包括但不限于使用说明书、图纸、中英文操作说明书、维护手册、维修手册、软件备份、故障代码表、备件清单、零部件、维修密码（如需）等维护维修必需的材料和信息； 3.2.提供操作、维护、维修培训计划，须由原厂工程师及技术人员直接提供保修、维修、免费技术培训服务； 3.3.保证供应设备的维修与原厂配件； 3.4.无偿培训使用单位操作人员及维修人员，确保科室内至少 2 名以上科室人员熟练掌握使用设备为止，培训地点主要在设备安装现场（投标人列明具体培训计划方案）。</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4.1.保证提供的是全新产品，未曾使用过的，其质量、规格及技术特征符合合同的要求； 4.2.要求合同必须注明该产品（或主机）产地； 4.3.设备如需接入院内系统，中标人需确保能够成功对接院内PACS、HIS、RIS等系统，并承担对接所产生的所有费用。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高清电子消化道内镜系统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高清电子消化道内镜系统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pPr>
            <w:r>
              <w:rPr>
                <w:sz w:val="21"/>
                <w:b/>
              </w:rPr>
              <w:t>一、技术参数要求</w:t>
            </w:r>
          </w:p>
          <w:p>
            <w:pPr>
              <w:pStyle w:val="null3"/>
            </w:pPr>
            <w:r>
              <w:rPr>
                <w:sz w:val="21"/>
                <w:b/>
              </w:rPr>
              <w:t>1.</w:t>
            </w:r>
            <w:r>
              <w:rPr>
                <w:sz w:val="21"/>
                <w:b/>
              </w:rPr>
              <w:t>图像处理器</w:t>
            </w:r>
            <w:r>
              <w:rPr>
                <w:sz w:val="21"/>
                <w:b/>
              </w:rPr>
              <w:t>：</w:t>
            </w:r>
          </w:p>
          <w:p>
            <w:pPr>
              <w:pStyle w:val="null3"/>
            </w:pPr>
            <w:r>
              <w:rPr>
                <w:sz w:val="21"/>
              </w:rPr>
              <w:t xml:space="preserve">1.1 </w:t>
            </w:r>
            <w:r>
              <w:rPr>
                <w:sz w:val="21"/>
              </w:rPr>
              <w:t>数字信号输出包括但不限于：数字</w:t>
            </w:r>
            <w:r>
              <w:rPr>
                <w:sz w:val="21"/>
              </w:rPr>
              <w:t>HDTV:HD-SDI*2,DVI-D*2（分辨率≥1920*1080p），模拟/数字HDTV:DVI-I*1。</w:t>
            </w:r>
          </w:p>
          <w:p>
            <w:pPr>
              <w:pStyle w:val="null3"/>
            </w:pPr>
            <w:r>
              <w:rPr>
                <w:sz w:val="21"/>
              </w:rPr>
              <w:t xml:space="preserve">1.2 </w:t>
            </w:r>
            <w:r>
              <w:rPr>
                <w:sz w:val="21"/>
              </w:rPr>
              <w:t>用户设置可保存</w:t>
            </w:r>
            <w:r>
              <w:rPr>
                <w:sz w:val="21"/>
              </w:rPr>
              <w:t>≥20名用户的功能设置。</w:t>
            </w:r>
          </w:p>
          <w:p>
            <w:pPr>
              <w:pStyle w:val="null3"/>
            </w:pPr>
            <w:r>
              <w:rPr>
                <w:sz w:val="21"/>
              </w:rPr>
              <w:t xml:space="preserve">1.3 </w:t>
            </w:r>
            <w:r>
              <w:rPr>
                <w:sz w:val="21"/>
              </w:rPr>
              <w:t>具备图像色彩调节功能：</w:t>
            </w:r>
            <w:r>
              <w:rPr>
                <w:sz w:val="21"/>
              </w:rPr>
              <w:t>≥8级可调。</w:t>
            </w:r>
          </w:p>
          <w:p>
            <w:pPr>
              <w:pStyle w:val="null3"/>
            </w:pPr>
            <w:r>
              <w:rPr>
                <w:sz w:val="21"/>
              </w:rPr>
              <w:t xml:space="preserve">1.4 </w:t>
            </w:r>
            <w:r>
              <w:rPr>
                <w:sz w:val="21"/>
              </w:rPr>
              <w:t>具备对比度增强功能。</w:t>
            </w:r>
          </w:p>
          <w:p>
            <w:pPr>
              <w:pStyle w:val="null3"/>
            </w:pPr>
            <w:r>
              <w:rPr>
                <w:sz w:val="21"/>
              </w:rPr>
              <w:t xml:space="preserve">1.5 </w:t>
            </w:r>
            <w:r>
              <w:rPr>
                <w:sz w:val="21"/>
              </w:rPr>
              <w:t>具备测光模式：包含但不限于平均、峰值、自动测光模式。</w:t>
            </w:r>
          </w:p>
          <w:p>
            <w:pPr>
              <w:pStyle w:val="null3"/>
            </w:pPr>
            <w:r>
              <w:rPr>
                <w:sz w:val="21"/>
              </w:rPr>
              <w:t xml:space="preserve">1.6 </w:t>
            </w:r>
            <w:r>
              <w:rPr>
                <w:sz w:val="21"/>
              </w:rPr>
              <w:t>具备图像放大功能：电子放大</w:t>
            </w:r>
            <w:r>
              <w:rPr>
                <w:sz w:val="21"/>
              </w:rPr>
              <w:t>≥2倍。</w:t>
            </w:r>
          </w:p>
          <w:p>
            <w:pPr>
              <w:pStyle w:val="null3"/>
            </w:pPr>
            <w:r>
              <w:rPr>
                <w:sz w:val="21"/>
              </w:rPr>
              <w:t xml:space="preserve">1.7 </w:t>
            </w:r>
            <w:r>
              <w:rPr>
                <w:sz w:val="21"/>
              </w:rPr>
              <w:t>具备画中画功能。</w:t>
            </w:r>
          </w:p>
          <w:p>
            <w:pPr>
              <w:pStyle w:val="null3"/>
            </w:pPr>
            <w:r>
              <w:rPr>
                <w:sz w:val="21"/>
              </w:rPr>
              <w:t xml:space="preserve">1.8 </w:t>
            </w:r>
            <w:r>
              <w:rPr>
                <w:sz w:val="21"/>
              </w:rPr>
              <w:t>具备实时冻结模式。</w:t>
            </w:r>
          </w:p>
          <w:p>
            <w:pPr>
              <w:pStyle w:val="null3"/>
            </w:pPr>
            <w:r>
              <w:rPr>
                <w:sz w:val="21"/>
              </w:rPr>
              <w:t xml:space="preserve">1.9 </w:t>
            </w:r>
            <w:r>
              <w:rPr>
                <w:sz w:val="21"/>
              </w:rPr>
              <w:t>遥控可以控制周边设备</w:t>
            </w:r>
            <w:r>
              <w:rPr>
                <w:sz w:val="21"/>
              </w:rPr>
              <w:t>。</w:t>
            </w:r>
          </w:p>
          <w:p>
            <w:pPr>
              <w:pStyle w:val="null3"/>
            </w:pPr>
            <w:r>
              <w:rPr>
                <w:sz w:val="21"/>
              </w:rPr>
              <w:t xml:space="preserve">1.10 </w:t>
            </w:r>
            <w:r>
              <w:rPr>
                <w:sz w:val="21"/>
              </w:rPr>
              <w:t>患者信息监视器上可显示以下数据</w:t>
            </w:r>
            <w:r>
              <w:rPr>
                <w:sz w:val="21"/>
              </w:rPr>
              <w:t>(包括但不限于)：患者ID、患者姓名、性别、年龄、出生日期、注释。</w:t>
            </w:r>
          </w:p>
          <w:p>
            <w:pPr>
              <w:pStyle w:val="null3"/>
            </w:pPr>
            <w:r>
              <w:rPr>
                <w:sz w:val="21"/>
              </w:rPr>
              <w:t xml:space="preserve">1.11 </w:t>
            </w:r>
            <w:r>
              <w:rPr>
                <w:sz w:val="21"/>
              </w:rPr>
              <w:t>患者信息的提前输入</w:t>
            </w:r>
            <w:r>
              <w:rPr>
                <w:sz w:val="21"/>
              </w:rPr>
              <w:t>≥20个患者信息(包括但不限于)：患者ID、患者姓名、性别、年龄、出生日期。</w:t>
            </w:r>
          </w:p>
          <w:p>
            <w:pPr>
              <w:pStyle w:val="null3"/>
            </w:pPr>
            <w:r>
              <w:rPr>
                <w:sz w:val="21"/>
              </w:rPr>
              <w:t xml:space="preserve">1.12 </w:t>
            </w:r>
            <w:r>
              <w:rPr>
                <w:sz w:val="21"/>
              </w:rPr>
              <w:t>记录格式：标准画质：</w:t>
            </w:r>
            <w:r>
              <w:rPr>
                <w:sz w:val="21"/>
              </w:rPr>
              <w:t>TIFF；低画质：JPEG。</w:t>
            </w:r>
          </w:p>
          <w:p>
            <w:pPr>
              <w:pStyle w:val="null3"/>
            </w:pPr>
            <w:r>
              <w:rPr>
                <w:sz w:val="21"/>
              </w:rPr>
              <w:t xml:space="preserve">1.13 </w:t>
            </w:r>
            <w:r>
              <w:rPr>
                <w:sz w:val="21"/>
              </w:rPr>
              <w:t>用户设置的记忆功能：图像处理装置关闭后可支持保存在内存中。</w:t>
            </w:r>
          </w:p>
          <w:p>
            <w:pPr>
              <w:pStyle w:val="null3"/>
            </w:pPr>
            <w:r>
              <w:rPr>
                <w:sz w:val="21"/>
              </w:rPr>
              <w:t xml:space="preserve">1.14 </w:t>
            </w:r>
            <w:r>
              <w:rPr>
                <w:sz w:val="21"/>
              </w:rPr>
              <w:t>具备自动白平衡功能。</w:t>
            </w:r>
          </w:p>
          <w:p>
            <w:pPr>
              <w:pStyle w:val="null3"/>
            </w:pPr>
            <w:r>
              <w:rPr>
                <w:sz w:val="21"/>
              </w:rPr>
              <w:t xml:space="preserve">▲1.15 </w:t>
            </w:r>
            <w:r>
              <w:rPr>
                <w:sz w:val="21"/>
              </w:rPr>
              <w:t>光源照明：具有高亮的</w:t>
            </w:r>
            <w:r>
              <w:rPr>
                <w:sz w:val="21"/>
              </w:rPr>
              <w:t>LED光源。</w:t>
            </w:r>
          </w:p>
          <w:p>
            <w:pPr>
              <w:pStyle w:val="null3"/>
            </w:pPr>
            <w:r>
              <w:rPr>
                <w:sz w:val="21"/>
              </w:rPr>
              <w:t xml:space="preserve">1.16 </w:t>
            </w:r>
            <w:r>
              <w:rPr>
                <w:sz w:val="21"/>
              </w:rPr>
              <w:t>可兼容高清电子胃肠镜，高清治疗电子胃肠镜，光学放大胃肠镜，经鼻内镜，电子十二指肠镜，小肠镜，环扫</w:t>
            </w:r>
            <w:r>
              <w:rPr>
                <w:sz w:val="21"/>
              </w:rPr>
              <w:t>/扇扫超声胃镜等多种电子镜。</w:t>
            </w:r>
          </w:p>
          <w:p>
            <w:pPr>
              <w:pStyle w:val="null3"/>
            </w:pPr>
            <w:r>
              <w:rPr>
                <w:sz w:val="21"/>
              </w:rPr>
              <w:t>▲</w:t>
            </w:r>
            <w:r>
              <w:rPr>
                <w:sz w:val="21"/>
              </w:rPr>
              <w:t>1.17 具备早癌筛查技术：通过扩张黏膜显示出不同颜色，经过信号处理后，增强颜色对比度，提升病变区域的识别度，有助于早癌筛查。</w:t>
            </w:r>
          </w:p>
          <w:p>
            <w:pPr>
              <w:pStyle w:val="null3"/>
            </w:pPr>
            <w:r>
              <w:rPr>
                <w:sz w:val="21"/>
              </w:rPr>
              <w:t>▲</w:t>
            </w:r>
            <w:r>
              <w:rPr>
                <w:sz w:val="21"/>
              </w:rPr>
              <w:t>1.18 具备早癌精查技术：有效获得高对比度图像，适合观察微血管和微结构表型，有助于医生对不同部位病变的分型进行精确诊断，有助于早癌精查。</w:t>
            </w:r>
          </w:p>
          <w:p>
            <w:pPr>
              <w:pStyle w:val="null3"/>
            </w:pPr>
            <w:r>
              <w:rPr>
                <w:sz w:val="21"/>
                <w:b/>
              </w:rPr>
              <w:t>2.</w:t>
            </w:r>
            <w:r>
              <w:rPr>
                <w:sz w:val="21"/>
                <w:b/>
              </w:rPr>
              <w:t>台车</w:t>
            </w:r>
            <w:r>
              <w:rPr>
                <w:sz w:val="21"/>
                <w:b/>
              </w:rPr>
              <w:t>：</w:t>
            </w:r>
          </w:p>
          <w:p>
            <w:pPr>
              <w:pStyle w:val="null3"/>
            </w:pPr>
            <w:r>
              <w:rPr>
                <w:sz w:val="21"/>
              </w:rPr>
              <w:t>2.1</w:t>
            </w:r>
            <w:r>
              <w:rPr>
                <w:sz w:val="21"/>
              </w:rPr>
              <w:t>可进行上下，水平方向及倾斜角度的调整，操作者可不同角度观察图像。</w:t>
            </w:r>
          </w:p>
          <w:p>
            <w:pPr>
              <w:pStyle w:val="null3"/>
            </w:pPr>
            <w:r>
              <w:rPr>
                <w:sz w:val="21"/>
              </w:rPr>
              <w:t xml:space="preserve">2.2 </w:t>
            </w:r>
            <w:r>
              <w:rPr>
                <w:sz w:val="21"/>
              </w:rPr>
              <w:t>具备可升降支架，可悬挂</w:t>
            </w:r>
            <w:r>
              <w:rPr>
                <w:sz w:val="21"/>
              </w:rPr>
              <w:t>≥2根镜子。</w:t>
            </w:r>
          </w:p>
          <w:p>
            <w:pPr>
              <w:pStyle w:val="null3"/>
            </w:pPr>
            <w:r>
              <w:rPr>
                <w:sz w:val="21"/>
              </w:rPr>
              <w:t xml:space="preserve">2.3 </w:t>
            </w:r>
            <w:r>
              <w:rPr>
                <w:sz w:val="21"/>
              </w:rPr>
              <w:t>可调节底板，随时调整主机放置高度，配合周边设备同时配置。</w:t>
            </w:r>
          </w:p>
          <w:p>
            <w:pPr>
              <w:pStyle w:val="null3"/>
            </w:pPr>
            <w:r>
              <w:rPr>
                <w:sz w:val="21"/>
              </w:rPr>
              <w:t xml:space="preserve">2.4 </w:t>
            </w:r>
            <w:r>
              <w:rPr>
                <w:sz w:val="21"/>
              </w:rPr>
              <w:t>具备键盘托盘，可调层板高度。</w:t>
            </w:r>
          </w:p>
          <w:p>
            <w:pPr>
              <w:pStyle w:val="null3"/>
            </w:pPr>
            <w:r>
              <w:rPr>
                <w:sz w:val="21"/>
              </w:rPr>
              <w:t xml:space="preserve">2.5 </w:t>
            </w:r>
            <w:r>
              <w:rPr>
                <w:sz w:val="21"/>
              </w:rPr>
              <w:t>具备双滑轮，易于台车操控。</w:t>
            </w:r>
          </w:p>
          <w:p>
            <w:pPr>
              <w:pStyle w:val="null3"/>
            </w:pPr>
            <w:r>
              <w:rPr>
                <w:sz w:val="21"/>
                <w:b/>
              </w:rPr>
              <w:t>3.</w:t>
            </w:r>
            <w:r>
              <w:rPr>
                <w:sz w:val="21"/>
                <w:b/>
              </w:rPr>
              <w:t>电子上消化道内窥镜（光学放大）</w:t>
            </w:r>
            <w:r>
              <w:rPr>
                <w:sz w:val="21"/>
                <w:b/>
              </w:rPr>
              <w:t>：</w:t>
            </w:r>
          </w:p>
          <w:p>
            <w:pPr>
              <w:pStyle w:val="null3"/>
            </w:pPr>
            <w:r>
              <w:rPr>
                <w:sz w:val="21"/>
              </w:rPr>
              <w:t xml:space="preserve">3.1 </w:t>
            </w:r>
            <w:r>
              <w:rPr>
                <w:sz w:val="21"/>
              </w:rPr>
              <w:t>视野角：正常</w:t>
            </w:r>
            <w:r>
              <w:rPr>
                <w:sz w:val="21"/>
              </w:rPr>
              <w:t>≥140°，接近≤</w:t>
            </w:r>
            <w:r>
              <w:rPr>
                <w:sz w:val="21"/>
              </w:rPr>
              <w:t>90</w:t>
            </w:r>
            <w:r>
              <w:rPr>
                <w:sz w:val="21"/>
              </w:rPr>
              <w:t>°。</w:t>
            </w:r>
          </w:p>
          <w:p>
            <w:pPr>
              <w:pStyle w:val="null3"/>
            </w:pPr>
            <w:r>
              <w:rPr>
                <w:sz w:val="21"/>
              </w:rPr>
              <w:t xml:space="preserve">3.2 </w:t>
            </w:r>
            <w:r>
              <w:rPr>
                <w:sz w:val="21"/>
              </w:rPr>
              <w:t>景深：正常</w:t>
            </w:r>
            <w:r>
              <w:rPr>
                <w:sz w:val="21"/>
              </w:rPr>
              <w:t>3～100mm，接近1.5～3mm。</w:t>
            </w:r>
          </w:p>
          <w:p>
            <w:pPr>
              <w:pStyle w:val="null3"/>
            </w:pPr>
            <w:r>
              <w:rPr>
                <w:sz w:val="21"/>
              </w:rPr>
              <w:t xml:space="preserve">3.3 </w:t>
            </w:r>
            <w:r>
              <w:rPr>
                <w:sz w:val="21"/>
              </w:rPr>
              <w:t>先端部外径</w:t>
            </w:r>
            <w:r>
              <w:rPr>
                <w:sz w:val="21"/>
              </w:rPr>
              <w:t>≤10mm。</w:t>
            </w:r>
          </w:p>
          <w:p>
            <w:pPr>
              <w:pStyle w:val="null3"/>
            </w:pPr>
            <w:r>
              <w:rPr>
                <w:sz w:val="21"/>
              </w:rPr>
              <w:t xml:space="preserve">3.4 </w:t>
            </w:r>
            <w:r>
              <w:rPr>
                <w:sz w:val="21"/>
              </w:rPr>
              <w:t>插入部外径</w:t>
            </w:r>
            <w:r>
              <w:rPr>
                <w:sz w:val="21"/>
              </w:rPr>
              <w:t>≤10mm。</w:t>
            </w:r>
          </w:p>
          <w:p>
            <w:pPr>
              <w:pStyle w:val="null3"/>
            </w:pPr>
            <w:r>
              <w:rPr>
                <w:sz w:val="21"/>
              </w:rPr>
              <w:t xml:space="preserve">3.5 </w:t>
            </w:r>
            <w:r>
              <w:rPr>
                <w:sz w:val="21"/>
              </w:rPr>
              <w:t>弯曲角度：向上</w:t>
            </w:r>
            <w:r>
              <w:rPr>
                <w:sz w:val="21"/>
              </w:rPr>
              <w:t>≥210°，向下≥90°，左右各≥100°。</w:t>
            </w:r>
          </w:p>
          <w:p>
            <w:pPr>
              <w:pStyle w:val="null3"/>
            </w:pPr>
            <w:r>
              <w:rPr>
                <w:sz w:val="21"/>
              </w:rPr>
              <w:t xml:space="preserve">3.6 </w:t>
            </w:r>
            <w:r>
              <w:rPr>
                <w:sz w:val="21"/>
              </w:rPr>
              <w:t>钳道内径</w:t>
            </w:r>
            <w:r>
              <w:rPr>
                <w:sz w:val="21"/>
              </w:rPr>
              <w:t>≥2.8mm。</w:t>
            </w:r>
          </w:p>
          <w:p>
            <w:pPr>
              <w:pStyle w:val="null3"/>
            </w:pPr>
            <w:r>
              <w:rPr>
                <w:sz w:val="21"/>
              </w:rPr>
              <w:t xml:space="preserve">3.7 </w:t>
            </w:r>
            <w:r>
              <w:rPr>
                <w:sz w:val="21"/>
              </w:rPr>
              <w:t>有效工作长度</w:t>
            </w:r>
            <w:r>
              <w:rPr>
                <w:sz w:val="21"/>
              </w:rPr>
              <w:t xml:space="preserve">≥1030mm。    </w:t>
            </w:r>
          </w:p>
          <w:p>
            <w:pPr>
              <w:pStyle w:val="null3"/>
            </w:pPr>
            <w:r>
              <w:rPr>
                <w:sz w:val="21"/>
              </w:rPr>
              <w:t xml:space="preserve">3.8 </w:t>
            </w:r>
            <w:r>
              <w:rPr>
                <w:sz w:val="21"/>
              </w:rPr>
              <w:t>具备特殊光观察。</w:t>
            </w:r>
          </w:p>
          <w:p>
            <w:pPr>
              <w:pStyle w:val="null3"/>
            </w:pPr>
            <w:r>
              <w:rPr>
                <w:sz w:val="21"/>
              </w:rPr>
              <w:t xml:space="preserve">3.9 </w:t>
            </w:r>
            <w:r>
              <w:rPr>
                <w:sz w:val="21"/>
              </w:rPr>
              <w:t>具备副送水功能。</w:t>
            </w:r>
          </w:p>
          <w:p>
            <w:pPr>
              <w:pStyle w:val="null3"/>
            </w:pPr>
            <w:r>
              <w:rPr>
                <w:sz w:val="21"/>
              </w:rPr>
              <w:t xml:space="preserve">3.10 </w:t>
            </w:r>
            <w:r>
              <w:rPr>
                <w:sz w:val="21"/>
              </w:rPr>
              <w:t>具备遥控功能：按钮数量</w:t>
            </w:r>
            <w:r>
              <w:rPr>
                <w:sz w:val="21"/>
              </w:rPr>
              <w:t>≥4个。</w:t>
            </w:r>
          </w:p>
          <w:p>
            <w:pPr>
              <w:pStyle w:val="null3"/>
            </w:pPr>
            <w:r>
              <w:rPr>
                <w:sz w:val="21"/>
              </w:rPr>
              <w:t>3.11 具备CMOS高清图像传感器，输出全高清图像。</w:t>
            </w:r>
          </w:p>
          <w:p>
            <w:pPr>
              <w:pStyle w:val="null3"/>
            </w:pPr>
            <w:r>
              <w:rPr>
                <w:sz w:val="21"/>
              </w:rPr>
              <w:t>▲</w:t>
            </w:r>
            <w:r>
              <w:rPr>
                <w:sz w:val="21"/>
              </w:rPr>
              <w:t>3.12光学放大：光学放大倍数</w:t>
            </w:r>
            <w:r>
              <w:rPr>
                <w:sz w:val="21"/>
              </w:rPr>
              <w:t>≥</w:t>
            </w:r>
            <w:r>
              <w:rPr>
                <w:sz w:val="21"/>
              </w:rPr>
              <w:t>100倍，可清晰地呈现黏膜表面微小结构和微小血管形态。</w:t>
            </w:r>
          </w:p>
          <w:p>
            <w:pPr>
              <w:pStyle w:val="null3"/>
            </w:pPr>
            <w:r>
              <w:rPr>
                <w:sz w:val="21"/>
                <w:b/>
              </w:rPr>
              <w:t>4.</w:t>
            </w:r>
            <w:r>
              <w:rPr>
                <w:sz w:val="21"/>
                <w:b/>
              </w:rPr>
              <w:t>电子上消化道内窥镜（治疗）</w:t>
            </w:r>
            <w:r>
              <w:rPr>
                <w:sz w:val="21"/>
                <w:b/>
              </w:rPr>
              <w:t>：</w:t>
            </w:r>
          </w:p>
          <w:p>
            <w:pPr>
              <w:pStyle w:val="null3"/>
            </w:pPr>
            <w:r>
              <w:rPr>
                <w:sz w:val="21"/>
              </w:rPr>
              <w:t xml:space="preserve">4.1 </w:t>
            </w:r>
            <w:r>
              <w:rPr>
                <w:sz w:val="21"/>
              </w:rPr>
              <w:t>具备遥控功能：按钮数量</w:t>
            </w:r>
            <w:r>
              <w:rPr>
                <w:sz w:val="21"/>
              </w:rPr>
              <w:t>≥4个。</w:t>
            </w:r>
          </w:p>
          <w:p>
            <w:pPr>
              <w:pStyle w:val="null3"/>
            </w:pPr>
            <w:r>
              <w:rPr>
                <w:sz w:val="21"/>
              </w:rPr>
              <w:t xml:space="preserve">4.2 </w:t>
            </w:r>
            <w:r>
              <w:rPr>
                <w:sz w:val="21"/>
              </w:rPr>
              <w:t>视野角：</w:t>
            </w:r>
            <w:r>
              <w:rPr>
                <w:sz w:val="21"/>
              </w:rPr>
              <w:t>≥140°。</w:t>
            </w:r>
          </w:p>
          <w:p>
            <w:pPr>
              <w:pStyle w:val="null3"/>
            </w:pPr>
            <w:r>
              <w:rPr>
                <w:sz w:val="21"/>
              </w:rPr>
              <w:t xml:space="preserve">4.3 </w:t>
            </w:r>
            <w:r>
              <w:rPr>
                <w:sz w:val="21"/>
              </w:rPr>
              <w:t>视野方向：</w:t>
            </w:r>
            <w:r>
              <w:rPr>
                <w:sz w:val="21"/>
              </w:rPr>
              <w:t>0度直视。</w:t>
            </w:r>
          </w:p>
          <w:p>
            <w:pPr>
              <w:pStyle w:val="null3"/>
            </w:pPr>
            <w:r>
              <w:rPr>
                <w:sz w:val="21"/>
              </w:rPr>
              <w:t xml:space="preserve">▲4.4 </w:t>
            </w:r>
            <w:r>
              <w:rPr>
                <w:sz w:val="21"/>
              </w:rPr>
              <w:t>景深：</w:t>
            </w:r>
            <w:r>
              <w:rPr>
                <w:sz w:val="21"/>
              </w:rPr>
              <w:t>2</w:t>
            </w:r>
            <w:r>
              <w:rPr>
                <w:sz w:val="21"/>
              </w:rPr>
              <w:t>～</w:t>
            </w:r>
            <w:r>
              <w:rPr>
                <w:sz w:val="21"/>
              </w:rPr>
              <w:t>100mm</w:t>
            </w:r>
            <w:r>
              <w:rPr>
                <w:sz w:val="21"/>
              </w:rPr>
              <w:t>。</w:t>
            </w:r>
          </w:p>
          <w:p>
            <w:pPr>
              <w:pStyle w:val="null3"/>
            </w:pPr>
            <w:r>
              <w:rPr>
                <w:sz w:val="21"/>
              </w:rPr>
              <w:t xml:space="preserve">4.5 </w:t>
            </w:r>
            <w:r>
              <w:rPr>
                <w:sz w:val="21"/>
              </w:rPr>
              <w:t>先端部外径：</w:t>
            </w:r>
            <w:r>
              <w:rPr>
                <w:sz w:val="21"/>
              </w:rPr>
              <w:t>≤1</w:t>
            </w:r>
            <w:r>
              <w:rPr>
                <w:sz w:val="21"/>
              </w:rPr>
              <w:t>1</w:t>
            </w:r>
            <w:r>
              <w:rPr>
                <w:sz w:val="21"/>
              </w:rPr>
              <w:t>mm。</w:t>
            </w:r>
          </w:p>
          <w:p>
            <w:pPr>
              <w:pStyle w:val="null3"/>
            </w:pPr>
            <w:r>
              <w:rPr>
                <w:sz w:val="21"/>
              </w:rPr>
              <w:t xml:space="preserve">4.6 </w:t>
            </w:r>
            <w:r>
              <w:rPr>
                <w:sz w:val="21"/>
              </w:rPr>
              <w:t>插入部外径：</w:t>
            </w:r>
            <w:r>
              <w:rPr>
                <w:sz w:val="21"/>
              </w:rPr>
              <w:t>≤11</w:t>
            </w:r>
            <w:r>
              <w:rPr>
                <w:sz w:val="21"/>
              </w:rPr>
              <w:t>.6</w:t>
            </w:r>
            <w:r>
              <w:rPr>
                <w:sz w:val="21"/>
              </w:rPr>
              <w:t>mm。</w:t>
            </w:r>
          </w:p>
          <w:p>
            <w:pPr>
              <w:pStyle w:val="null3"/>
            </w:pPr>
            <w:r>
              <w:rPr>
                <w:sz w:val="21"/>
              </w:rPr>
              <w:t xml:space="preserve">4.7 </w:t>
            </w:r>
            <w:r>
              <w:rPr>
                <w:sz w:val="21"/>
              </w:rPr>
              <w:t>弯曲角度：上</w:t>
            </w:r>
            <w:r>
              <w:rPr>
                <w:sz w:val="21"/>
              </w:rPr>
              <w:t>≥210°，</w:t>
            </w:r>
            <w:r>
              <w:rPr>
                <w:sz w:val="21"/>
                <w:color w:val="000000"/>
              </w:rPr>
              <w:t>下</w:t>
            </w:r>
            <w:r>
              <w:rPr>
                <w:sz w:val="21"/>
                <w:color w:val="000000"/>
              </w:rPr>
              <w:t>≥</w:t>
            </w:r>
            <w:r>
              <w:rPr>
                <w:sz w:val="21"/>
                <w:color w:val="000000"/>
              </w:rPr>
              <w:t>9</w:t>
            </w:r>
            <w:r>
              <w:rPr>
                <w:sz w:val="21"/>
                <w:color w:val="000000"/>
              </w:rPr>
              <w:t>0°</w:t>
            </w:r>
            <w:r>
              <w:rPr>
                <w:sz w:val="21"/>
              </w:rPr>
              <w:t>，左</w:t>
            </w:r>
            <w:r>
              <w:rPr>
                <w:sz w:val="21"/>
              </w:rPr>
              <w:t>≥100°，右≥100°。</w:t>
            </w:r>
          </w:p>
          <w:p>
            <w:pPr>
              <w:pStyle w:val="null3"/>
            </w:pPr>
            <w:r>
              <w:rPr>
                <w:sz w:val="21"/>
              </w:rPr>
              <w:t xml:space="preserve">4.8 </w:t>
            </w:r>
            <w:r>
              <w:rPr>
                <w:sz w:val="21"/>
              </w:rPr>
              <w:t>有效工作长度</w:t>
            </w:r>
            <w:r>
              <w:rPr>
                <w:sz w:val="21"/>
              </w:rPr>
              <w:t>≥1030mm。</w:t>
            </w:r>
          </w:p>
          <w:p>
            <w:pPr>
              <w:pStyle w:val="null3"/>
            </w:pPr>
            <w:r>
              <w:rPr>
                <w:sz w:val="21"/>
              </w:rPr>
              <w:t xml:space="preserve">4.9 </w:t>
            </w:r>
            <w:r>
              <w:rPr>
                <w:sz w:val="21"/>
              </w:rPr>
              <w:t>全长</w:t>
            </w:r>
            <w:r>
              <w:rPr>
                <w:sz w:val="21"/>
              </w:rPr>
              <w:t>≥1350mm。</w:t>
            </w:r>
          </w:p>
          <w:p>
            <w:pPr>
              <w:pStyle w:val="null3"/>
            </w:pPr>
            <w:r>
              <w:rPr>
                <w:sz w:val="21"/>
                <w:color w:val="000000"/>
              </w:rPr>
              <w:t xml:space="preserve">4.10 </w:t>
            </w:r>
            <w:r>
              <w:rPr>
                <w:sz w:val="21"/>
                <w:color w:val="000000"/>
              </w:rPr>
              <w:t>钳道内径：</w:t>
            </w:r>
            <w:r>
              <w:rPr>
                <w:sz w:val="21"/>
                <w:color w:val="000000"/>
              </w:rPr>
              <w:t>≥3.</w:t>
            </w:r>
            <w:r>
              <w:rPr>
                <w:sz w:val="21"/>
                <w:color w:val="000000"/>
              </w:rPr>
              <w:t>7</w:t>
            </w:r>
            <w:r>
              <w:rPr>
                <w:sz w:val="21"/>
                <w:color w:val="000000"/>
              </w:rPr>
              <w:t>mm</w:t>
            </w:r>
            <w:r>
              <w:rPr>
                <w:sz w:val="21"/>
                <w:color w:val="000000"/>
              </w:rPr>
              <w:t>。</w:t>
            </w:r>
          </w:p>
          <w:p>
            <w:pPr>
              <w:pStyle w:val="null3"/>
            </w:pPr>
            <w:r>
              <w:rPr>
                <w:sz w:val="21"/>
              </w:rPr>
              <w:t xml:space="preserve">4.11 </w:t>
            </w:r>
            <w:r>
              <w:rPr>
                <w:sz w:val="21"/>
              </w:rPr>
              <w:t>具有激光、高频电兼容性。</w:t>
            </w:r>
          </w:p>
          <w:p>
            <w:pPr>
              <w:pStyle w:val="null3"/>
            </w:pPr>
            <w:r>
              <w:rPr>
                <w:sz w:val="21"/>
              </w:rPr>
              <w:t xml:space="preserve">4.12 </w:t>
            </w:r>
            <w:r>
              <w:rPr>
                <w:sz w:val="21"/>
              </w:rPr>
              <w:t>具有内镜信息记忆功能。</w:t>
            </w:r>
          </w:p>
          <w:p>
            <w:pPr>
              <w:pStyle w:val="null3"/>
            </w:pPr>
            <w:r>
              <w:rPr>
                <w:sz w:val="21"/>
              </w:rPr>
              <w:t xml:space="preserve">4.13 </w:t>
            </w:r>
            <w:r>
              <w:rPr>
                <w:sz w:val="21"/>
              </w:rPr>
              <w:t>具备副送水功能。</w:t>
            </w:r>
          </w:p>
          <w:p>
            <w:pPr>
              <w:pStyle w:val="null3"/>
            </w:pPr>
            <w:r>
              <w:rPr>
                <w:sz w:val="21"/>
              </w:rPr>
              <w:t xml:space="preserve">4.14 </w:t>
            </w:r>
            <w:r>
              <w:rPr>
                <w:sz w:val="21"/>
              </w:rPr>
              <w:t>具备特殊光观察。</w:t>
            </w:r>
          </w:p>
          <w:p>
            <w:pPr>
              <w:pStyle w:val="null3"/>
            </w:pPr>
            <w:r>
              <w:rPr>
                <w:sz w:val="21"/>
              </w:rPr>
              <w:t xml:space="preserve">4.15 </w:t>
            </w:r>
            <w:r>
              <w:rPr>
                <w:sz w:val="21"/>
              </w:rPr>
              <w:t>具有防水一触式接头。</w:t>
            </w:r>
          </w:p>
          <w:p>
            <w:pPr>
              <w:pStyle w:val="null3"/>
            </w:pPr>
            <w:r>
              <w:rPr>
                <w:sz w:val="21"/>
              </w:rPr>
              <w:t>▲4.16具备CMOS高感图像传感器，输出全高清图像。</w:t>
            </w:r>
          </w:p>
          <w:p>
            <w:pPr>
              <w:pStyle w:val="null3"/>
            </w:pPr>
            <w:r>
              <w:rPr>
                <w:sz w:val="21"/>
                <w:b/>
              </w:rPr>
              <w:t>5.</w:t>
            </w:r>
            <w:r>
              <w:rPr>
                <w:sz w:val="21"/>
                <w:b/>
              </w:rPr>
              <w:t>电子下消化道内窥镜</w:t>
            </w:r>
            <w:r>
              <w:rPr>
                <w:sz w:val="21"/>
                <w:b/>
              </w:rPr>
              <w:t>：</w:t>
            </w:r>
          </w:p>
          <w:p>
            <w:pPr>
              <w:pStyle w:val="null3"/>
            </w:pPr>
            <w:r>
              <w:rPr>
                <w:sz w:val="21"/>
              </w:rPr>
              <w:t xml:space="preserve">5.1 </w:t>
            </w:r>
            <w:r>
              <w:rPr>
                <w:sz w:val="21"/>
              </w:rPr>
              <w:t>视野角</w:t>
            </w:r>
            <w:r>
              <w:rPr>
                <w:sz w:val="21"/>
              </w:rPr>
              <w:t>≥170°。</w:t>
            </w:r>
          </w:p>
          <w:p>
            <w:pPr>
              <w:pStyle w:val="null3"/>
            </w:pPr>
            <w:r>
              <w:rPr>
                <w:sz w:val="21"/>
              </w:rPr>
              <w:t xml:space="preserve">▲5.2 </w:t>
            </w:r>
            <w:r>
              <w:rPr>
                <w:sz w:val="21"/>
              </w:rPr>
              <w:t>景深：</w:t>
            </w:r>
            <w:r>
              <w:rPr>
                <w:sz w:val="21"/>
              </w:rPr>
              <w:t>2</w:t>
            </w:r>
            <w:r>
              <w:rPr>
                <w:sz w:val="21"/>
              </w:rPr>
              <w:t>～</w:t>
            </w:r>
            <w:r>
              <w:rPr>
                <w:sz w:val="21"/>
              </w:rPr>
              <w:t>100mm</w:t>
            </w:r>
            <w:r>
              <w:rPr>
                <w:sz w:val="21"/>
              </w:rPr>
              <w:t>。</w:t>
            </w:r>
          </w:p>
          <w:p>
            <w:pPr>
              <w:pStyle w:val="null3"/>
            </w:pPr>
            <w:r>
              <w:rPr>
                <w:sz w:val="21"/>
              </w:rPr>
              <w:t xml:space="preserve">5.3 </w:t>
            </w:r>
            <w:r>
              <w:rPr>
                <w:sz w:val="21"/>
              </w:rPr>
              <w:t>先端部外径：</w:t>
            </w:r>
            <w:r>
              <w:rPr>
                <w:sz w:val="21"/>
              </w:rPr>
              <w:t>≤12.8mm。</w:t>
            </w:r>
          </w:p>
          <w:p>
            <w:pPr>
              <w:pStyle w:val="null3"/>
            </w:pPr>
            <w:r>
              <w:rPr>
                <w:sz w:val="21"/>
              </w:rPr>
              <w:t xml:space="preserve">5.4 </w:t>
            </w:r>
            <w:r>
              <w:rPr>
                <w:sz w:val="21"/>
              </w:rPr>
              <w:t>软性部外径：</w:t>
            </w:r>
            <w:r>
              <w:rPr>
                <w:sz w:val="21"/>
              </w:rPr>
              <w:t>≤12.8mm。</w:t>
            </w:r>
          </w:p>
          <w:p>
            <w:pPr>
              <w:pStyle w:val="null3"/>
            </w:pPr>
            <w:r>
              <w:rPr>
                <w:sz w:val="21"/>
              </w:rPr>
              <w:t xml:space="preserve">5.5 </w:t>
            </w:r>
            <w:r>
              <w:rPr>
                <w:sz w:val="21"/>
              </w:rPr>
              <w:t>弯曲角度：上下</w:t>
            </w:r>
            <w:r>
              <w:rPr>
                <w:sz w:val="21"/>
              </w:rPr>
              <w:t>≥180°，左右≥160°。</w:t>
            </w:r>
          </w:p>
          <w:p>
            <w:pPr>
              <w:pStyle w:val="null3"/>
            </w:pPr>
            <w:r>
              <w:rPr>
                <w:sz w:val="21"/>
              </w:rPr>
              <w:t xml:space="preserve">▲5.6 </w:t>
            </w:r>
            <w:r>
              <w:rPr>
                <w:sz w:val="21"/>
              </w:rPr>
              <w:t>钳道内径：</w:t>
            </w:r>
            <w:r>
              <w:rPr>
                <w:sz w:val="21"/>
              </w:rPr>
              <w:t>≥3.</w:t>
            </w:r>
            <w:r>
              <w:rPr>
                <w:sz w:val="21"/>
              </w:rPr>
              <w:t>7</w:t>
            </w:r>
            <w:r>
              <w:rPr>
                <w:sz w:val="21"/>
              </w:rPr>
              <w:t>mm。</w:t>
            </w:r>
          </w:p>
          <w:p>
            <w:pPr>
              <w:pStyle w:val="null3"/>
            </w:pPr>
            <w:r>
              <w:rPr>
                <w:sz w:val="21"/>
              </w:rPr>
              <w:t xml:space="preserve">5.7 </w:t>
            </w:r>
            <w:r>
              <w:rPr>
                <w:sz w:val="21"/>
              </w:rPr>
              <w:t>插入部有效长度：</w:t>
            </w:r>
            <w:r>
              <w:rPr>
                <w:sz w:val="21"/>
              </w:rPr>
              <w:t>≥1330mm。</w:t>
            </w:r>
          </w:p>
          <w:p>
            <w:pPr>
              <w:pStyle w:val="null3"/>
            </w:pPr>
            <w:r>
              <w:rPr>
                <w:sz w:val="21"/>
              </w:rPr>
              <w:t xml:space="preserve">5.8 </w:t>
            </w:r>
            <w:r>
              <w:rPr>
                <w:sz w:val="21"/>
              </w:rPr>
              <w:t>具有激光、高频电兼容性。</w:t>
            </w:r>
          </w:p>
          <w:p>
            <w:pPr>
              <w:pStyle w:val="null3"/>
            </w:pPr>
            <w:r>
              <w:rPr>
                <w:sz w:val="21"/>
              </w:rPr>
              <w:t xml:space="preserve">5.9 </w:t>
            </w:r>
            <w:r>
              <w:rPr>
                <w:sz w:val="21"/>
              </w:rPr>
              <w:t>具备遥控功能：按钮数量</w:t>
            </w:r>
            <w:r>
              <w:rPr>
                <w:sz w:val="21"/>
              </w:rPr>
              <w:t>≥4个。</w:t>
            </w:r>
          </w:p>
          <w:p>
            <w:pPr>
              <w:pStyle w:val="null3"/>
            </w:pPr>
            <w:r>
              <w:rPr>
                <w:sz w:val="21"/>
              </w:rPr>
              <w:t xml:space="preserve">5.10 </w:t>
            </w:r>
            <w:r>
              <w:rPr>
                <w:sz w:val="21"/>
              </w:rPr>
              <w:t>具有防水一触式接头。</w:t>
            </w:r>
          </w:p>
          <w:p>
            <w:pPr>
              <w:pStyle w:val="null3"/>
            </w:pPr>
            <w:r>
              <w:rPr>
                <w:sz w:val="21"/>
              </w:rPr>
              <w:t xml:space="preserve">5.11 </w:t>
            </w:r>
            <w:r>
              <w:rPr>
                <w:sz w:val="21"/>
              </w:rPr>
              <w:t>具备副送水功能。</w:t>
            </w:r>
          </w:p>
          <w:p>
            <w:pPr>
              <w:pStyle w:val="null3"/>
            </w:pPr>
            <w:r>
              <w:rPr>
                <w:sz w:val="21"/>
                <w:b/>
              </w:rPr>
              <w:t>6.</w:t>
            </w:r>
            <w:r>
              <w:rPr>
                <w:sz w:val="21"/>
                <w:b/>
              </w:rPr>
              <w:t>内镜超声系统</w:t>
            </w:r>
            <w:r>
              <w:rPr>
                <w:sz w:val="21"/>
                <w:b/>
              </w:rPr>
              <w:t>：</w:t>
            </w:r>
          </w:p>
          <w:p>
            <w:pPr>
              <w:pStyle w:val="null3"/>
            </w:pPr>
            <w:r>
              <w:rPr>
                <w:sz w:val="21"/>
              </w:rPr>
              <w:t xml:space="preserve">6.1 </w:t>
            </w:r>
            <w:r>
              <w:rPr>
                <w:sz w:val="21"/>
              </w:rPr>
              <w:t>超声波显示模式：</w:t>
            </w:r>
            <w:r>
              <w:rPr>
                <w:sz w:val="21"/>
              </w:rPr>
              <w:t>B模式，可显示清晰的旋转画像。</w:t>
            </w:r>
          </w:p>
          <w:p>
            <w:pPr>
              <w:pStyle w:val="null3"/>
            </w:pPr>
            <w:r>
              <w:rPr>
                <w:sz w:val="21"/>
              </w:rPr>
              <w:t xml:space="preserve">6.2 </w:t>
            </w:r>
            <w:r>
              <w:rPr>
                <w:sz w:val="21"/>
              </w:rPr>
              <w:t>扫描模式：机械环扫。</w:t>
            </w:r>
          </w:p>
          <w:p>
            <w:pPr>
              <w:pStyle w:val="null3"/>
            </w:pPr>
            <w:r>
              <w:rPr>
                <w:sz w:val="21"/>
              </w:rPr>
              <w:t xml:space="preserve">6.3 </w:t>
            </w:r>
            <w:r>
              <w:rPr>
                <w:sz w:val="21"/>
              </w:rPr>
              <w:t>超声波中心频率：</w:t>
            </w:r>
            <w:r>
              <w:rPr>
                <w:sz w:val="21"/>
              </w:rPr>
              <w:t>12MHz～20MHz</w:t>
            </w:r>
            <w:r>
              <w:rPr>
                <w:sz w:val="21"/>
              </w:rPr>
              <w:t>。</w:t>
            </w:r>
            <w:r>
              <w:rPr/>
              <w:t xml:space="preserve">    </w:t>
            </w:r>
          </w:p>
          <w:p>
            <w:pPr>
              <w:pStyle w:val="null3"/>
            </w:pPr>
            <w:r>
              <w:rPr>
                <w:sz w:val="21"/>
              </w:rPr>
              <w:t xml:space="preserve">6.4 </w:t>
            </w:r>
            <w:r>
              <w:rPr>
                <w:sz w:val="21"/>
              </w:rPr>
              <w:t>超声分辨率：</w:t>
            </w:r>
            <w:r>
              <w:rPr>
                <w:sz w:val="21"/>
              </w:rPr>
              <w:t>≤0.5mm。</w:t>
            </w:r>
          </w:p>
          <w:p>
            <w:pPr>
              <w:pStyle w:val="null3"/>
            </w:pPr>
            <w:r>
              <w:rPr>
                <w:sz w:val="21"/>
              </w:rPr>
              <w:t xml:space="preserve">6.5 </w:t>
            </w:r>
            <w:r>
              <w:rPr>
                <w:sz w:val="21"/>
              </w:rPr>
              <w:t>扫描范围：直径</w:t>
            </w:r>
            <w:r>
              <w:rPr>
                <w:sz w:val="21"/>
              </w:rPr>
              <w:t>10mm～60mm，360°环扫。</w:t>
            </w:r>
          </w:p>
          <w:p>
            <w:pPr>
              <w:pStyle w:val="null3"/>
            </w:pPr>
            <w:r>
              <w:rPr>
                <w:sz w:val="21"/>
              </w:rPr>
              <w:t xml:space="preserve">6.6 </w:t>
            </w:r>
            <w:r>
              <w:rPr>
                <w:sz w:val="21"/>
              </w:rPr>
              <w:t>脚踏开关：可通过连接脚踏开关同步截图、开启</w:t>
            </w:r>
            <w:r>
              <w:rPr>
                <w:sz w:val="21"/>
              </w:rPr>
              <w:t>/冻结超声、存储图像。</w:t>
            </w:r>
          </w:p>
          <w:p>
            <w:pPr>
              <w:pStyle w:val="null3"/>
            </w:pPr>
            <w:r>
              <w:rPr>
                <w:sz w:val="21"/>
              </w:rPr>
              <w:t xml:space="preserve">6.7 </w:t>
            </w:r>
            <w:r>
              <w:rPr>
                <w:sz w:val="21"/>
              </w:rPr>
              <w:t>图像轨迹球：通过轨迹球操作，可对图像进行旋转调节，将需要的部位旋转至医生视野合适的位置。</w:t>
            </w:r>
          </w:p>
          <w:p>
            <w:pPr>
              <w:pStyle w:val="null3"/>
            </w:pPr>
            <w:r>
              <w:rPr>
                <w:sz w:val="21"/>
              </w:rPr>
              <w:t xml:space="preserve">6.8 </w:t>
            </w:r>
            <w:r>
              <w:rPr>
                <w:sz w:val="21"/>
              </w:rPr>
              <w:t>增益调整功能：可对图像进行增益调整。</w:t>
            </w:r>
          </w:p>
          <w:p>
            <w:pPr>
              <w:pStyle w:val="null3"/>
            </w:pPr>
            <w:r>
              <w:rPr>
                <w:sz w:val="21"/>
              </w:rPr>
              <w:t xml:space="preserve">6.9 </w:t>
            </w:r>
            <w:r>
              <w:rPr>
                <w:sz w:val="21"/>
              </w:rPr>
              <w:t>画中画功能：可随时进行内镜</w:t>
            </w:r>
            <w:r>
              <w:rPr>
                <w:sz w:val="21"/>
              </w:rPr>
              <w:t>/超声/内镜+超声的切换。</w:t>
            </w:r>
          </w:p>
          <w:p>
            <w:pPr>
              <w:pStyle w:val="null3"/>
            </w:pPr>
            <w:r>
              <w:rPr>
                <w:sz w:val="21"/>
              </w:rPr>
              <w:t xml:space="preserve">6.10 </w:t>
            </w:r>
            <w:r>
              <w:rPr>
                <w:sz w:val="21"/>
              </w:rPr>
              <w:t>图像显示范围：图像的显示范围可按</w:t>
            </w:r>
            <w:r>
              <w:rPr>
                <w:sz w:val="21"/>
              </w:rPr>
              <w:t>6档调节。</w:t>
            </w:r>
          </w:p>
          <w:p>
            <w:pPr>
              <w:pStyle w:val="null3"/>
            </w:pPr>
            <w:r>
              <w:rPr>
                <w:sz w:val="21"/>
              </w:rPr>
              <w:t xml:space="preserve">6.11 </w:t>
            </w:r>
            <w:r>
              <w:rPr>
                <w:sz w:val="21"/>
              </w:rPr>
              <w:t>图像冻结和回放功能：可冻结两秒内的超声图像，并可实时回顾超声图像。</w:t>
            </w:r>
          </w:p>
          <w:p>
            <w:pPr>
              <w:pStyle w:val="null3"/>
            </w:pPr>
            <w:r>
              <w:rPr>
                <w:sz w:val="21"/>
              </w:rPr>
              <w:t xml:space="preserve">6.12 </w:t>
            </w:r>
            <w:r>
              <w:rPr>
                <w:sz w:val="21"/>
              </w:rPr>
              <w:t>视频输出信号：数字输出</w:t>
            </w:r>
            <w:r>
              <w:rPr>
                <w:sz w:val="21"/>
              </w:rPr>
              <w:t>DVI。</w:t>
            </w:r>
          </w:p>
          <w:p>
            <w:pPr>
              <w:pStyle w:val="null3"/>
            </w:pPr>
            <w:r>
              <w:rPr>
                <w:sz w:val="21"/>
              </w:rPr>
              <w:t xml:space="preserve">6.13 </w:t>
            </w:r>
            <w:r>
              <w:rPr>
                <w:sz w:val="21"/>
              </w:rPr>
              <w:t>具备患者信息保护功能和用户信息保护功能。</w:t>
            </w:r>
          </w:p>
          <w:p>
            <w:pPr>
              <w:pStyle w:val="null3"/>
            </w:pPr>
            <w:r>
              <w:rPr>
                <w:sz w:val="21"/>
              </w:rPr>
              <w:t xml:space="preserve">6.14 </w:t>
            </w:r>
            <w:r>
              <w:rPr>
                <w:sz w:val="21"/>
              </w:rPr>
              <w:t>高兼容性：可选择应用不同长度</w:t>
            </w:r>
            <w:r>
              <w:rPr>
                <w:sz w:val="21"/>
              </w:rPr>
              <w:t>/直径/频率的微探头。</w:t>
            </w:r>
          </w:p>
          <w:p>
            <w:pPr>
              <w:pStyle w:val="null3"/>
            </w:pPr>
            <w:r>
              <w:rPr>
                <w:sz w:val="21"/>
              </w:rPr>
              <w:t xml:space="preserve">6.15 </w:t>
            </w:r>
            <w:r>
              <w:rPr>
                <w:sz w:val="21"/>
              </w:rPr>
              <w:t>独立的超声探头专用主机。</w:t>
            </w:r>
          </w:p>
          <w:p>
            <w:pPr>
              <w:pStyle w:val="null3"/>
            </w:pPr>
            <w:r>
              <w:rPr>
                <w:sz w:val="21"/>
                <w:b/>
              </w:rPr>
              <w:t>7.</w:t>
            </w:r>
            <w:r>
              <w:rPr>
                <w:sz w:val="21"/>
                <w:b/>
              </w:rPr>
              <w:t>超声探头</w:t>
            </w:r>
            <w:r>
              <w:rPr>
                <w:sz w:val="21"/>
                <w:b/>
              </w:rPr>
              <w:t>：</w:t>
            </w:r>
          </w:p>
          <w:p>
            <w:pPr>
              <w:pStyle w:val="null3"/>
            </w:pPr>
            <w:r>
              <w:rPr>
                <w:sz w:val="21"/>
              </w:rPr>
              <w:t xml:space="preserve">7.1 </w:t>
            </w:r>
            <w:r>
              <w:rPr>
                <w:sz w:val="21"/>
              </w:rPr>
              <w:t>超声波频率数：</w:t>
            </w:r>
            <w:r>
              <w:rPr>
                <w:sz w:val="21"/>
              </w:rPr>
              <w:t>12MHz～20MHz</w:t>
            </w:r>
            <w:r>
              <w:rPr>
                <w:sz w:val="21"/>
              </w:rPr>
              <w:t>。</w:t>
            </w:r>
          </w:p>
          <w:p>
            <w:pPr>
              <w:pStyle w:val="null3"/>
            </w:pPr>
            <w:r>
              <w:rPr>
                <w:sz w:val="21"/>
              </w:rPr>
              <w:t xml:space="preserve">7.2 </w:t>
            </w:r>
            <w:r>
              <w:rPr>
                <w:sz w:val="21"/>
              </w:rPr>
              <w:t>有效工作长</w:t>
            </w:r>
            <w:r>
              <w:rPr>
                <w:sz w:val="21"/>
              </w:rPr>
              <w:t>度</w:t>
            </w:r>
            <w:r>
              <w:rPr>
                <w:sz w:val="21"/>
              </w:rPr>
              <w:t>：</w:t>
            </w:r>
            <w:r>
              <w:rPr>
                <w:sz w:val="21"/>
              </w:rPr>
              <w:t>≥2100mm</w:t>
            </w:r>
            <w:r>
              <w:rPr>
                <w:sz w:val="21"/>
              </w:rPr>
              <w:t>。</w:t>
            </w:r>
          </w:p>
          <w:p>
            <w:pPr>
              <w:pStyle w:val="null3"/>
              <w:jc w:val="both"/>
            </w:pPr>
            <w:r>
              <w:rPr>
                <w:sz w:val="21"/>
              </w:rPr>
              <w:t xml:space="preserve">7.3 </w:t>
            </w:r>
            <w:r>
              <w:rPr>
                <w:sz w:val="21"/>
              </w:rPr>
              <w:t>外径：</w:t>
            </w:r>
            <w:r>
              <w:rPr>
                <w:sz w:val="21"/>
              </w:rPr>
              <w:t>≤2.6mm。</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b/>
              </w:rPr>
              <w:t>★</w:t>
            </w:r>
            <w:r>
              <w:rPr>
                <w:sz w:val="21"/>
                <w:b/>
                <w:color w:val="000000"/>
              </w:rPr>
              <w:t>二</w:t>
            </w:r>
            <w:r>
              <w:rPr>
                <w:sz w:val="21"/>
                <w:b/>
                <w:color w:val="000000"/>
              </w:rPr>
              <w:t>、</w:t>
            </w:r>
            <w:r>
              <w:rPr>
                <w:sz w:val="21"/>
                <w:b/>
              </w:rPr>
              <w:t>配置要求如下：</w:t>
            </w:r>
            <w:r>
              <w:rPr>
                <w:sz w:val="21"/>
                <w:b/>
              </w:rPr>
              <w:t>(包括但不限于下述配置）</w:t>
            </w:r>
          </w:p>
          <w:p>
            <w:pPr>
              <w:pStyle w:val="null3"/>
              <w:jc w:val="both"/>
            </w:pPr>
            <w:r>
              <w:rPr/>
              <w:t xml:space="preserve"> </w:t>
            </w:r>
          </w:p>
          <w:tbl>
            <w:tblPr>
              <w:tblBorders>
                <w:top w:val="none" w:color="000000" w:sz="4"/>
                <w:left w:val="none" w:color="000000" w:sz="4"/>
                <w:bottom w:val="none" w:color="000000" w:sz="4"/>
                <w:right w:val="none" w:color="000000" w:sz="4"/>
                <w:insideH w:val="none"/>
                <w:insideV w:val="none"/>
              </w:tblBorders>
            </w:tblPr>
            <w:tblGrid>
              <w:gridCol w:w="770"/>
              <w:gridCol w:w="3373"/>
              <w:gridCol w:w="1455"/>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主机（台式）</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高清放大胃镜</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高清治疗胃镜</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高清电子肠镜</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2条</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内窥镜用送水装置（水泵）</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内镜用二氧化碳送气装置（气泵）</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医用液晶监视器</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电子镜专用台车</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密封测试器</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高清图文工作站</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内镜超声系统（小探头）</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内镜超声探头</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医用液晶监视器</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电子镜专用台车</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中山市东凤人民医院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857号）及《关于进一步放开建设项目专业服务价格的通知》（发改价格〔2015〕299号）招标代理服务费标准收取招标代理服务费。若招标代理服务费不足人民币5000元的，按人民币5000元收取。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府采购质押融资业务的银行机构报备的联系方式如下：政府采购质押融资业务的银行机构联系人名单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www.crcrfsp.com）和中山市社会征信和金融服务一体化系统（网址：www.zsyt hxt.zs.gov.cn）向辖区内特定或非特 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采购包1(高清电子消化道内镜系统)：综合评分法,是指投标文件满足招标文件全部实质性要求，且按照评审因素的量化指标评审得分最高的投标人为中标候选人的评标方法。（最低报价不是中标的唯一依据。）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采购包1（高清电子消化道内镜系统）：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采购包1（高清电子消化道内镜系统）：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供应商须具有其中一项有效的许可证明：</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采购包1（高清电子消化道内镜系统）：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采购包1(高清电子消化道内镜系统):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技术部分61.0分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(20.0分)</w:t>
            </w:r>
          </w:p>
        </w:tc>
        <w:tc>
          <w:tcPr>
            <w:tcW w:type="dxa" w:w="5076"/>
          </w:tcPr>
          <w:p>
            <w:pPr>
              <w:pStyle w:val="null3"/>
              <w:jc w:val="left"/>
            </w:pPr>
            <w:r>
              <w:rPr/>
              <w:t>考核投标人对招标文件第二章《采购需求》中“具体技术(参数)要求（★号条款除外）”中所有条款的响应程度（每条条款最小一级序号均以一项计算）： 1.完全响应技术要求的得20分； 2.本项目“▲”条款参数共8条。按量化指标，评审分数按以下公式进行计算：优于或完全响应的参数数量/参数总数量*12分=“▲”条款参数得分（计算得分按四舍五入保留2位小数），本小项共12分； 3.本项目非“▲”条款参数共80条。按量化指标，评审分数按以下公式进行计算：优于或完全响应的参数数量/参数总数量*8分=非“▲”条款参数得分（计算得分按四舍五入保留2位小数），本小项共8分。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产品性能、安装、检测方案 (14.0分)</w:t>
            </w:r>
            <w:r>
              <w:rPr/>
              <w:t>，（等次分值选择：</w:t>
            </w:r>
            <w:r>
              <w:rPr/>
              <w:t>0.0;</w:t>
            </w:r>
            <w:r>
              <w:rPr/>
              <w:t>4.0;</w:t>
            </w:r>
            <w:r>
              <w:rPr/>
              <w:t>9.0;</w:t>
            </w:r>
            <w:r>
              <w:rPr/>
              <w:t>14.0;</w:t>
            </w:r>
            <w:r>
              <w:rPr/>
              <w:t>）</w:t>
            </w:r>
          </w:p>
        </w:tc>
        <w:tc>
          <w:tcPr>
            <w:tcW w:type="dxa" w:w="5076"/>
          </w:tcPr>
          <w:p>
            <w:pPr>
              <w:pStyle w:val="null3"/>
              <w:jc w:val="left"/>
            </w:pPr>
            <w:r>
              <w:rPr/>
              <w:t>根据项目采购需求情况，对投标人拟提供的产品性能及安装、检测等进行评审，方案内容至少包括：①关于产品的配置、选型及性能的介绍；②产品安装方案；③产品检测方案。 1.拟投入的产品配置及性能指标与项目采购需求、性能要求符合程度高；提供的方案包含评审要求的全部内容，有专门针对本项目安装、产品检测的方案，条理非常清晰，脉络分明，操作性强，满足项目要求的，得14分； 2.拟投入的产品配置及性能指标与项目采购需求、性能要求符合程度较高；提供的方案包含评审要求的全部内容，有专门针对本项目安装、产品检测的方案，条理基本清晰，脉络较分明，操作性较强，基本满足项目要求的，得9分； 3.拟投入的产品配置及性能指标与项目采购需求、性能要求符合程度一般；提供的方案包含评审要求的全部内容，有专门针对本项目安装、产品检测的方案，条理模糊，脉络不够分明，操作性较差，部分满足项目要求的，得4分； 4.未提供相关方案和计划，得0分。</w:t>
            </w:r>
          </w:p>
        </w:tc>
      </w:tr>
      <w:tr>
        <w:tc>
          <w:tcPr>
            <w:tcW w:type="dxa" w:w="922"/>
            <w:gridSpan w:val="2"/>
            <w:vMerge/>
          </w:tcPr>
          <w:p/>
        </w:tc>
        <w:tc>
          <w:tcPr>
            <w:tcW w:type="dxa" w:w="2307"/>
          </w:tcPr>
          <w:p>
            <w:pPr>
              <w:pStyle w:val="null3"/>
              <w:jc w:val="left"/>
            </w:pPr>
            <w:r>
              <w:rPr/>
              <w:t>培训计划 (9.0分)</w:t>
            </w:r>
            <w:r>
              <w:rPr/>
              <w:t>，（等次分值选择：</w:t>
            </w:r>
            <w:r>
              <w:rPr/>
              <w:t>0.0;</w:t>
            </w:r>
            <w:r>
              <w:rPr/>
              <w:t>1.0;</w:t>
            </w:r>
            <w:r>
              <w:rPr/>
              <w:t>5.0;</w:t>
            </w:r>
            <w:r>
              <w:rPr/>
              <w:t>9.0;</w:t>
            </w:r>
            <w:r>
              <w:rPr/>
              <w:t>）</w:t>
            </w:r>
          </w:p>
        </w:tc>
        <w:tc>
          <w:tcPr>
            <w:tcW w:type="dxa" w:w="5076"/>
          </w:tcPr>
          <w:p>
            <w:pPr>
              <w:pStyle w:val="null3"/>
              <w:jc w:val="left"/>
            </w:pPr>
            <w:r>
              <w:rPr/>
              <w:t>根据项目采购需求情况，对投标人拟提供的技术人员培训计划进行评审，方案内容至少包括针对拟投入本项目技术人员、医院使用科室操作人员的培训方案。 1.有专门针对本项目人员培训的方案，条理非常清晰，脉络分明，操作性强，满足项目要求的，得9分； 2.有专门针对本项目人员培训的方案，条理基本清晰，脉络较分明，操作性较强，基本满足项目要求的，得5分； 3.有专门针对本项目人员培训的方案，条理模糊，脉络不够分明，操作性较差，部分满足项目要求的，得1分； 4.未提供相关方案和计划，得0分。</w:t>
            </w:r>
          </w:p>
        </w:tc>
      </w:tr>
      <w:tr>
        <w:tc>
          <w:tcPr>
            <w:tcW w:type="dxa" w:w="922"/>
            <w:gridSpan w:val="2"/>
            <w:vMerge/>
          </w:tcPr>
          <w:p/>
        </w:tc>
        <w:tc>
          <w:tcPr>
            <w:tcW w:type="dxa" w:w="2307"/>
          </w:tcPr>
          <w:p>
            <w:pPr>
              <w:pStyle w:val="null3"/>
              <w:jc w:val="left"/>
            </w:pPr>
            <w:r>
              <w:rPr/>
              <w:t>服务响应、售后方案 (9.0分)</w:t>
            </w:r>
            <w:r>
              <w:rPr/>
              <w:t>，（等次分值选择：</w:t>
            </w:r>
            <w:r>
              <w:rPr/>
              <w:t>0.0;</w:t>
            </w:r>
            <w:r>
              <w:rPr/>
              <w:t>1.0;</w:t>
            </w:r>
            <w:r>
              <w:rPr/>
              <w:t>5.0;</w:t>
            </w:r>
            <w:r>
              <w:rPr/>
              <w:t>9.0;</w:t>
            </w:r>
            <w:r>
              <w:rPr/>
              <w:t>）</w:t>
            </w:r>
          </w:p>
        </w:tc>
        <w:tc>
          <w:tcPr>
            <w:tcW w:type="dxa" w:w="5076"/>
          </w:tcPr>
          <w:p>
            <w:pPr>
              <w:pStyle w:val="null3"/>
              <w:jc w:val="left"/>
            </w:pPr>
            <w:r>
              <w:rPr/>
              <w:t>根据项目采购需求情况，对投标人提供的服务响应及售后（含服务响应时间，保修、维护、服务、技术支持措施计划和承诺等）进行评审。 1.方案内容无缺漏，服务响应时间优于项目要求；有详细具体可行的保修、维护、服务、技术支持措施计划和承诺，处理问题能力强，售后及保修期内的服务方案优，满足项目要求的，得9分； 2.方案内容无缺漏，服务响应时间满足项目要求；有比较详细具体可行的保修、维护、服务、技术支持措施计划和承诺，处理问题能力较强，售后及保修期内的服务方案较好，基本满足项目要求的，得5分； 3.方案内容无缺漏，服务响应时间基本满足项目要求；保修、维护、服务、技术支持措施计划和承诺一般，售后及保修期内的服务方案一般，部分满足项目要求的，得1分； 4.未提供相关方案，得0分。</w:t>
            </w:r>
          </w:p>
        </w:tc>
      </w:tr>
      <w:tr>
        <w:tc>
          <w:tcPr>
            <w:tcW w:type="dxa" w:w="922"/>
            <w:gridSpan w:val="2"/>
            <w:vMerge/>
          </w:tcPr>
          <w:p/>
        </w:tc>
        <w:tc>
          <w:tcPr>
            <w:tcW w:type="dxa" w:w="2307"/>
          </w:tcPr>
          <w:p>
            <w:pPr>
              <w:pStyle w:val="null3"/>
              <w:jc w:val="left"/>
            </w:pPr>
            <w:r>
              <w:rPr/>
              <w:t>应急措施方案 (9.0分)</w:t>
            </w:r>
            <w:r>
              <w:rPr/>
              <w:t>，（等次分值选择：</w:t>
            </w:r>
            <w:r>
              <w:rPr/>
              <w:t>0.0;</w:t>
            </w:r>
            <w:r>
              <w:rPr/>
              <w:t>1.0;</w:t>
            </w:r>
            <w:r>
              <w:rPr/>
              <w:t>5.0;</w:t>
            </w:r>
            <w:r>
              <w:rPr/>
              <w:t>9.0;</w:t>
            </w:r>
            <w:r>
              <w:rPr/>
              <w:t>）</w:t>
            </w:r>
          </w:p>
        </w:tc>
        <w:tc>
          <w:tcPr>
            <w:tcW w:type="dxa" w:w="5076"/>
          </w:tcPr>
          <w:p>
            <w:pPr>
              <w:pStyle w:val="null3"/>
              <w:jc w:val="left"/>
            </w:pPr>
            <w:r>
              <w:rPr/>
              <w:t>根据项目采购需求情况，对投标人提供的应急措施方案（含应急管理过程，应急预案、具体应急措施等）进行评审。 1.应急管理过程详尽，应急预案针对性强、具体应急措施非常周全、详尽、可行，满足项目要求的，得9分； 2.应急管理过程较详尽，应急预案针对性较强、具体应急措施较周全、详尽、可行，基本满足项目要求的，得5分； 3.应急管理过程一般，应急预案针对性一般、具体应急措施较简单、可信性差，部分满足项目要求的，得1分； 4.未提供相关方案，得0分。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评标委员会应根据投标人提供的同类业绩情况进行评审： 2021年1月1日以来（以合同签订日期或合同约定生效日期或履约期限为准）的同类项目业绩，按以下要求提供1个项目业绩得2分，最多得6分。 注：（1）提供业绩合同关键页复印件等证明材料； （2）内容必须清晰阐明项目名称、双方单位名称、合同签订时间或合同约定生效日期或履约期限、合同履行主要内容；（3）未按要求提供的得0分。</w:t>
            </w:r>
          </w:p>
        </w:tc>
      </w:tr>
      <w:tr>
        <w:tc>
          <w:tcPr>
            <w:tcW w:type="dxa" w:w="922"/>
            <w:gridSpan w:val="2"/>
            <w:vMerge/>
          </w:tcPr>
          <w:p/>
        </w:tc>
        <w:tc>
          <w:tcPr>
            <w:tcW w:type="dxa" w:w="2307"/>
          </w:tcPr>
          <w:p>
            <w:pPr>
              <w:pStyle w:val="null3"/>
              <w:jc w:val="left"/>
            </w:pPr>
            <w:r>
              <w:rPr/>
              <w:t>企业资质 (3.0分)</w:t>
            </w:r>
          </w:p>
        </w:tc>
        <w:tc>
          <w:tcPr>
            <w:tcW w:type="dxa" w:w="5076"/>
          </w:tcPr>
          <w:p>
            <w:pPr>
              <w:pStyle w:val="null3"/>
              <w:jc w:val="left"/>
            </w:pPr>
            <w:r>
              <w:rPr/>
              <w:t>1.质量管理体系认证证书（1分）； 2.环境管理体系认证证书（1分）； 3.职业健康安全管理体系认证证书（1分）。 注：（1）投标人或所投设备生产厂家提供有效期内的以上“认证证书复印件”及在“全国认证认可信息公共服务平台（网址：http://cx.cnca.cn/CertECloud/result/skipResultList）查询截图（证书状态需显示为：有效）”加盖公章，每提供一个证书得1分，满分3分。 （2）由于成立时间不足导致不能办理相应认证证书的，提供认证机构出具的“成立时间不足，不能办理认证”的书面证明材料，按已经获得计分。 （3）不按要求提供，得0分。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t xml:space="preserve"> </w:t>
      </w:r>
      <w:r>
        <w:rPr/>
        <w:t xml:space="preserve"> </w:t>
      </w:r>
    </w:p>
    <w:p>
      <w:pPr>
        <w:pStyle w:val="null3"/>
        <w:jc w:val="both"/>
      </w:pPr>
      <w:r>
        <w:rPr>
          <w:sz w:val="28"/>
          <w:b/>
        </w:rPr>
        <w:t>合同编号：</w:t>
      </w:r>
    </w:p>
    <w:p>
      <w:pPr>
        <w:pStyle w:val="null3"/>
        <w:jc w:val="both"/>
      </w:pPr>
      <w:r>
        <w:rPr/>
        <w:t xml:space="preserve"> </w:t>
      </w:r>
    </w:p>
    <w:p>
      <w:pPr>
        <w:pStyle w:val="null3"/>
        <w:jc w:val="center"/>
      </w:pPr>
      <w:r>
        <w:rPr>
          <w:sz w:val="44"/>
          <w:b/>
        </w:rPr>
        <w:t>中山市东凤人民医院</w:t>
      </w:r>
      <w:r>
        <w:rPr>
          <w:sz w:val="44"/>
          <w:b/>
        </w:rPr>
        <w:t>医疗设备采购合同</w:t>
      </w:r>
    </w:p>
    <w:p>
      <w:pPr>
        <w:pStyle w:val="null3"/>
        <w:jc w:val="left"/>
      </w:pPr>
      <w:r>
        <w:rPr/>
        <w:t xml:space="preserve"> </w:t>
      </w:r>
    </w:p>
    <w:p>
      <w:pPr>
        <w:pStyle w:val="null3"/>
        <w:jc w:val="center"/>
      </w:pPr>
      <w:r>
        <w:rPr/>
        <w:t xml:space="preserve"> </w:t>
      </w:r>
    </w:p>
    <w:p>
      <w:pPr>
        <w:pStyle w:val="null3"/>
        <w:jc w:val="center"/>
      </w:pPr>
      <w:r>
        <w:rPr>
          <w:sz w:val="21"/>
          <w:b/>
        </w:rPr>
        <w:t>（本合同范本仅供参考，中标人与采购人可根据双方的具体要求进行修订，双方所签订的合同不得对招标文件确定的事项和中标人投标文件作实质性修改。）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r>
        <w:rPr/>
        <w:t xml:space="preserve"> </w:t>
      </w:r>
    </w:p>
    <w:p>
      <w:pPr>
        <w:pStyle w:val="null3"/>
        <w:jc w:val="center"/>
      </w:pPr>
      <w:r>
        <w:rPr/>
        <w:t xml:space="preserve"> </w:t>
      </w:r>
      <w:r>
        <w:rPr>
          <w:sz w:val="33"/>
          <w:b/>
        </w:rPr>
        <w:t>项目名称：</w:t>
      </w:r>
      <w:r>
        <w:rPr>
          <w:b/>
          <w:u w:val="single"/>
        </w:rPr>
        <w:t xml:space="preserve">            </w:t>
      </w:r>
      <w:r>
        <w:rPr>
          <w:b/>
          <w:u w:val="single"/>
        </w:rPr>
        <w:t xml:space="preserve">                                      </w:t>
      </w:r>
      <w:r>
        <w:rPr>
          <w:b/>
          <w:u w:val="single"/>
        </w:rPr>
        <w:t xml:space="preserve">       </w:t>
      </w:r>
    </w:p>
    <w:p>
      <w:pPr>
        <w:pStyle w:val="null3"/>
        <w:jc w:val="center"/>
      </w:pPr>
      <w:r>
        <w:rPr>
          <w:sz w:val="33"/>
          <w:b/>
        </w:rPr>
        <w:t>甲      方：</w:t>
      </w:r>
      <w:r>
        <w:rPr>
          <w:b/>
          <w:u w:val="single"/>
        </w:rPr>
        <w:t xml:space="preserve">       </w:t>
      </w:r>
      <w:r>
        <w:rPr>
          <w:b/>
          <w:u w:val="single"/>
        </w:rPr>
        <w:t xml:space="preserve">                                         </w:t>
      </w:r>
      <w:r>
        <w:rPr>
          <w:b/>
          <w:u w:val="single"/>
        </w:rPr>
        <w:t xml:space="preserve">         </w:t>
      </w:r>
    </w:p>
    <w:p>
      <w:pPr>
        <w:pStyle w:val="null3"/>
        <w:jc w:val="center"/>
      </w:pPr>
      <w:r>
        <w:rPr>
          <w:sz w:val="33"/>
          <w:b/>
        </w:rPr>
        <w:t>乙      方：</w:t>
      </w:r>
      <w:r>
        <w:rPr>
          <w:b/>
          <w:u w:val="single"/>
        </w:rPr>
        <w:t xml:space="preserve">       </w:t>
      </w:r>
      <w:r>
        <w:rPr>
          <w:b/>
          <w:u w:val="single"/>
        </w:rPr>
        <w:t xml:space="preserve">                                      </w:t>
      </w:r>
      <w:r>
        <w:rPr>
          <w:b/>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采购合同</w:t>
      </w:r>
    </w:p>
    <w:p>
      <w:pPr>
        <w:pStyle w:val="null3"/>
        <w:jc w:val="both"/>
      </w:pPr>
      <w:r>
        <w:rPr>
          <w:sz w:val="21"/>
        </w:rPr>
        <w:t>甲方：</w:t>
      </w:r>
      <w:r>
        <w:rPr>
          <w:u w:val="single"/>
        </w:rPr>
        <w:t xml:space="preserve">    </w:t>
      </w:r>
      <w:r>
        <w:rPr>
          <w:sz w:val="21"/>
          <w:u w:val="single"/>
        </w:rPr>
        <w:t>中山市东凤人民医院</w:t>
      </w:r>
      <w:r>
        <w:rPr>
          <w:u w:val="single"/>
        </w:rPr>
        <w:t xml:space="preserve">   </w:t>
      </w:r>
      <w:r>
        <w:rPr/>
        <w:t xml:space="preserve">       </w:t>
      </w:r>
      <w:r>
        <w:rPr>
          <w:sz w:val="21"/>
        </w:rPr>
        <w:t>合同编号：</w:t>
      </w:r>
      <w:r>
        <w:rPr>
          <w:u w:val="single"/>
        </w:rPr>
        <w:t xml:space="preserve">               </w:t>
      </w:r>
      <w:r>
        <w:rPr>
          <w:u w:val="single"/>
        </w:rPr>
        <w:t xml:space="preserve">        </w:t>
      </w:r>
      <w:r>
        <w:rPr>
          <w:u w:val="single"/>
        </w:rPr>
        <w:t xml:space="preserve">                    </w:t>
      </w:r>
    </w:p>
    <w:p>
      <w:pPr>
        <w:pStyle w:val="null3"/>
        <w:jc w:val="both"/>
      </w:pPr>
      <w:r>
        <w:rPr>
          <w:sz w:val="21"/>
        </w:rPr>
        <w:t>乙方：</w:t>
      </w:r>
      <w:r>
        <w:rPr>
          <w:u w:val="single"/>
        </w:rPr>
        <w:t xml:space="preserve">                                        </w:t>
      </w:r>
      <w:r>
        <w:rPr/>
        <w:t xml:space="preserve">       </w:t>
      </w:r>
      <w:r>
        <w:rPr>
          <w:sz w:val="21"/>
        </w:rPr>
        <w:t>签约地点：</w:t>
      </w:r>
      <w:r>
        <w:rPr>
          <w:u w:val="single"/>
        </w:rPr>
        <w:t xml:space="preserve">    </w:t>
      </w:r>
      <w:r>
        <w:rPr>
          <w:sz w:val="21"/>
          <w:u w:val="single"/>
        </w:rPr>
        <w:t>中山市东凤人民医院</w:t>
      </w:r>
      <w:r>
        <w:rPr>
          <w:u w:val="single"/>
        </w:rPr>
        <w:t xml:space="preserve">      </w:t>
      </w:r>
    </w:p>
    <w:p>
      <w:pPr>
        <w:pStyle w:val="null3"/>
        <w:jc w:val="both"/>
      </w:pPr>
      <w:r>
        <w:rPr/>
        <w:t xml:space="preserve">       </w:t>
      </w:r>
      <w:r>
        <w:rPr>
          <w:sz w:val="21"/>
        </w:rPr>
        <w:t>根据</w:t>
      </w:r>
      <w:r>
        <w:rPr>
          <w:sz w:val="21"/>
          <w:u w:val="single"/>
        </w:rPr>
        <w:t xml:space="preserve">               </w:t>
      </w:r>
      <w:r>
        <w:rPr>
          <w:sz w:val="21"/>
        </w:rPr>
        <w:t>项目的采购结果，按照《中华人民共和国政府采购法》、《中华人民共和国民法典</w:t>
      </w:r>
      <w:r>
        <w:rPr>
          <w:sz w:val="21"/>
        </w:rPr>
        <w:t>(合同编)》的规定，经双方协商，本着平等互利和诚实信用的原则，一致同意签订本合同如下</w:t>
      </w:r>
      <w:r>
        <w:rPr>
          <w:sz w:val="21"/>
        </w:rPr>
        <w:t>。</w:t>
      </w:r>
    </w:p>
    <w:p>
      <w:pPr>
        <w:pStyle w:val="null3"/>
        <w:jc w:val="both"/>
      </w:pPr>
      <w:r>
        <w:rPr>
          <w:sz w:val="21"/>
          <w:b/>
        </w:rPr>
        <w:t>1、合同设备</w:t>
      </w:r>
    </w:p>
    <w:p>
      <w:pPr>
        <w:pStyle w:val="null3"/>
        <w:ind w:firstLine="420"/>
        <w:jc w:val="both"/>
      </w:pPr>
      <w:r>
        <w:rPr>
          <w:sz w:val="21"/>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835"/>
        <w:gridCol w:w="759"/>
        <w:gridCol w:w="774"/>
        <w:gridCol w:w="790"/>
        <w:gridCol w:w="790"/>
        <w:gridCol w:w="790"/>
        <w:gridCol w:w="790"/>
        <w:gridCol w:w="790"/>
        <w:gridCol w:w="941"/>
        <w:gridCol w:w="1048"/>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交货地点</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交货时间</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jc w:val="both"/>
      </w:pPr>
      <w:r>
        <w:rPr>
          <w:sz w:val="21"/>
          <w:b/>
        </w:rPr>
        <w:t>2、合同总价</w:t>
      </w:r>
    </w:p>
    <w:p>
      <w:pPr>
        <w:pStyle w:val="null3"/>
        <w:ind w:firstLine="480"/>
        <w:jc w:val="both"/>
      </w:pPr>
      <w:r>
        <w:rPr>
          <w:sz w:val="21"/>
        </w:rPr>
        <w:t>总价为人民币（大写）：</w:t>
      </w:r>
      <w:r>
        <w:rPr>
          <w:u w:val="single"/>
        </w:rPr>
        <w:t xml:space="preserve">        </w:t>
      </w:r>
      <w:r>
        <w:rPr>
          <w:sz w:val="21"/>
        </w:rPr>
        <w:t>，即</w:t>
      </w:r>
      <w:r>
        <w:rPr>
          <w:sz w:val="21"/>
        </w:rPr>
        <w:t>¥</w:t>
      </w:r>
      <w:r>
        <w:rPr>
          <w:u w:val="single"/>
        </w:rPr>
        <w:t xml:space="preserve">         </w:t>
      </w:r>
      <w:r>
        <w:rPr>
          <w:sz w:val="21"/>
        </w:rPr>
        <w:t>，该合同总价包括硬件、软件对接服务费、技术培训费、安装调试费和运输、装卸、安装及验收合格之前及保修期与备品备件等杂费，含全额发票及合同实施过程中的应预见和不可预见费用等完成合同规定责任和义务、达到合同目的的一切费用及企业利润本合同执行期间合同总金额不变。</w:t>
      </w:r>
    </w:p>
    <w:p>
      <w:pPr>
        <w:pStyle w:val="null3"/>
        <w:jc w:val="both"/>
      </w:pPr>
      <w:r>
        <w:rPr>
          <w:sz w:val="21"/>
          <w:b/>
        </w:rPr>
        <w:t>3、合同组成</w:t>
      </w:r>
    </w:p>
    <w:p>
      <w:pPr>
        <w:pStyle w:val="null3"/>
        <w:ind w:firstLine="420"/>
        <w:jc w:val="both"/>
      </w:pPr>
      <w:r>
        <w:rPr>
          <w:sz w:val="21"/>
        </w:rPr>
        <w:t>详细价格、技术说明及其它特定信息、本项目招投标文件、会议纪要、补充协议等均为本合同不可分割之一部分。</w:t>
      </w:r>
    </w:p>
    <w:p>
      <w:pPr>
        <w:pStyle w:val="null3"/>
        <w:jc w:val="both"/>
      </w:pPr>
      <w:r>
        <w:rPr>
          <w:sz w:val="21"/>
          <w:b/>
        </w:rPr>
        <w:t>4、技术要求</w:t>
      </w:r>
    </w:p>
    <w:p>
      <w:pPr>
        <w:pStyle w:val="null3"/>
        <w:ind w:firstLine="420"/>
        <w:jc w:val="both"/>
      </w:pPr>
      <w:r>
        <w:rPr>
          <w:sz w:val="21"/>
        </w:rPr>
        <w:t>乙方所提供的设备，必须符合国家有关规范和环保要求及招标文件中甲方的技术要求，并提供设备的出厂测试检验报告。所有货物及服务不得侵犯第三方版权、专利、税费等。</w:t>
      </w:r>
    </w:p>
    <w:p>
      <w:pPr>
        <w:pStyle w:val="null3"/>
        <w:jc w:val="both"/>
      </w:pPr>
      <w:r>
        <w:rPr>
          <w:sz w:val="21"/>
          <w:b/>
        </w:rPr>
        <w:t>5、合同设备包装、交货、安装、调试及验收</w:t>
      </w:r>
    </w:p>
    <w:p>
      <w:pPr>
        <w:pStyle w:val="null3"/>
        <w:ind w:firstLine="210"/>
        <w:jc w:val="both"/>
      </w:pPr>
      <w:r>
        <w:rPr>
          <w:sz w:val="21"/>
        </w:rPr>
        <w:t>5.1.合同设备的包装</w:t>
      </w:r>
    </w:p>
    <w:p>
      <w:pPr>
        <w:pStyle w:val="null3"/>
        <w:ind w:firstLine="420"/>
        <w:jc w:val="both"/>
      </w:pPr>
      <w:r>
        <w:rPr>
          <w:sz w:val="21"/>
        </w:rPr>
        <w:t>设备的包装均应有良好的防湿、防锈、防潮、防雨、防腐及防碰撞的措施。凡由于包装不良造成的损失和由此产生的费用均由乙方承担。</w:t>
      </w:r>
    </w:p>
    <w:p>
      <w:pPr>
        <w:pStyle w:val="null3"/>
        <w:ind w:firstLine="210"/>
        <w:jc w:val="both"/>
      </w:pPr>
      <w:r>
        <w:rPr>
          <w:sz w:val="21"/>
        </w:rPr>
        <w:t>5.2.合同设备的交货</w:t>
      </w:r>
    </w:p>
    <w:p>
      <w:pPr>
        <w:pStyle w:val="null3"/>
        <w:ind w:firstLine="420"/>
        <w:jc w:val="both"/>
      </w:pPr>
      <w:r>
        <w:rPr>
          <w:sz w:val="21"/>
        </w:rPr>
        <w:t>5.2.1. 乙方交货时间：自合同约定生效之日起30个自然日内到货并完成安装调试。</w:t>
      </w:r>
    </w:p>
    <w:p>
      <w:pPr>
        <w:pStyle w:val="null3"/>
        <w:ind w:firstLine="420"/>
        <w:jc w:val="both"/>
      </w:pPr>
      <w:r>
        <w:rPr>
          <w:sz w:val="21"/>
        </w:rPr>
        <w:t>5.2.2. 乙方交货地点：</w:t>
      </w:r>
      <w:r>
        <w:rPr>
          <w:sz w:val="21"/>
        </w:rPr>
        <w:t>中山市东凤人民医院</w:t>
      </w:r>
    </w:p>
    <w:p>
      <w:pPr>
        <w:pStyle w:val="null3"/>
        <w:ind w:firstLine="420"/>
        <w:jc w:val="left"/>
      </w:pPr>
      <w:r>
        <w:rPr>
          <w:sz w:val="21"/>
        </w:rPr>
        <w:t>5.2.3. 乙方负责将设备材料运到现场过程中的全部运输，包括装卸车、货物现场的搬运。</w:t>
      </w:r>
    </w:p>
    <w:p>
      <w:pPr>
        <w:pStyle w:val="null3"/>
        <w:ind w:firstLine="420"/>
        <w:jc w:val="left"/>
      </w:pPr>
      <w:r>
        <w:rPr>
          <w:sz w:val="21"/>
        </w:rPr>
        <w:t>5.2.4. 各种设备，必须提供装箱清单,按装箱清单验收货物。</w:t>
      </w:r>
    </w:p>
    <w:p>
      <w:pPr>
        <w:pStyle w:val="null3"/>
        <w:ind w:firstLine="420"/>
        <w:jc w:val="left"/>
      </w:pPr>
      <w:r>
        <w:rPr>
          <w:sz w:val="21"/>
        </w:rPr>
        <w:t>5.2.5. 设备在现场的保管由乙方负责，直至项目安装、验收完毕。</w:t>
      </w:r>
    </w:p>
    <w:p>
      <w:pPr>
        <w:pStyle w:val="null3"/>
        <w:ind w:firstLine="420"/>
        <w:jc w:val="both"/>
      </w:pPr>
      <w:r>
        <w:rPr>
          <w:sz w:val="21"/>
        </w:rPr>
        <w:t>5.2.6. 设备在系统安装调试验收合格前的保险由乙方负责，乙方负责其派出的现场服务人员人身意外保险。</w:t>
      </w:r>
    </w:p>
    <w:p>
      <w:pPr>
        <w:pStyle w:val="null3"/>
        <w:ind w:firstLine="420"/>
        <w:jc w:val="left"/>
      </w:pPr>
      <w:r>
        <w:rPr>
          <w:sz w:val="21"/>
        </w:rPr>
        <w:t>5.2.7. 至交货地为甲方使用现场的包装、保险及发运等环节和费用均由乙方负责。</w:t>
      </w:r>
    </w:p>
    <w:p>
      <w:pPr>
        <w:pStyle w:val="null3"/>
        <w:ind w:firstLine="420"/>
        <w:jc w:val="both"/>
      </w:pPr>
      <w:r>
        <w:rPr>
          <w:sz w:val="21"/>
        </w:rPr>
        <w:t>5.3.合同设备的安装调试</w:t>
      </w:r>
    </w:p>
    <w:p>
      <w:pPr>
        <w:pStyle w:val="null3"/>
        <w:ind w:firstLine="420"/>
        <w:jc w:val="both"/>
      </w:pPr>
      <w:r>
        <w:rPr>
          <w:sz w:val="21"/>
        </w:rPr>
        <w:t>5.3.1. 乙方负责本项目所有设备的安装调试以及所有必须的线材与备件等。</w:t>
      </w:r>
    </w:p>
    <w:p>
      <w:pPr>
        <w:pStyle w:val="null3"/>
        <w:ind w:firstLine="420"/>
        <w:jc w:val="both"/>
      </w:pPr>
      <w:r>
        <w:rPr>
          <w:sz w:val="21"/>
        </w:rPr>
        <w:t>5.3.2. 乙方安装时须对各安装场地内的其它设备、设施有良好保护措施。</w:t>
      </w:r>
    </w:p>
    <w:p>
      <w:pPr>
        <w:pStyle w:val="null3"/>
        <w:ind w:firstLine="420"/>
        <w:jc w:val="both"/>
      </w:pPr>
      <w:r>
        <w:rPr>
          <w:sz w:val="21"/>
        </w:rPr>
        <w:t>5.3.3. 乙方应当对甲方提交详细项目安装进度表。</w:t>
      </w:r>
    </w:p>
    <w:p>
      <w:pPr>
        <w:pStyle w:val="null3"/>
        <w:ind w:firstLine="420"/>
        <w:jc w:val="both"/>
      </w:pPr>
      <w:r>
        <w:rPr>
          <w:sz w:val="21"/>
        </w:rPr>
        <w:t>5.3.4. 乙方应设安装负责人，负责安装协调管理工作。乙方应派有经验的技术人员到施工现场进行设备的安装和调测，负责处理设备的质量和数量短缺等问题，并应对系统质量全面负责。</w:t>
      </w:r>
    </w:p>
    <w:p>
      <w:pPr>
        <w:pStyle w:val="null3"/>
        <w:ind w:firstLine="420"/>
        <w:jc w:val="both"/>
      </w:pPr>
      <w:r>
        <w:rPr>
          <w:sz w:val="21"/>
        </w:rPr>
        <w:t>5.3.5. 安装所需工具设施物料由乙方自备、自费运到现场，完工后自费搬走。</w:t>
      </w:r>
    </w:p>
    <w:p>
      <w:pPr>
        <w:pStyle w:val="null3"/>
        <w:ind w:firstLine="420"/>
        <w:jc w:val="both"/>
      </w:pPr>
      <w:r>
        <w:rPr>
          <w:sz w:val="21"/>
        </w:rPr>
        <w:t>5.3.6. 调试：乙方应按国家相关施工验收规范进行，分阶段进行调试。</w:t>
      </w:r>
    </w:p>
    <w:p>
      <w:pPr>
        <w:pStyle w:val="null3"/>
        <w:ind w:firstLine="420"/>
        <w:jc w:val="both"/>
      </w:pPr>
      <w:r>
        <w:rPr>
          <w:sz w:val="21"/>
        </w:rPr>
        <w:t>5.3.7. 设备的拆箱、安装、通电、调试等项工作由乙方负责，但必须在甲方指定人员的参与下进行。乙方应响应标书中给出的具体安装和测试方法，在实际实施前必须先经甲方同意方可进行。调试的原始记录须经各方签字后作为验收的文件之一。</w:t>
      </w:r>
    </w:p>
    <w:p>
      <w:pPr>
        <w:pStyle w:val="null3"/>
        <w:ind w:firstLine="420"/>
        <w:jc w:val="both"/>
      </w:pPr>
      <w:r>
        <w:rPr>
          <w:sz w:val="21"/>
        </w:rPr>
        <w:t>5.3.8. 所有设备、器材在开箱时必须完好，无破损。配置与装箱单相符。数量、质量及性能不低于本项目磋商文件中提出的要求。</w:t>
      </w:r>
    </w:p>
    <w:p>
      <w:pPr>
        <w:pStyle w:val="null3"/>
        <w:ind w:firstLine="211"/>
        <w:jc w:val="both"/>
      </w:pPr>
      <w:r>
        <w:rPr>
          <w:sz w:val="21"/>
          <w:b/>
        </w:rPr>
        <w:t>5.4. 设备的验收</w:t>
      </w:r>
    </w:p>
    <w:p>
      <w:pPr>
        <w:pStyle w:val="null3"/>
        <w:ind w:firstLine="420"/>
        <w:jc w:val="both"/>
      </w:pPr>
      <w:r>
        <w:rPr>
          <w:sz w:val="21"/>
        </w:rPr>
        <w:t>5.4.1. 合同设备安装调试完成并移交所有资料文档后7个工作日内验收，验收按国家有关技术标准规范和招投标文件载明的技术参数指标、性能等为依据，并出具《验收报告》。实行现场验收，验收应在乙方与甲方双方共同参加下进行，产品质量达到设计要求，设备安装调试后，各项指标须符合采购合同要求；计量设备应能通过计量部门的验收。</w:t>
      </w:r>
    </w:p>
    <w:p>
      <w:pPr>
        <w:pStyle w:val="null3"/>
        <w:ind w:firstLine="420"/>
        <w:jc w:val="both"/>
      </w:pPr>
      <w:r>
        <w:rPr>
          <w:sz w:val="21"/>
        </w:rPr>
        <w:t>5.4.2. 验收按国家有关的规定、规范进行，设备必须符合及具备招标文件之用户需求规定的技术标准与要求。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420"/>
        <w:jc w:val="both"/>
      </w:pPr>
      <w:r>
        <w:rPr>
          <w:sz w:val="21"/>
        </w:rPr>
        <w:t>5.4.3. 如果合同设备运输和安装调试过程中因事故造成货物短缺、损坏，乙方应及时安排换装，以保证合同设备安装调试的成功完成。换货的相关费用由乙方承担。</w:t>
      </w:r>
    </w:p>
    <w:p>
      <w:pPr>
        <w:pStyle w:val="null3"/>
        <w:ind w:firstLine="420"/>
        <w:jc w:val="both"/>
      </w:pPr>
      <w:r>
        <w:rPr>
          <w:sz w:val="21"/>
        </w:rPr>
        <w:t>5.4.4. 国内产品或合资厂的产品必须具备出厂合格证。</w:t>
      </w:r>
    </w:p>
    <w:p>
      <w:pPr>
        <w:pStyle w:val="null3"/>
        <w:ind w:firstLine="420"/>
        <w:jc w:val="both"/>
      </w:pPr>
      <w:r>
        <w:rPr>
          <w:sz w:val="21"/>
        </w:rPr>
        <w:t>5.4.5. 进口产品必须具备省级（或相当于省级）商检部门的检验证明，及正常报关证明。</w:t>
      </w:r>
    </w:p>
    <w:p>
      <w:pPr>
        <w:pStyle w:val="null3"/>
        <w:ind w:firstLine="210"/>
        <w:jc w:val="both"/>
      </w:pPr>
      <w:r>
        <w:rPr>
          <w:sz w:val="21"/>
        </w:rPr>
        <w:t>5.5. 如乙方没有及时提供相关证件（如商检证等），有可能影响验收进程，所导致的经济损失，由乙方自行承担。</w:t>
      </w:r>
    </w:p>
    <w:p>
      <w:pPr>
        <w:pStyle w:val="null3"/>
        <w:ind w:firstLine="210"/>
        <w:jc w:val="both"/>
      </w:pPr>
      <w:r>
        <w:rPr>
          <w:sz w:val="21"/>
        </w:rPr>
        <w:t>5.6. 乙方保证合同项下提供的设备不侵犯任何第三方的专利、商标或版权。否则，乙方须承担对第三方的专利或版权的侵权责任并承担因此而发生的所有费用。</w:t>
      </w:r>
    </w:p>
    <w:p>
      <w:pPr>
        <w:pStyle w:val="null3"/>
        <w:jc w:val="both"/>
      </w:pPr>
      <w:r>
        <w:rPr>
          <w:sz w:val="21"/>
          <w:b/>
        </w:rPr>
        <w:t>6、保修期及售后服务要求</w:t>
      </w:r>
    </w:p>
    <w:p>
      <w:pPr>
        <w:pStyle w:val="null3"/>
        <w:ind w:firstLine="210"/>
        <w:jc w:val="both"/>
      </w:pPr>
      <w:r>
        <w:rPr>
          <w:sz w:val="21"/>
        </w:rPr>
        <w:t>6.1. 设备主机免费保修期至少</w:t>
      </w:r>
      <w:r>
        <w:rPr>
          <w:u w:val="single"/>
        </w:rPr>
        <w:t xml:space="preserve"> 3 </w:t>
      </w:r>
      <w:r>
        <w:rPr>
          <w:sz w:val="21"/>
        </w:rPr>
        <w:t>年；提供终身维护服务。</w:t>
      </w:r>
    </w:p>
    <w:p>
      <w:pPr>
        <w:pStyle w:val="null3"/>
        <w:ind w:firstLine="210"/>
        <w:jc w:val="both"/>
      </w:pPr>
      <w:r>
        <w:rPr>
          <w:sz w:val="21"/>
        </w:rPr>
        <w:t>6.2. 在保修期内要求每年至少回访</w:t>
      </w:r>
      <w:r>
        <w:rPr>
          <w:u w:val="single"/>
        </w:rPr>
        <w:t xml:space="preserve"> </w:t>
      </w:r>
      <w:r>
        <w:rPr>
          <w:u w:val="single"/>
        </w:rPr>
        <w:t>2</w:t>
      </w:r>
      <w:r>
        <w:rPr>
          <w:u w:val="single"/>
        </w:rPr>
        <w:t xml:space="preserve"> </w:t>
      </w:r>
      <w:r>
        <w:rPr>
          <w:sz w:val="21"/>
        </w:rPr>
        <w:t>次，易损件保用期不少于</w:t>
      </w:r>
      <w:r>
        <w:rPr>
          <w:u w:val="single"/>
        </w:rPr>
        <w:t xml:space="preserve">    </w:t>
      </w:r>
      <w:r>
        <w:rPr>
          <w:sz w:val="21"/>
        </w:rPr>
        <w:t>年，最后一次安排在出保前两个月内完成。</w:t>
      </w:r>
    </w:p>
    <w:p>
      <w:pPr>
        <w:pStyle w:val="null3"/>
        <w:ind w:firstLine="210"/>
        <w:jc w:val="both"/>
      </w:pPr>
      <w:r>
        <w:rPr>
          <w:sz w:val="21"/>
        </w:rPr>
        <w:t>6.3. 保修期内免费提供最新版本软件升级（包括拥有本次所要求出售货物的备件、专用设备和技术人员），</w:t>
      </w:r>
      <w:r>
        <w:rPr>
          <w:sz w:val="21"/>
        </w:rPr>
        <w:t>收到甲方通知或</w:t>
      </w:r>
      <w:r>
        <w:rPr>
          <w:sz w:val="21"/>
        </w:rPr>
        <w:t>保修期内设备出现故障时，乙方须在</w:t>
      </w:r>
      <w:r>
        <w:rPr>
          <w:u w:val="single"/>
        </w:rPr>
        <w:t xml:space="preserve">  0.5 </w:t>
      </w:r>
      <w:r>
        <w:rPr>
          <w:sz w:val="21"/>
        </w:rPr>
        <w:t>小时内对甲方提出的需求做出响应，</w:t>
      </w:r>
      <w:r>
        <w:rPr>
          <w:u w:val="single"/>
        </w:rPr>
        <w:t xml:space="preserve">  2  </w:t>
      </w:r>
      <w:r>
        <w:rPr>
          <w:sz w:val="21"/>
        </w:rPr>
        <w:t>小时内到达现场维修，若</w:t>
      </w:r>
      <w:r>
        <w:rPr>
          <w:u w:val="single"/>
        </w:rPr>
        <w:t xml:space="preserve">  8  </w:t>
      </w:r>
      <w:r>
        <w:rPr>
          <w:sz w:val="21"/>
        </w:rPr>
        <w:t>小时后仍无法排除故障的，须于</w:t>
      </w:r>
      <w:r>
        <w:rPr>
          <w:sz w:val="21"/>
          <w:u w:val="single"/>
        </w:rPr>
        <w:t xml:space="preserve"> </w:t>
      </w:r>
      <w:r>
        <w:rPr>
          <w:sz w:val="21"/>
          <w:u w:val="single"/>
        </w:rPr>
        <w:t xml:space="preserve">24 </w:t>
      </w:r>
      <w:r>
        <w:rPr>
          <w:sz w:val="21"/>
        </w:rPr>
        <w:t>小时内负责提供</w:t>
      </w:r>
      <w:r>
        <w:rPr>
          <w:sz w:val="21"/>
        </w:rPr>
        <w:t>同型号规格档次</w:t>
      </w:r>
      <w:r>
        <w:rPr>
          <w:sz w:val="21"/>
        </w:rPr>
        <w:t>的全新设备供甲方使用，直至故障设备修复，</w:t>
      </w:r>
      <w:r>
        <w:rPr>
          <w:sz w:val="21"/>
        </w:rPr>
        <w:t>由此产生的一切费用均由乙方承担。如检修或更换过程中可能影响到系统性能时，须重新进行系统性能测试，并在通过性能测试后重新开始计算质量保证期。且质保期累计相应顺延。</w:t>
      </w:r>
    </w:p>
    <w:p>
      <w:pPr>
        <w:pStyle w:val="null3"/>
        <w:ind w:firstLine="210"/>
        <w:jc w:val="both"/>
      </w:pPr>
      <w:r>
        <w:rPr>
          <w:sz w:val="21"/>
        </w:rPr>
        <w:t>6.4. 有培训计划，乙方需要帮助甲方培训至少两名以上医生熟练掌握使用设备全部功能为止，所涉及到的培训费和差旅费由乙方承担。</w:t>
      </w:r>
    </w:p>
    <w:p>
      <w:pPr>
        <w:pStyle w:val="null3"/>
        <w:ind w:firstLine="210"/>
        <w:jc w:val="both"/>
      </w:pPr>
      <w:r>
        <w:rPr>
          <w:sz w:val="21"/>
        </w:rPr>
        <w:t>6.5. 保证提供的是全新产品，没有使用过。</w:t>
      </w:r>
    </w:p>
    <w:p>
      <w:pPr>
        <w:pStyle w:val="null3"/>
        <w:ind w:firstLine="210"/>
        <w:jc w:val="both"/>
      </w:pPr>
      <w:r>
        <w:rPr/>
        <w:t xml:space="preserve">6.6. </w:t>
      </w:r>
      <w:r>
        <w:rPr>
          <w:sz w:val="21"/>
        </w:rPr>
        <w:t>非甲方的人为原因出现的产品质量问题、安装问题及产品故障，由乙方免费负责包修、包换或包退，并承担因此而产生的一切费用。</w:t>
      </w:r>
    </w:p>
    <w:p>
      <w:pPr>
        <w:pStyle w:val="null3"/>
        <w:ind w:firstLine="211"/>
        <w:jc w:val="both"/>
      </w:pPr>
      <w:r>
        <w:rPr>
          <w:sz w:val="21"/>
        </w:rPr>
        <w:t>6.7. 合同内各项设备所列的耗材、试剂、主要易损件等报价仅供甲方参考，甲方保留自行选择耗材供应单位的权利。若在保修期满后甲方需向乙方采购所列耗材、试剂、主要易损件的，乙方承诺以投标文件中的报价金额向甲方供应，且保修期外只收取零配件成本费，免人工费。</w:t>
      </w:r>
    </w:p>
    <w:p>
      <w:pPr>
        <w:pStyle w:val="null3"/>
        <w:jc w:val="both"/>
      </w:pPr>
      <w:r>
        <w:rPr>
          <w:sz w:val="21"/>
          <w:b/>
        </w:rPr>
        <w:t>7、付款方式</w:t>
      </w:r>
    </w:p>
    <w:p>
      <w:pPr>
        <w:pStyle w:val="null3"/>
        <w:ind w:firstLine="210"/>
        <w:jc w:val="both"/>
      </w:pPr>
      <w:r>
        <w:rPr>
          <w:sz w:val="21"/>
        </w:rPr>
        <w:t>7.</w:t>
      </w:r>
      <w:r>
        <w:rPr>
          <w:sz w:val="21"/>
        </w:rPr>
        <w:t>1. 预付款：签订采购合同后30个自然日内</w:t>
      </w:r>
      <w:r>
        <w:rPr>
          <w:sz w:val="21"/>
        </w:rPr>
        <w:t>，</w:t>
      </w:r>
      <w:r>
        <w:rPr>
          <w:sz w:val="21"/>
        </w:rPr>
        <w:t>甲方</w:t>
      </w:r>
      <w:r>
        <w:rPr>
          <w:sz w:val="21"/>
        </w:rPr>
        <w:t>支付合同总额的</w:t>
      </w:r>
      <w:r>
        <w:rPr>
          <w:sz w:val="21"/>
        </w:rPr>
        <w:t>30%。</w:t>
      </w:r>
    </w:p>
    <w:p>
      <w:pPr>
        <w:pStyle w:val="null3"/>
        <w:ind w:firstLine="210"/>
        <w:jc w:val="both"/>
      </w:pPr>
      <w:r>
        <w:rPr>
          <w:sz w:val="21"/>
        </w:rPr>
        <w:t>7.</w:t>
      </w:r>
      <w:r>
        <w:rPr>
          <w:sz w:val="21"/>
        </w:rPr>
        <w:t>2. 设备安装调试结束，提交全部报告材料，调试完成并验收合格后，</w:t>
      </w:r>
      <w:r>
        <w:rPr>
          <w:sz w:val="21"/>
        </w:rPr>
        <w:t>甲方</w:t>
      </w:r>
      <w:r>
        <w:rPr>
          <w:sz w:val="21"/>
        </w:rPr>
        <w:t>30个自然日内支付合同总额的70%</w:t>
      </w:r>
      <w:r>
        <w:rPr>
          <w:sz w:val="21"/>
        </w:rPr>
        <w:t>，</w:t>
      </w:r>
      <w:r>
        <w:rPr>
          <w:sz w:val="21"/>
        </w:rPr>
        <w:t>同时无息退还乙方的合同履约保证金。</w:t>
      </w:r>
    </w:p>
    <w:p>
      <w:pPr>
        <w:pStyle w:val="null3"/>
        <w:ind w:firstLine="210"/>
        <w:jc w:val="both"/>
      </w:pPr>
      <w:r>
        <w:rPr>
          <w:sz w:val="21"/>
        </w:rPr>
        <w:t>7.</w:t>
      </w:r>
      <w:r>
        <w:rPr>
          <w:sz w:val="21"/>
        </w:rPr>
        <w:t>3. 本合同的每笔款项以人民币银行转账方式支付，合同设备到</w:t>
      </w:r>
      <w:r>
        <w:rPr>
          <w:sz w:val="21"/>
        </w:rPr>
        <w:t>甲方</w:t>
      </w:r>
      <w:r>
        <w:rPr>
          <w:sz w:val="21"/>
        </w:rPr>
        <w:t>指定地点交付并完成安装，验收合格后，</w:t>
      </w:r>
      <w:r>
        <w:rPr>
          <w:sz w:val="21"/>
        </w:rPr>
        <w:t>乙方</w:t>
      </w:r>
      <w:r>
        <w:rPr>
          <w:sz w:val="21"/>
        </w:rPr>
        <w:t>凭以下资料向</w:t>
      </w:r>
      <w:r>
        <w:rPr>
          <w:sz w:val="21"/>
        </w:rPr>
        <w:t>甲方</w:t>
      </w:r>
      <w:r>
        <w:rPr>
          <w:sz w:val="21"/>
        </w:rPr>
        <w:t>提出付款申请：（</w:t>
      </w:r>
      <w:r>
        <w:rPr>
          <w:sz w:val="21"/>
        </w:rPr>
        <w:t>1）合同；（2）验收调试合格报告（加盖</w:t>
      </w:r>
      <w:r>
        <w:rPr>
          <w:sz w:val="21"/>
        </w:rPr>
        <w:t>甲方</w:t>
      </w:r>
      <w:r>
        <w:rPr>
          <w:sz w:val="21"/>
        </w:rPr>
        <w:t>公章）；（</w:t>
      </w:r>
      <w:r>
        <w:rPr>
          <w:sz w:val="21"/>
        </w:rPr>
        <w:t>3）</w:t>
      </w:r>
      <w:r>
        <w:rPr>
          <w:sz w:val="21"/>
        </w:rPr>
        <w:t>乙方</w:t>
      </w:r>
      <w:r>
        <w:rPr>
          <w:sz w:val="21"/>
        </w:rPr>
        <w:t>开具的符合</w:t>
      </w:r>
      <w:r>
        <w:rPr>
          <w:sz w:val="21"/>
        </w:rPr>
        <w:t>甲方</w:t>
      </w:r>
      <w:r>
        <w:rPr>
          <w:sz w:val="21"/>
        </w:rPr>
        <w:t>财务要求的等额有效发票（加盖发票专用章）。</w:t>
      </w:r>
    </w:p>
    <w:p>
      <w:pPr>
        <w:pStyle w:val="null3"/>
        <w:jc w:val="both"/>
      </w:pPr>
      <w:r>
        <w:rPr>
          <w:sz w:val="21"/>
          <w:b/>
        </w:rPr>
        <w:t>8、技术服务</w:t>
      </w:r>
    </w:p>
    <w:p>
      <w:pPr>
        <w:pStyle w:val="null3"/>
        <w:ind w:firstLine="210"/>
        <w:jc w:val="both"/>
      </w:pPr>
      <w:r>
        <w:rPr>
          <w:sz w:val="21"/>
        </w:rPr>
        <w:t>8.1. 乙方应派员到甲方指定地点配合工作。</w:t>
      </w:r>
    </w:p>
    <w:p>
      <w:pPr>
        <w:pStyle w:val="null3"/>
        <w:ind w:firstLine="210"/>
        <w:jc w:val="both"/>
      </w:pPr>
      <w:r>
        <w:rPr>
          <w:sz w:val="21"/>
        </w:rPr>
        <w:t>8.2. 乙方按甲方提供的合同执行进度计划，再配合甲方及有关单位，以此做好合同执行进度上的配合工作。</w:t>
      </w:r>
    </w:p>
    <w:p>
      <w:pPr>
        <w:pStyle w:val="null3"/>
        <w:ind w:firstLine="210"/>
        <w:jc w:val="both"/>
      </w:pPr>
      <w:r>
        <w:rPr>
          <w:sz w:val="21"/>
        </w:rPr>
        <w:t>8.3. 在设备调试运行后，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b/>
        </w:rPr>
        <w:t>9、不可抗力</w:t>
      </w:r>
    </w:p>
    <w:p>
      <w:pPr>
        <w:pStyle w:val="null3"/>
        <w:ind w:firstLine="210"/>
        <w:jc w:val="both"/>
      </w:pPr>
      <w:r>
        <w:rPr>
          <w:sz w:val="21"/>
        </w:rPr>
        <w:t>9.1 不可抗力指战争、严重火灾、洪水、台风、地震等或其它双方认定的不可抗力事件。</w:t>
      </w:r>
    </w:p>
    <w:p>
      <w:pPr>
        <w:pStyle w:val="null3"/>
        <w:ind w:firstLine="210"/>
        <w:jc w:val="both"/>
      </w:pPr>
      <w:r>
        <w:rPr>
          <w:sz w:val="21"/>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10、索赔</w:t>
      </w:r>
    </w:p>
    <w:p>
      <w:pPr>
        <w:pStyle w:val="null3"/>
        <w:ind w:firstLine="210"/>
        <w:jc w:val="both"/>
      </w:pPr>
      <w:r>
        <w:rPr>
          <w:sz w:val="21"/>
        </w:rPr>
        <w:t>10.1 如有异议，甲方有权根据有关政府部门的检验结果向乙方提出索赔。</w:t>
      </w:r>
    </w:p>
    <w:p>
      <w:pPr>
        <w:pStyle w:val="null3"/>
        <w:ind w:firstLine="210"/>
        <w:jc w:val="both"/>
      </w:pPr>
      <w:r>
        <w:rPr>
          <w:sz w:val="21"/>
        </w:rPr>
        <w:t>10.2 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1）乙方同意退货，并按合同规定的同种货币将货款退还给甲方，并承担由此发生的一切损失和费用。</w:t>
      </w:r>
    </w:p>
    <w:p>
      <w:pPr>
        <w:pStyle w:val="null3"/>
        <w:ind w:firstLine="420"/>
        <w:jc w:val="both"/>
      </w:pPr>
      <w:r>
        <w:rPr>
          <w:sz w:val="21"/>
        </w:rPr>
        <w:t>（</w:t>
      </w:r>
      <w:r>
        <w:rPr>
          <w:sz w:val="21"/>
        </w:rPr>
        <w:t>2）根据货物低劣程度、损坏程度以及甲方所遭受损失的数额甲乙双方商定降低货物的价格。</w:t>
      </w:r>
    </w:p>
    <w:p>
      <w:pPr>
        <w:pStyle w:val="null3"/>
        <w:ind w:firstLine="420"/>
        <w:jc w:val="both"/>
      </w:pPr>
      <w:r>
        <w:rPr>
          <w:sz w:val="21"/>
        </w:rPr>
        <w:t>（</w:t>
      </w:r>
      <w:r>
        <w:rPr>
          <w:sz w:val="21"/>
        </w:rPr>
        <w:t>3）用符合规格、质量和性能要求的新零件、部件或货物来更换有缺陷的部分或修补缺陷的部分，乙方应承担一切费用和风险并负责甲方所发生的一切直接费用。同时，相应延长质量保证期。</w:t>
      </w:r>
    </w:p>
    <w:p>
      <w:pPr>
        <w:pStyle w:val="null3"/>
        <w:ind w:firstLine="210"/>
        <w:jc w:val="both"/>
      </w:pPr>
      <w:r>
        <w:rPr>
          <w:sz w:val="21"/>
        </w:rPr>
        <w:t>10.3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11、违约与处罚</w:t>
      </w:r>
    </w:p>
    <w:p>
      <w:pPr>
        <w:pStyle w:val="null3"/>
        <w:ind w:firstLine="210"/>
        <w:jc w:val="both"/>
      </w:pPr>
      <w:r>
        <w:rPr>
          <w:sz w:val="21"/>
        </w:rPr>
        <w:t>11.1 甲方应依合同规定时间内，向乙方支付货款，每拖延一天乙方可向甲方加收应付未付金额的</w:t>
      </w:r>
      <w:r>
        <w:rPr>
          <w:sz w:val="21"/>
          <w:u w:val="single"/>
        </w:rPr>
        <w:t xml:space="preserve"> </w:t>
      </w:r>
      <w:r>
        <w:rPr>
          <w:sz w:val="21"/>
          <w:u w:val="single"/>
        </w:rPr>
        <w:t>5</w:t>
      </w:r>
      <w:r>
        <w:rPr>
          <w:u w:val="single"/>
        </w:rPr>
        <w:t xml:space="preserve"> </w:t>
      </w:r>
      <w:r>
        <w:rPr>
          <w:sz w:val="21"/>
          <w:u w:val="single"/>
        </w:rPr>
        <w:t xml:space="preserve">‱  </w:t>
      </w:r>
      <w:r>
        <w:rPr>
          <w:sz w:val="21"/>
        </w:rPr>
        <w:t>的违约金。</w:t>
      </w:r>
    </w:p>
    <w:p>
      <w:pPr>
        <w:pStyle w:val="null3"/>
        <w:ind w:firstLine="210"/>
        <w:jc w:val="both"/>
      </w:pPr>
      <w:r>
        <w:rPr>
          <w:sz w:val="21"/>
        </w:rPr>
        <w:t>11.2 乙方未能按时交货，每拖延一天，须向甲方支付合同金额的 1% 的违约金。超过10日的，甲方有权单方解除合同。由此给甲方造成的损失，由乙方承担全部赔偿责任。</w:t>
      </w:r>
    </w:p>
    <w:p>
      <w:pPr>
        <w:pStyle w:val="null3"/>
        <w:ind w:firstLine="210"/>
        <w:jc w:val="both"/>
      </w:pPr>
      <w:r>
        <w:rPr>
          <w:sz w:val="21"/>
        </w:rPr>
        <w:t>11.3 乙方交付的货物不符合合同规定的，甲方有权拒收，乙方向甲方支付合同金额的 10% 的违约金，且乙方须在 5 日内将合格设备交付给甲方，逾期甲方有权解除本合同。</w:t>
      </w:r>
    </w:p>
    <w:p>
      <w:pPr>
        <w:pStyle w:val="null3"/>
        <w:ind w:firstLine="210"/>
        <w:jc w:val="both"/>
      </w:pPr>
      <w:r>
        <w:rPr>
          <w:sz w:val="21"/>
        </w:rPr>
        <w:t>11.4 甲方无正当理由拒收货物的，甲方向乙方支付合同金额的</w:t>
      </w:r>
      <w:r>
        <w:rPr>
          <w:sz w:val="21"/>
          <w:u w:val="single"/>
        </w:rPr>
        <w:t xml:space="preserve"> </w:t>
      </w:r>
      <w:r>
        <w:rPr>
          <w:sz w:val="21"/>
          <w:u w:val="single"/>
        </w:rPr>
        <w:t xml:space="preserve">5% </w:t>
      </w:r>
      <w:r>
        <w:rPr>
          <w:sz w:val="21"/>
        </w:rPr>
        <w:t>的违约金。</w:t>
      </w:r>
    </w:p>
    <w:p>
      <w:pPr>
        <w:pStyle w:val="null3"/>
        <w:ind w:firstLine="210"/>
        <w:jc w:val="both"/>
      </w:pPr>
      <w:r>
        <w:rPr>
          <w:sz w:val="21"/>
        </w:rPr>
        <w:t>11.5 因乙方未能交付货物，则向甲方支付合同总金额的</w:t>
      </w:r>
      <w:r>
        <w:rPr>
          <w:sz w:val="21"/>
          <w:u w:val="single"/>
        </w:rPr>
        <w:t xml:space="preserve"> </w:t>
      </w:r>
      <w:r>
        <w:rPr>
          <w:sz w:val="21"/>
          <w:u w:val="single"/>
        </w:rPr>
        <w:t xml:space="preserve">10% </w:t>
      </w:r>
      <w:r>
        <w:rPr>
          <w:sz w:val="21"/>
        </w:rPr>
        <w:t>的违约金。</w:t>
      </w:r>
    </w:p>
    <w:p>
      <w:pPr>
        <w:pStyle w:val="null3"/>
        <w:ind w:firstLine="210"/>
        <w:jc w:val="both"/>
      </w:pPr>
      <w:r>
        <w:rPr>
          <w:sz w:val="21"/>
        </w:rPr>
        <w:t>11.6 双方存在其他违约行为的，按合同相关条款处理，本合同未约定的，依法处理。</w:t>
      </w:r>
    </w:p>
    <w:p>
      <w:pPr>
        <w:pStyle w:val="null3"/>
        <w:jc w:val="both"/>
      </w:pPr>
      <w:r>
        <w:rPr>
          <w:sz w:val="21"/>
          <w:b/>
        </w:rPr>
        <w:t>12、合同终止</w:t>
      </w:r>
    </w:p>
    <w:p>
      <w:pPr>
        <w:pStyle w:val="null3"/>
        <w:ind w:firstLine="420"/>
        <w:jc w:val="both"/>
      </w:pPr>
      <w:r>
        <w:rPr>
          <w:sz w:val="21"/>
        </w:rPr>
        <w:t>如果一方严重违反合同，并在收到对方违约通知书后在</w:t>
      </w:r>
      <w:r>
        <w:rPr>
          <w:sz w:val="21"/>
          <w:u w:val="single"/>
        </w:rPr>
        <w:t xml:space="preserve"> </w:t>
      </w:r>
      <w:r>
        <w:rPr>
          <w:sz w:val="21"/>
          <w:u w:val="single"/>
        </w:rPr>
        <w:t xml:space="preserve">10 </w:t>
      </w:r>
      <w:r>
        <w:rPr>
          <w:sz w:val="21"/>
        </w:rPr>
        <w:t>天内仍未能改正违约的，另一方可立即终止本合同。</w:t>
      </w:r>
    </w:p>
    <w:p>
      <w:pPr>
        <w:pStyle w:val="null3"/>
        <w:jc w:val="both"/>
      </w:pPr>
      <w:r>
        <w:rPr>
          <w:sz w:val="21"/>
          <w:b/>
        </w:rPr>
        <w:t>13、法律诉讼</w:t>
      </w:r>
    </w:p>
    <w:p>
      <w:pPr>
        <w:pStyle w:val="null3"/>
        <w:ind w:firstLine="420"/>
        <w:jc w:val="both"/>
      </w:pPr>
      <w:r>
        <w:rPr>
          <w:sz w:val="21"/>
        </w:rPr>
        <w:t>在解释或者执行本合同的过程中发生争议时，双方应通过协商方式解决。协商不成的，由甲方所在地人民法院管辖。</w:t>
      </w:r>
    </w:p>
    <w:p>
      <w:pPr>
        <w:pStyle w:val="null3"/>
        <w:jc w:val="both"/>
      </w:pPr>
      <w:r>
        <w:rPr>
          <w:sz w:val="21"/>
          <w:b/>
        </w:rPr>
        <w:t>14、其它</w:t>
      </w:r>
    </w:p>
    <w:p>
      <w:pPr>
        <w:pStyle w:val="null3"/>
        <w:ind w:firstLine="210"/>
        <w:jc w:val="left"/>
      </w:pPr>
      <w:r>
        <w:rPr>
          <w:sz w:val="21"/>
        </w:rPr>
        <w:t>14.1 本合同附件：</w:t>
      </w:r>
      <w:r>
        <w:rPr>
          <w:sz w:val="21"/>
        </w:rPr>
        <w:t>中山市东凤人民医院</w:t>
      </w:r>
      <w:r>
        <w:rPr>
          <w:u w:val="single"/>
        </w:rPr>
        <w:t xml:space="preserve">      </w:t>
      </w:r>
      <w:r>
        <w:rPr>
          <w:sz w:val="21"/>
        </w:rPr>
        <w:t>采购项目</w:t>
      </w:r>
      <w:r>
        <w:rPr>
          <w:sz w:val="21"/>
        </w:rPr>
        <w:t>(项目编号：</w:t>
      </w:r>
      <w:r>
        <w:rPr>
          <w:u w:val="single"/>
        </w:rPr>
        <w:t xml:space="preserve">         </w:t>
      </w:r>
      <w:r>
        <w:rPr>
          <w:sz w:val="21"/>
        </w:rPr>
        <w:t>、含附件</w:t>
      </w:r>
      <w:r>
        <w:rPr>
          <w:sz w:val="21"/>
        </w:rPr>
        <w:t>)、乙方的招标文件、中选通知书、设备配置清单等；本合同附件是本合同的组成部分，与本合同之间内容应认为是互为补充和解释，但如有模棱两可或者与本合同约定不一致的，以最有利于甲方的条款和内容为准。</w:t>
      </w:r>
    </w:p>
    <w:p>
      <w:pPr>
        <w:pStyle w:val="null3"/>
        <w:ind w:firstLine="210"/>
        <w:jc w:val="left"/>
      </w:pPr>
      <w:r>
        <w:rPr>
          <w:sz w:val="21"/>
        </w:rPr>
        <w:t>14.2 本合同正本</w:t>
      </w:r>
      <w:r>
        <w:rPr>
          <w:sz w:val="21"/>
          <w:u w:val="single"/>
        </w:rPr>
        <w:t xml:space="preserve"> </w:t>
      </w:r>
      <w:r>
        <w:rPr>
          <w:sz w:val="21"/>
          <w:u w:val="single"/>
        </w:rPr>
        <w:t>伍</w:t>
      </w:r>
      <w:r>
        <w:rPr>
          <w:sz w:val="21"/>
        </w:rPr>
        <w:t>份，甲方</w:t>
      </w:r>
      <w:r>
        <w:rPr>
          <w:sz w:val="21"/>
          <w:u w:val="single"/>
        </w:rPr>
        <w:t xml:space="preserve"> </w:t>
      </w:r>
      <w:r>
        <w:rPr>
          <w:sz w:val="21"/>
          <w:u w:val="single"/>
        </w:rPr>
        <w:t>贰</w:t>
      </w:r>
      <w:r>
        <w:rPr>
          <w:sz w:val="21"/>
        </w:rPr>
        <w:t>份，乙方</w:t>
      </w:r>
      <w:r>
        <w:rPr>
          <w:sz w:val="21"/>
          <w:u w:val="single"/>
        </w:rPr>
        <w:t xml:space="preserve"> </w:t>
      </w:r>
      <w:r>
        <w:rPr>
          <w:sz w:val="21"/>
          <w:u w:val="single"/>
        </w:rPr>
        <w:t>贰</w:t>
      </w:r>
      <w:r>
        <w:rPr>
          <w:sz w:val="21"/>
        </w:rPr>
        <w:t>份，招标代理机构</w:t>
      </w:r>
      <w:r>
        <w:rPr>
          <w:sz w:val="21"/>
          <w:u w:val="single"/>
        </w:rPr>
        <w:t xml:space="preserve"> </w:t>
      </w:r>
      <w:r>
        <w:rPr>
          <w:sz w:val="21"/>
          <w:u w:val="single"/>
        </w:rPr>
        <w:t>壹</w:t>
      </w:r>
      <w:r>
        <w:rPr>
          <w:sz w:val="21"/>
        </w:rPr>
        <w:t>份，具有同等法律效力，合同自签字盖章之日起即时生效。</w:t>
      </w:r>
    </w:p>
    <w:p>
      <w:pPr>
        <w:pStyle w:val="null3"/>
        <w:ind w:firstLine="210"/>
        <w:jc w:val="both"/>
      </w:pPr>
      <w:r>
        <w:rPr>
          <w:sz w:val="21"/>
        </w:rPr>
        <w:t>14.3 本合同未尽事宜，由双方协商处理。</w:t>
      </w:r>
    </w:p>
    <w:p>
      <w:pPr>
        <w:pStyle w:val="null3"/>
        <w:jc w:val="both"/>
      </w:pPr>
      <w:r>
        <w:rPr>
          <w:sz w:val="21"/>
        </w:rPr>
        <w:t>甲方：</w:t>
      </w:r>
      <w:r>
        <w:rPr>
          <w:sz w:val="21"/>
        </w:rPr>
        <w:t>中山市东凤人民医院</w:t>
      </w:r>
      <w:r>
        <w:rPr/>
        <w:t xml:space="preserve">                                            </w:t>
      </w:r>
      <w:r>
        <w:rPr>
          <w:sz w:val="21"/>
        </w:rPr>
        <w:t>乙方：</w:t>
      </w:r>
    </w:p>
    <w:p>
      <w:pPr>
        <w:pStyle w:val="null3"/>
        <w:jc w:val="both"/>
      </w:pPr>
      <w:r>
        <w:rPr>
          <w:sz w:val="21"/>
        </w:rPr>
        <w:t>法定代表人（负责人）：</w:t>
      </w:r>
      <w:r>
        <w:rPr>
          <w:sz w:val="21"/>
        </w:rPr>
        <w:t xml:space="preserve">                                            </w:t>
      </w:r>
      <w:r>
        <w:rPr>
          <w:sz w:val="21"/>
        </w:rPr>
        <w:t>法定代表人（负责人）：</w:t>
      </w:r>
    </w:p>
    <w:p>
      <w:pPr>
        <w:pStyle w:val="null3"/>
        <w:jc w:val="both"/>
      </w:pPr>
      <w:r>
        <w:rPr>
          <w:sz w:val="21"/>
        </w:rPr>
        <w:t>签约代表：</w:t>
      </w:r>
      <w:r>
        <w:rPr>
          <w:sz w:val="21"/>
        </w:rPr>
        <w:t xml:space="preserve">                                                                </w:t>
      </w:r>
      <w:r>
        <w:rPr>
          <w:sz w:val="21"/>
        </w:rPr>
        <w:t>签约代表：</w:t>
      </w:r>
    </w:p>
    <w:p>
      <w:pPr>
        <w:pStyle w:val="null3"/>
        <w:jc w:val="both"/>
      </w:pPr>
      <w:r>
        <w:rPr>
          <w:sz w:val="21"/>
        </w:rPr>
        <w:t>地址：</w:t>
      </w:r>
      <w:r>
        <w:rPr>
          <w:sz w:val="21"/>
        </w:rPr>
        <w:t xml:space="preserve">     </w:t>
      </w:r>
      <w:r>
        <w:rPr/>
        <w:t xml:space="preserve">                                                                       </w:t>
      </w:r>
      <w:r>
        <w:rPr>
          <w:sz w:val="21"/>
        </w:rPr>
        <w:t>地址：</w:t>
      </w:r>
    </w:p>
    <w:p>
      <w:pPr>
        <w:pStyle w:val="null3"/>
        <w:jc w:val="both"/>
      </w:pPr>
      <w:r>
        <w:rPr>
          <w:sz w:val="21"/>
        </w:rPr>
        <w:t>电话：</w:t>
      </w:r>
      <w:r>
        <w:rPr/>
        <w:t xml:space="preserve">             </w:t>
      </w:r>
      <w:r>
        <w:rPr>
          <w:sz w:val="21"/>
        </w:rPr>
        <w:t xml:space="preserve">                                                           </w:t>
      </w:r>
      <w:r>
        <w:rPr>
          <w:sz w:val="21"/>
        </w:rPr>
        <w:t>电话：</w:t>
      </w:r>
    </w:p>
    <w:p>
      <w:pPr>
        <w:pStyle w:val="null3"/>
        <w:jc w:val="both"/>
      </w:pPr>
      <w:r>
        <w:rPr>
          <w:sz w:val="21"/>
        </w:rPr>
        <w:t>传真：　　　</w:t>
      </w:r>
      <w:r>
        <w:rPr>
          <w:sz w:val="21"/>
        </w:rPr>
        <w:t xml:space="preserve">                                                             </w:t>
      </w:r>
      <w:r>
        <w:rPr>
          <w:sz w:val="21"/>
        </w:rPr>
        <w:t>传真：</w:t>
      </w:r>
    </w:p>
    <w:p>
      <w:pPr>
        <w:pStyle w:val="null3"/>
        <w:jc w:val="both"/>
      </w:pPr>
      <w:r>
        <w:rPr>
          <w:sz w:val="21"/>
        </w:rPr>
        <w:t>纳税人识别号：</w:t>
      </w:r>
      <w:r>
        <w:rPr/>
        <w:t xml:space="preserve">                  </w:t>
      </w:r>
      <w:r>
        <w:rPr>
          <w:sz w:val="21"/>
        </w:rPr>
        <w:t xml:space="preserve">                                         </w:t>
      </w:r>
      <w:r>
        <w:rPr>
          <w:sz w:val="21"/>
        </w:rPr>
        <w:t>纳税人识别号：</w:t>
      </w:r>
    </w:p>
    <w:p>
      <w:pPr>
        <w:pStyle w:val="null3"/>
        <w:jc w:val="both"/>
      </w:pPr>
      <w:r>
        <w:rPr>
          <w:sz w:val="21"/>
        </w:rPr>
        <w:t>开户银行：</w:t>
      </w:r>
      <w:r>
        <w:rPr/>
        <w:t xml:space="preserve">                   </w:t>
      </w:r>
      <w:r>
        <w:rPr>
          <w:sz w:val="21"/>
        </w:rPr>
        <w:t xml:space="preserve">                                               </w:t>
      </w:r>
      <w:r>
        <w:rPr>
          <w:sz w:val="21"/>
        </w:rPr>
        <w:t>开户银行：</w:t>
      </w:r>
      <w:r>
        <w:rPr>
          <w:sz w:val="21"/>
        </w:rPr>
        <w:t xml:space="preserve">                     </w:t>
      </w:r>
    </w:p>
    <w:p>
      <w:pPr>
        <w:pStyle w:val="null3"/>
        <w:jc w:val="both"/>
      </w:pPr>
      <w:r>
        <w:rPr>
          <w:sz w:val="21"/>
        </w:rPr>
        <w:t>银行账号：</w:t>
      </w:r>
      <w:r>
        <w:rPr>
          <w:sz w:val="21"/>
        </w:rPr>
        <w:t xml:space="preserve">             </w:t>
      </w:r>
      <w:r>
        <w:rPr/>
        <w:t xml:space="preserve">                                                       </w:t>
      </w:r>
      <w:r>
        <w:rPr>
          <w:sz w:val="21"/>
        </w:rPr>
        <w:t>银行账号：</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442000103-2024-00353</w:t>
      </w:r>
    </w:p>
    <w:p>
      <w:pPr>
        <w:pStyle w:val="null3"/>
        <w:jc w:val="center"/>
        <w:outlineLvl w:val="3"/>
      </w:pPr>
      <w:r>
        <w:rPr>
          <w:sz w:val="24"/>
          <w:b/>
        </w:rPr>
        <w:t>采购项目编号：</w:t>
      </w:r>
      <w:r>
        <w:rPr>
          <w:sz w:val="24"/>
          <w:b/>
        </w:rPr>
        <w:t>442000103-2024-00353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中山市东凤人民医院高清电子消化道内镜系统采购项目</w:t>
      </w:r>
      <w:r>
        <w:rPr>
          <w:u w:val="single"/>
        </w:rPr>
        <w:t>”</w:t>
      </w:r>
      <w:r>
        <w:rPr/>
        <w:t>项目的招标[采购项目编号为：</w:t>
      </w:r>
      <w:r>
        <w:rPr>
          <w:u w:val="single"/>
        </w:rPr>
        <w:t>442000103-2024-00353</w:t>
      </w:r>
      <w:r>
        <w:rPr/>
        <w:t>]，我方愿参与投标。</w:t>
      </w:r>
    </w:p>
    <w:p>
      <w:pPr>
        <w:pStyle w:val="null3"/>
        <w:ind w:firstLine="480"/>
      </w:pPr>
      <w:r>
        <w:rPr/>
        <w:t>我方确认收到贵方提供的</w:t>
      </w:r>
      <w:r>
        <w:rPr>
          <w:u w:val="single"/>
        </w:rPr>
        <w:t>“</w:t>
      </w:r>
      <w:r>
        <w:rPr>
          <w:u w:val="single"/>
        </w:rPr>
        <w:t>中山市东凤人民医院高清电子消化道内镜系统采购项目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中山市东凤人民医院高清电子消化道内镜系统采购项目</w:t>
      </w:r>
      <w:r>
        <w:rPr/>
        <w:t>”项目采购[采购项目编号为</w:t>
      </w:r>
      <w:r>
        <w:rPr/>
        <w:t>442000103-2024-00353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中山市东凤人民医院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中山市东凤人民医院高清电子消化道内镜系统采购项目</w:t>
      </w:r>
      <w:r>
        <w:rPr/>
        <w:t>招标中获中标（采购项目编号：</w:t>
      </w:r>
      <w:r>
        <w:rPr/>
        <w:t>442000103-2024-00353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中山市东凤人民医院高清电子消化道内镜系统采购项目</w:t>
      </w:r>
      <w:r>
        <w:rPr/>
        <w:t>”项目（采购项目编号：</w:t>
      </w:r>
      <w:r>
        <w:rPr/>
        <w:t>442000103-2024-00353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