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EAD68">
      <w:pPr>
        <w:pStyle w:val="4"/>
        <w:jc w:val="center"/>
        <w:outlineLvl w:val="1"/>
      </w:pPr>
      <w:r>
        <w:rPr>
          <w:b/>
          <w:sz w:val="36"/>
        </w:rPr>
        <w:t>采购需求</w:t>
      </w:r>
    </w:p>
    <w:p w14:paraId="714BAC32">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一、项目概况：</w:t>
      </w:r>
    </w:p>
    <w:p w14:paraId="6D1A4E57">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rPr>
        <w:t>项目名称：</w:t>
      </w:r>
      <w:r>
        <w:rPr>
          <w:rFonts w:hint="eastAsia" w:ascii="宋体" w:hAnsi="宋体" w:eastAsia="宋体" w:cs="宋体"/>
          <w:sz w:val="24"/>
          <w:szCs w:val="24"/>
          <w:lang w:eastAsia="zh-CN"/>
        </w:rPr>
        <w:t>中山市南头镇社区卫生服务中心及5个社区卫生站购买基本医疗业务项目</w:t>
      </w:r>
    </w:p>
    <w:p w14:paraId="05956227">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Hans"/>
        </w:rPr>
        <w:t>2.</w:t>
      </w:r>
      <w:r>
        <w:rPr>
          <w:rFonts w:hint="eastAsia" w:ascii="宋体" w:hAnsi="宋体" w:eastAsia="宋体" w:cs="宋体"/>
          <w:sz w:val="24"/>
          <w:szCs w:val="24"/>
        </w:rPr>
        <w:t>采购方式：竞争性磋商</w:t>
      </w:r>
    </w:p>
    <w:p w14:paraId="43E397A5">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Hans"/>
        </w:rPr>
        <w:t>3.</w:t>
      </w:r>
      <w:r>
        <w:rPr>
          <w:rFonts w:hint="eastAsia" w:ascii="宋体" w:hAnsi="宋体" w:eastAsia="宋体" w:cs="宋体"/>
          <w:sz w:val="24"/>
          <w:szCs w:val="24"/>
        </w:rPr>
        <w:t>预算金额：</w:t>
      </w:r>
      <w:r>
        <w:rPr>
          <w:rFonts w:hint="eastAsia" w:ascii="宋体" w:hAnsi="宋体" w:eastAsia="宋体" w:cs="宋体"/>
          <w:sz w:val="24"/>
          <w:szCs w:val="24"/>
          <w:lang w:eastAsia="zh-CN"/>
        </w:rPr>
        <w:t>1,350,000.00</w:t>
      </w:r>
      <w:r>
        <w:rPr>
          <w:rFonts w:hint="eastAsia" w:ascii="宋体" w:hAnsi="宋体" w:eastAsia="宋体" w:cs="宋体"/>
          <w:sz w:val="24"/>
          <w:szCs w:val="24"/>
        </w:rPr>
        <w:t>元</w:t>
      </w:r>
      <w:bookmarkStart w:id="0" w:name="_GoBack"/>
      <w:bookmarkEnd w:id="0"/>
    </w:p>
    <w:p w14:paraId="24F0FB1B">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Hans"/>
        </w:rPr>
        <w:t>4.</w:t>
      </w:r>
      <w:r>
        <w:rPr>
          <w:rFonts w:hint="eastAsia" w:ascii="宋体" w:hAnsi="宋体" w:eastAsia="宋体" w:cs="宋体"/>
          <w:color w:val="auto"/>
          <w:sz w:val="24"/>
          <w:szCs w:val="24"/>
          <w:highlight w:val="none"/>
        </w:rPr>
        <w:t>本项目不属于专门</w:t>
      </w:r>
      <w:r>
        <w:rPr>
          <w:rFonts w:hint="eastAsia" w:ascii="宋体" w:hAnsi="宋体" w:eastAsia="宋体" w:cs="宋体"/>
          <w:sz w:val="24"/>
          <w:szCs w:val="24"/>
        </w:rPr>
        <w:t>面向中小企业采购项目，供应商根据磋商公告附件《中小企业划型标准规定》、《广东省财政厅关于进一步规范政府采购活动中落实促进中小企业发展政策的通知》要求自行判定是否属于其他未列明行业的小微企业，符合小微企业类型的方可享受《政府采购促进中小企业发展管理办法》规定的中小企业扶持政策。</w:t>
      </w:r>
    </w:p>
    <w:p w14:paraId="0A5AB7F4">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Hans"/>
        </w:rPr>
        <w:t>5.</w:t>
      </w:r>
      <w:r>
        <w:rPr>
          <w:rFonts w:hint="eastAsia" w:ascii="宋体" w:hAnsi="宋体" w:eastAsia="宋体" w:cs="宋体"/>
          <w:sz w:val="24"/>
          <w:szCs w:val="24"/>
        </w:rPr>
        <w:t>本项目属于服务类项目，采购标的对应的中小企业划分标准所属行业为：其他未列明行业。</w:t>
      </w:r>
    </w:p>
    <w:p w14:paraId="5E5233B6">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Hans"/>
        </w:rPr>
        <w:t>6.</w:t>
      </w:r>
      <w:r>
        <w:rPr>
          <w:rFonts w:hint="eastAsia" w:ascii="宋体" w:hAnsi="宋体" w:eastAsia="宋体" w:cs="宋体"/>
          <w:sz w:val="24"/>
          <w:szCs w:val="24"/>
        </w:rPr>
        <w:t>本项目不接受联合体投标。</w:t>
      </w:r>
    </w:p>
    <w:p w14:paraId="0965E661">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eastAsia="zh-CN"/>
        </w:rPr>
      </w:pPr>
      <w:r>
        <w:rPr>
          <w:rFonts w:hint="default" w:ascii="宋体" w:hAnsi="宋体" w:eastAsia="宋体" w:cs="宋体"/>
          <w:sz w:val="24"/>
          <w:szCs w:val="24"/>
          <w:lang w:val="en-US" w:eastAsia="zh-CN"/>
        </w:rPr>
        <w:t>7.</w:t>
      </w:r>
      <w:r>
        <w:rPr>
          <w:rFonts w:hint="eastAsia" w:ascii="宋体" w:hAnsi="宋体" w:eastAsia="宋体" w:cs="宋体"/>
          <w:sz w:val="24"/>
          <w:szCs w:val="24"/>
        </w:rPr>
        <w:t>合同履行期限：</w:t>
      </w:r>
      <w:r>
        <w:rPr>
          <w:rFonts w:hint="eastAsia" w:ascii="宋体" w:hAnsi="宋体" w:eastAsia="宋体" w:cs="宋体"/>
          <w:sz w:val="24"/>
          <w:szCs w:val="24"/>
          <w:lang w:eastAsia="zh-CN"/>
        </w:rPr>
        <w:t>自合同约定生效之日起至2025年12月31日。</w:t>
      </w:r>
    </w:p>
    <w:p w14:paraId="3D2159A5">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Hans"/>
        </w:rPr>
        <w:t>8.</w:t>
      </w:r>
      <w:r>
        <w:rPr>
          <w:rFonts w:hint="eastAsia" w:ascii="宋体" w:hAnsi="宋体" w:eastAsia="宋体" w:cs="宋体"/>
          <w:sz w:val="24"/>
          <w:szCs w:val="24"/>
        </w:rPr>
        <w:t>未经采购人同意，成交供应商不得以任何方式转包或分包本项目。</w:t>
      </w:r>
    </w:p>
    <w:p w14:paraId="47FC48AF">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Hans"/>
        </w:rPr>
        <w:t>9.</w:t>
      </w:r>
      <w:r>
        <w:rPr>
          <w:rFonts w:hint="eastAsia" w:ascii="宋体" w:hAnsi="宋体" w:eastAsia="宋体" w:cs="宋体"/>
          <w:sz w:val="24"/>
          <w:szCs w:val="24"/>
        </w:rPr>
        <w:t>采购人有权在签订合同时对项目内容作适当修改调整或对服务内容作适量增加或减少，但不得对磋商文件约定的条款作出实质性的变更。</w:t>
      </w:r>
    </w:p>
    <w:p w14:paraId="5049C288">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sz w:val="24"/>
          <w:szCs w:val="24"/>
        </w:rPr>
      </w:pPr>
      <w:r>
        <w:rPr>
          <w:rFonts w:hint="default" w:ascii="宋体" w:hAnsi="宋体" w:eastAsia="宋体" w:cs="宋体"/>
          <w:b/>
          <w:sz w:val="24"/>
          <w:szCs w:val="24"/>
          <w:lang w:val="en-US" w:eastAsia="zh-Hans"/>
        </w:rPr>
        <w:t>10.</w:t>
      </w:r>
      <w:r>
        <w:rPr>
          <w:rFonts w:hint="eastAsia" w:ascii="宋体" w:hAnsi="宋体" w:eastAsia="宋体" w:cs="宋体"/>
          <w:b/>
          <w:sz w:val="24"/>
          <w:szCs w:val="24"/>
        </w:rPr>
        <w:t>在磋商文件中标注“★”标识的条款内容被视为重要的响应要求、技术指标要求和性能要求，供应商必须对此作全面响应和满足，未响应或任何负偏离则将被视为无效投标。标注“▲”标识的内容为重点评标条款，供应商必须对该标识条款按照要求进行真实应答描述。</w:t>
      </w:r>
    </w:p>
    <w:p w14:paraId="732C85E0">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sz w:val="24"/>
          <w:szCs w:val="24"/>
        </w:rPr>
      </w:pPr>
      <w:r>
        <w:rPr>
          <w:rFonts w:hint="default" w:ascii="宋体" w:hAnsi="宋体" w:eastAsia="宋体" w:cs="宋体"/>
          <w:b/>
          <w:sz w:val="24"/>
          <w:szCs w:val="24"/>
          <w:lang w:val="en-US" w:eastAsia="zh-Hans"/>
        </w:rPr>
        <w:t>11.</w:t>
      </w:r>
      <w:r>
        <w:rPr>
          <w:rFonts w:hint="eastAsia" w:ascii="宋体" w:hAnsi="宋体" w:eastAsia="宋体" w:cs="宋体"/>
          <w:b/>
          <w:sz w:val="24"/>
          <w:szCs w:val="24"/>
        </w:rPr>
        <w:t>本项目由成交供应商负责磋商文件对成交供应商要求的一切事宜及责任。投标报价中不得包含磋商文件要求以外的内容，否则，在评标时不予核减；若投标报价有缺漏项的，缺漏项部分的价格视为已包含在投标报价中，</w:t>
      </w:r>
      <w:r>
        <w:rPr>
          <w:rFonts w:hint="eastAsia" w:ascii="宋体" w:hAnsi="宋体" w:eastAsia="宋体" w:cs="宋体"/>
          <w:b/>
          <w:sz w:val="24"/>
          <w:szCs w:val="24"/>
          <w:lang w:val="en-US" w:eastAsia="zh-CN"/>
        </w:rPr>
        <w:t>成交</w:t>
      </w:r>
      <w:r>
        <w:rPr>
          <w:rFonts w:hint="eastAsia" w:ascii="宋体" w:hAnsi="宋体" w:eastAsia="宋体" w:cs="宋体"/>
          <w:b/>
          <w:sz w:val="24"/>
          <w:szCs w:val="24"/>
        </w:rPr>
        <w:t>后不作任何调整，采购人将不再支付任何额外费用。</w:t>
      </w:r>
    </w:p>
    <w:p w14:paraId="10F12EF1">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sz w:val="24"/>
          <w:szCs w:val="24"/>
        </w:rPr>
      </w:pPr>
      <w:r>
        <w:rPr>
          <w:rFonts w:hint="default" w:ascii="宋体" w:hAnsi="宋体" w:eastAsia="宋体" w:cs="宋体"/>
          <w:b/>
          <w:sz w:val="24"/>
          <w:szCs w:val="24"/>
          <w:lang w:val="en-US" w:eastAsia="zh-Hans"/>
        </w:rPr>
        <w:t>12.</w:t>
      </w:r>
      <w:r>
        <w:rPr>
          <w:rFonts w:hint="eastAsia" w:ascii="宋体" w:hAnsi="宋体" w:eastAsia="宋体" w:cs="宋体"/>
          <w:b/>
          <w:sz w:val="24"/>
          <w:szCs w:val="24"/>
        </w:rPr>
        <w:t>重要说明</w:t>
      </w:r>
    </w:p>
    <w:p w14:paraId="16888DB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如供应商认为本磋商文件中存在“不合理的条件对供应商实行差别待遇或者歧视待遇”，或有其它问题的，应当在磋商文件公示期间内或者自公示期满之日起七个工作日内，以书面形式（须签字盖章并提供相关证明材料）向采购代理机构反映，逾期或匿名反映的将不予受理。开标前未提出的则视同供应商已充分理解并愿意按照本磋商文件的所有条款执行。</w:t>
      </w:r>
    </w:p>
    <w:p w14:paraId="086DDEB4">
      <w:pPr>
        <w:pStyle w:val="4"/>
        <w:spacing w:line="360" w:lineRule="auto"/>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3</w:t>
      </w:r>
      <w:r>
        <w:rPr>
          <w:rFonts w:hint="eastAsia" w:ascii="宋体" w:hAnsi="宋体" w:eastAsia="宋体" w:cs="宋体"/>
          <w:b/>
          <w:sz w:val="24"/>
          <w:szCs w:val="24"/>
        </w:rPr>
        <w:t>.供应商需参照以下格式在响应文件中出具《无围标、串标行为承诺书》。</w:t>
      </w:r>
    </w:p>
    <w:p w14:paraId="1C731458">
      <w:pPr>
        <w:pStyle w:val="4"/>
        <w:spacing w:line="360" w:lineRule="auto"/>
        <w:jc w:val="center"/>
        <w:rPr>
          <w:rFonts w:hint="eastAsia" w:ascii="宋体" w:hAnsi="宋体" w:eastAsia="宋体" w:cs="宋体"/>
          <w:sz w:val="24"/>
          <w:szCs w:val="24"/>
        </w:rPr>
      </w:pPr>
      <w:r>
        <w:rPr>
          <w:rFonts w:hint="eastAsia" w:ascii="宋体" w:hAnsi="宋体" w:eastAsia="宋体" w:cs="宋体"/>
          <w:b/>
          <w:sz w:val="24"/>
          <w:szCs w:val="24"/>
        </w:rPr>
        <w:t>无围标、串标行为承诺书</w:t>
      </w:r>
    </w:p>
    <w:p w14:paraId="608021E0">
      <w:pPr>
        <w:pStyle w:val="4"/>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本公司郑重承诺：本公司在参加本次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中山市南头镇社区卫生服务中心及5个社区卫生站购买基本医疗业务项目</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待定</w:t>
      </w:r>
      <w:r>
        <w:rPr>
          <w:rFonts w:hint="eastAsia" w:ascii="宋体" w:hAnsi="宋体" w:eastAsia="宋体" w:cs="宋体"/>
          <w:sz w:val="24"/>
          <w:szCs w:val="24"/>
          <w:u w:val="single"/>
        </w:rPr>
        <w:t xml:space="preserve">   </w:t>
      </w:r>
      <w:r>
        <w:rPr>
          <w:rFonts w:hint="eastAsia" w:ascii="宋体" w:hAnsi="宋体" w:eastAsia="宋体" w:cs="宋体"/>
          <w:sz w:val="24"/>
          <w:szCs w:val="24"/>
        </w:rPr>
        <w:t>]活动中，无以下围标、串标行为。</w:t>
      </w:r>
    </w:p>
    <w:p w14:paraId="7BDE0E3E">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1）不同供应商的投标文件由同一单位或者个人编制；</w:t>
      </w:r>
    </w:p>
    <w:p w14:paraId="7B4069C2">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2）不同供应商委托同一单位或者个人办理投标事宜；</w:t>
      </w:r>
    </w:p>
    <w:p w14:paraId="77FBD9BC">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3）不同供应商的投标文件载明的项目管理成员或者联系人员为同一人；</w:t>
      </w:r>
    </w:p>
    <w:p w14:paraId="27483D53">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4）不同供应商的投标文件异常一致或者投标报价呈规律性差异；</w:t>
      </w:r>
    </w:p>
    <w:p w14:paraId="2F6EA93C">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5）不同供应商的投标文件相互混装；</w:t>
      </w:r>
    </w:p>
    <w:p w14:paraId="425AB5E3">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6）不同供应商的投标保证金从同一单位或者个人的账户转出；</w:t>
      </w:r>
    </w:p>
    <w:p w14:paraId="0631590A">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7）不同单位负责人为同一人或者存在控股、管理关系的不同单位参加同一招标项目投标；</w:t>
      </w:r>
    </w:p>
    <w:p w14:paraId="5CA70E4E">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8）法律法规界定的其他围标串标行为。</w:t>
      </w:r>
    </w:p>
    <w:p w14:paraId="69B1253E">
      <w:pPr>
        <w:pStyle w:val="4"/>
        <w:spacing w:line="360" w:lineRule="auto"/>
        <w:ind w:firstLine="420"/>
        <w:rPr>
          <w:rFonts w:hint="eastAsia" w:ascii="宋体" w:hAnsi="宋体" w:eastAsia="宋体" w:cs="宋体"/>
          <w:sz w:val="24"/>
          <w:szCs w:val="24"/>
        </w:rPr>
      </w:pPr>
      <w:r>
        <w:rPr>
          <w:rFonts w:hint="eastAsia" w:ascii="宋体" w:hAnsi="宋体" w:eastAsia="宋体" w:cs="宋体"/>
          <w:sz w:val="24"/>
          <w:szCs w:val="24"/>
        </w:rPr>
        <w:t>如有发现我公司存在围标、串标行为，我公司愿承担一切法律责任。</w:t>
      </w:r>
    </w:p>
    <w:p w14:paraId="6F87CFC2">
      <w:pPr>
        <w:pStyle w:val="4"/>
        <w:spacing w:line="360" w:lineRule="auto"/>
        <w:ind w:firstLine="420"/>
        <w:rPr>
          <w:rFonts w:hint="eastAsia" w:ascii="宋体" w:hAnsi="宋体" w:eastAsia="宋体" w:cs="宋体"/>
          <w:sz w:val="24"/>
          <w:szCs w:val="24"/>
        </w:rPr>
      </w:pPr>
      <w:r>
        <w:rPr>
          <w:rFonts w:hint="eastAsia" w:ascii="宋体" w:hAnsi="宋体" w:eastAsia="宋体" w:cs="宋体"/>
          <w:sz w:val="24"/>
          <w:szCs w:val="24"/>
        </w:rPr>
        <w:t>特此承诺。</w:t>
      </w:r>
    </w:p>
    <w:p w14:paraId="0CAA6CB1">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供应商法定代表人（或法定代表人授权代表）签字或盖章：__________________</w:t>
      </w:r>
    </w:p>
    <w:p w14:paraId="16D13CA7">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供应商名称（盖章）：__________________</w:t>
      </w:r>
    </w:p>
    <w:p w14:paraId="31DE97B0">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rPr>
        <w:t>日期：   年  月  日</w:t>
      </w:r>
    </w:p>
    <w:p w14:paraId="55D569EA">
      <w:pPr>
        <w:rPr>
          <w:rFonts w:hint="eastAsia" w:ascii="宋体" w:hAnsi="宋体" w:eastAsia="宋体" w:cs="宋体"/>
          <w:sz w:val="24"/>
          <w:szCs w:val="24"/>
        </w:rPr>
      </w:pPr>
      <w:r>
        <w:rPr>
          <w:rFonts w:hint="eastAsia" w:ascii="宋体" w:hAnsi="宋体" w:eastAsia="宋体" w:cs="宋体"/>
          <w:sz w:val="24"/>
          <w:szCs w:val="24"/>
        </w:rPr>
        <w:br w:type="page"/>
      </w:r>
    </w:p>
    <w:p w14:paraId="1A9B5312">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采购包1（</w:t>
      </w:r>
      <w:r>
        <w:rPr>
          <w:rFonts w:hint="eastAsia" w:ascii="宋体" w:hAnsi="宋体" w:eastAsia="宋体" w:cs="宋体"/>
          <w:sz w:val="24"/>
          <w:szCs w:val="24"/>
          <w:lang w:eastAsia="zh-CN"/>
        </w:rPr>
        <w:t>中山市南头镇社区卫生服务中心及5个社区卫生站购买基本医疗业务项目</w:t>
      </w:r>
      <w:r>
        <w:rPr>
          <w:rFonts w:hint="eastAsia" w:ascii="宋体" w:hAnsi="宋体" w:eastAsia="宋体" w:cs="宋体"/>
          <w:sz w:val="24"/>
          <w:szCs w:val="24"/>
        </w:rPr>
        <w:t>）</w:t>
      </w:r>
    </w:p>
    <w:p w14:paraId="3047A0EA">
      <w:pPr>
        <w:pStyle w:val="4"/>
        <w:spacing w:line="360" w:lineRule="auto"/>
        <w:rPr>
          <w:rFonts w:hint="eastAsia" w:ascii="宋体" w:hAnsi="宋体" w:eastAsia="宋体" w:cs="宋体"/>
          <w:sz w:val="24"/>
          <w:szCs w:val="24"/>
        </w:rPr>
      </w:pPr>
      <w:r>
        <w:rPr>
          <w:rFonts w:hint="eastAsia" w:ascii="宋体" w:hAnsi="宋体" w:eastAsia="宋体" w:cs="宋体"/>
          <w:b/>
          <w:sz w:val="24"/>
          <w:szCs w:val="24"/>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04"/>
        <w:gridCol w:w="6518"/>
      </w:tblGrid>
      <w:tr w14:paraId="72FBC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4" w:type="dxa"/>
          </w:tcPr>
          <w:p w14:paraId="3429E8BF">
            <w:pPr>
              <w:pStyle w:val="4"/>
              <w:spacing w:line="360" w:lineRule="auto"/>
              <w:rPr>
                <w:rFonts w:hint="eastAsia" w:ascii="宋体" w:hAnsi="宋体" w:eastAsia="宋体" w:cs="宋体"/>
                <w:sz w:val="24"/>
                <w:szCs w:val="24"/>
              </w:rPr>
            </w:pPr>
            <w:r>
              <w:rPr>
                <w:rFonts w:hint="eastAsia" w:ascii="宋体" w:hAnsi="宋体" w:eastAsia="宋体" w:cs="宋体"/>
                <w:sz w:val="24"/>
                <w:szCs w:val="24"/>
              </w:rPr>
              <w:t>标的提供的时间</w:t>
            </w:r>
          </w:p>
        </w:tc>
        <w:tc>
          <w:tcPr>
            <w:tcW w:w="6518" w:type="dxa"/>
          </w:tcPr>
          <w:p w14:paraId="20C92993">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自合同约定生效之日起至2025年12月31日。</w:t>
            </w:r>
          </w:p>
        </w:tc>
      </w:tr>
      <w:tr w14:paraId="28F0D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4" w:type="dxa"/>
          </w:tcPr>
          <w:p w14:paraId="523C5DE2">
            <w:pPr>
              <w:pStyle w:val="4"/>
              <w:spacing w:line="360" w:lineRule="auto"/>
              <w:rPr>
                <w:rFonts w:hint="eastAsia" w:ascii="宋体" w:hAnsi="宋体" w:eastAsia="宋体" w:cs="宋体"/>
                <w:sz w:val="24"/>
                <w:szCs w:val="24"/>
              </w:rPr>
            </w:pPr>
            <w:r>
              <w:rPr>
                <w:rFonts w:hint="eastAsia" w:ascii="宋体" w:hAnsi="宋体" w:eastAsia="宋体" w:cs="宋体"/>
                <w:sz w:val="24"/>
                <w:szCs w:val="24"/>
              </w:rPr>
              <w:t>标的提供的地点</w:t>
            </w:r>
          </w:p>
        </w:tc>
        <w:tc>
          <w:tcPr>
            <w:tcW w:w="6518" w:type="dxa"/>
          </w:tcPr>
          <w:p w14:paraId="6067AACE">
            <w:pPr>
              <w:pStyle w:val="4"/>
              <w:spacing w:line="360" w:lineRule="auto"/>
              <w:rPr>
                <w:rFonts w:hint="eastAsia" w:ascii="宋体" w:hAnsi="宋体" w:eastAsia="宋体" w:cs="宋体"/>
                <w:sz w:val="24"/>
                <w:szCs w:val="24"/>
              </w:rPr>
            </w:pPr>
            <w:r>
              <w:rPr>
                <w:rFonts w:hint="eastAsia" w:ascii="宋体" w:hAnsi="宋体" w:eastAsia="宋体" w:cs="宋体"/>
                <w:sz w:val="24"/>
                <w:szCs w:val="24"/>
              </w:rPr>
              <w:t>以采购人指定地点为准。</w:t>
            </w:r>
          </w:p>
        </w:tc>
      </w:tr>
      <w:tr w14:paraId="6F9B3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4" w:type="dxa"/>
          </w:tcPr>
          <w:p w14:paraId="3F8ED5F1">
            <w:pPr>
              <w:pStyle w:val="4"/>
              <w:spacing w:line="360" w:lineRule="auto"/>
              <w:rPr>
                <w:rFonts w:hint="eastAsia" w:ascii="宋体" w:hAnsi="宋体" w:eastAsia="宋体" w:cs="宋体"/>
                <w:sz w:val="24"/>
                <w:szCs w:val="24"/>
              </w:rPr>
            </w:pPr>
            <w:r>
              <w:rPr>
                <w:rFonts w:hint="eastAsia" w:ascii="宋体" w:hAnsi="宋体" w:eastAsia="宋体" w:cs="宋体"/>
                <w:sz w:val="24"/>
                <w:szCs w:val="24"/>
              </w:rPr>
              <w:t>付款方式</w:t>
            </w:r>
          </w:p>
        </w:tc>
        <w:tc>
          <w:tcPr>
            <w:tcW w:w="6518" w:type="dxa"/>
          </w:tcPr>
          <w:p w14:paraId="13790566">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第1期为(</w:t>
            </w:r>
            <w:r>
              <w:rPr>
                <w:rFonts w:hint="eastAsia" w:ascii="宋体" w:hAnsi="宋体" w:eastAsia="宋体" w:cs="宋体"/>
                <w:sz w:val="24"/>
                <w:szCs w:val="24"/>
                <w:lang w:val="en-US" w:eastAsia="zh-CN"/>
              </w:rPr>
              <w:t>进度</w:t>
            </w:r>
            <w:r>
              <w:rPr>
                <w:rFonts w:hint="eastAsia" w:ascii="宋体" w:hAnsi="宋体" w:eastAsia="宋体" w:cs="宋体"/>
                <w:sz w:val="24"/>
                <w:szCs w:val="24"/>
              </w:rPr>
              <w:t>款)：支付比例50%，合同</w:t>
            </w:r>
            <w:r>
              <w:rPr>
                <w:rFonts w:hint="eastAsia" w:ascii="宋体" w:hAnsi="宋体" w:eastAsia="宋体" w:cs="宋体"/>
                <w:sz w:val="24"/>
                <w:szCs w:val="24"/>
                <w:lang w:val="en-US" w:eastAsia="zh-CN"/>
              </w:rPr>
              <w:t>签订后三</w:t>
            </w:r>
            <w:r>
              <w:rPr>
                <w:rFonts w:hint="eastAsia" w:ascii="宋体" w:hAnsi="宋体" w:eastAsia="宋体" w:cs="宋体"/>
                <w:sz w:val="24"/>
                <w:szCs w:val="24"/>
              </w:rPr>
              <w:t>个月内，支付合同金额的50%</w:t>
            </w:r>
            <w:r>
              <w:rPr>
                <w:rFonts w:hint="eastAsia" w:ascii="宋体" w:hAnsi="宋体" w:eastAsia="宋体" w:cs="宋体"/>
                <w:sz w:val="24"/>
                <w:szCs w:val="24"/>
                <w:lang w:eastAsia="zh-CN"/>
              </w:rPr>
              <w:t>。</w:t>
            </w:r>
          </w:p>
          <w:p w14:paraId="44C94AC6">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第2期为(尾款)：支付比例50%，</w:t>
            </w:r>
            <w:r>
              <w:rPr>
                <w:rFonts w:hint="eastAsia" w:ascii="宋体" w:hAnsi="宋体" w:eastAsia="宋体" w:cs="宋体"/>
                <w:sz w:val="24"/>
                <w:szCs w:val="24"/>
                <w:lang w:val="en-US" w:eastAsia="zh-CN"/>
              </w:rPr>
              <w:t>项目完成并经采购人验收合格后</w:t>
            </w:r>
            <w:r>
              <w:rPr>
                <w:rFonts w:hint="eastAsia" w:ascii="宋体" w:hAnsi="宋体" w:eastAsia="宋体" w:cs="宋体"/>
                <w:sz w:val="24"/>
                <w:szCs w:val="24"/>
              </w:rPr>
              <w:t>支付合同金额的50%</w:t>
            </w:r>
            <w:r>
              <w:rPr>
                <w:rFonts w:hint="eastAsia" w:ascii="宋体" w:hAnsi="宋体" w:eastAsia="宋体" w:cs="宋体"/>
                <w:sz w:val="24"/>
                <w:szCs w:val="24"/>
                <w:lang w:eastAsia="zh-CN"/>
              </w:rPr>
              <w:t>。</w:t>
            </w:r>
          </w:p>
          <w:p w14:paraId="4FF6A4A6">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注：1</w:t>
            </w:r>
            <w:r>
              <w:rPr>
                <w:rFonts w:hint="eastAsia" w:ascii="宋体" w:hAnsi="宋体" w:eastAsia="宋体" w:cs="宋体"/>
                <w:sz w:val="24"/>
                <w:szCs w:val="24"/>
              </w:rPr>
              <w:t>.以上时间不含支付审批时间</w:t>
            </w:r>
            <w:r>
              <w:rPr>
                <w:rFonts w:hint="eastAsia" w:ascii="宋体" w:hAnsi="宋体" w:eastAsia="宋体" w:cs="宋体"/>
                <w:sz w:val="24"/>
                <w:szCs w:val="24"/>
                <w:lang w:eastAsia="zh-CN"/>
              </w:rPr>
              <w:t>；</w:t>
            </w:r>
          </w:p>
          <w:p w14:paraId="41BD2738">
            <w:pPr>
              <w:pStyle w:val="4"/>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.具体事宜以合同</w:t>
            </w:r>
            <w:r>
              <w:rPr>
                <w:rFonts w:hint="eastAsia" w:ascii="宋体" w:hAnsi="宋体" w:eastAsia="宋体" w:cs="宋体"/>
                <w:sz w:val="24"/>
                <w:szCs w:val="24"/>
                <w:lang w:val="en-US" w:eastAsia="zh-CN"/>
              </w:rPr>
              <w:t>约定</w:t>
            </w:r>
            <w:r>
              <w:rPr>
                <w:rFonts w:hint="eastAsia" w:ascii="宋体" w:hAnsi="宋体" w:eastAsia="宋体" w:cs="宋体"/>
                <w:sz w:val="24"/>
                <w:szCs w:val="24"/>
              </w:rPr>
              <w:t>为准。</w:t>
            </w:r>
          </w:p>
        </w:tc>
      </w:tr>
      <w:tr w14:paraId="5AB1A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2"/>
          </w:tcPr>
          <w:p w14:paraId="04F2AC88">
            <w:pPr>
              <w:pStyle w:val="4"/>
              <w:spacing w:line="360" w:lineRule="auto"/>
              <w:rPr>
                <w:rFonts w:hint="eastAsia" w:ascii="宋体" w:hAnsi="宋体" w:eastAsia="宋体" w:cs="宋体"/>
                <w:sz w:val="24"/>
                <w:szCs w:val="24"/>
              </w:rPr>
            </w:pPr>
            <w:r>
              <w:rPr>
                <w:rFonts w:hint="eastAsia" w:ascii="宋体" w:hAnsi="宋体" w:eastAsia="宋体" w:cs="宋体"/>
                <w:sz w:val="24"/>
                <w:szCs w:val="24"/>
              </w:rPr>
              <w:t>如项目发生合同融资，采购人应当将合同款项支付到合同约定收款账户。</w:t>
            </w:r>
          </w:p>
        </w:tc>
      </w:tr>
      <w:tr w14:paraId="18D26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4" w:type="dxa"/>
          </w:tcPr>
          <w:p w14:paraId="23DC3269">
            <w:pPr>
              <w:pStyle w:val="4"/>
              <w:spacing w:line="360" w:lineRule="auto"/>
              <w:rPr>
                <w:rFonts w:hint="eastAsia" w:ascii="宋体" w:hAnsi="宋体" w:eastAsia="宋体" w:cs="宋体"/>
                <w:sz w:val="24"/>
                <w:szCs w:val="24"/>
              </w:rPr>
            </w:pPr>
            <w:r>
              <w:rPr>
                <w:rFonts w:hint="eastAsia" w:ascii="宋体" w:hAnsi="宋体" w:eastAsia="宋体" w:cs="宋体"/>
                <w:sz w:val="24"/>
                <w:szCs w:val="24"/>
              </w:rPr>
              <w:t>验收要求</w:t>
            </w:r>
          </w:p>
        </w:tc>
        <w:tc>
          <w:tcPr>
            <w:tcW w:w="6518" w:type="dxa"/>
          </w:tcPr>
          <w:p w14:paraId="688EB011">
            <w:pPr>
              <w:pStyle w:val="4"/>
              <w:spacing w:line="360" w:lineRule="auto"/>
              <w:rPr>
                <w:rFonts w:hint="eastAsia" w:ascii="宋体" w:hAnsi="宋体" w:eastAsia="宋体" w:cs="宋体"/>
                <w:sz w:val="24"/>
                <w:szCs w:val="24"/>
              </w:rPr>
            </w:pPr>
            <w:r>
              <w:rPr>
                <w:rFonts w:hint="eastAsia" w:ascii="宋体" w:hAnsi="宋体" w:eastAsia="宋体" w:cs="宋体"/>
                <w:sz w:val="24"/>
                <w:szCs w:val="24"/>
              </w:rPr>
              <w:t>1期：</w:t>
            </w:r>
          </w:p>
          <w:p w14:paraId="38FCD1C6">
            <w:pPr>
              <w:pStyle w:val="4"/>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须</w:t>
            </w:r>
            <w:r>
              <w:rPr>
                <w:rFonts w:hint="eastAsia" w:ascii="宋体" w:hAnsi="宋体" w:eastAsia="宋体" w:cs="宋体"/>
                <w:sz w:val="24"/>
                <w:szCs w:val="24"/>
                <w:lang w:val="en-US" w:eastAsia="zh-CN"/>
              </w:rPr>
              <w:t>负责</w:t>
            </w:r>
            <w:r>
              <w:rPr>
                <w:rFonts w:hint="eastAsia" w:ascii="宋体" w:hAnsi="宋体" w:eastAsia="宋体" w:cs="宋体"/>
                <w:sz w:val="24"/>
                <w:szCs w:val="24"/>
              </w:rPr>
              <w:t>统筹</w:t>
            </w:r>
            <w:r>
              <w:rPr>
                <w:rFonts w:hint="eastAsia" w:ascii="宋体" w:hAnsi="宋体" w:eastAsia="宋体" w:cs="宋体"/>
                <w:sz w:val="24"/>
                <w:szCs w:val="24"/>
                <w:lang w:val="en-US" w:eastAsia="zh-CN"/>
              </w:rPr>
              <w:t>南头镇</w:t>
            </w:r>
            <w:r>
              <w:rPr>
                <w:rFonts w:hint="eastAsia" w:ascii="宋体" w:hAnsi="宋体" w:eastAsia="宋体" w:cs="宋体"/>
                <w:sz w:val="24"/>
                <w:szCs w:val="24"/>
              </w:rPr>
              <w:t>社区卫生服务中心和5个卫生站</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基本医疗业务</w:t>
            </w:r>
            <w:r>
              <w:rPr>
                <w:rFonts w:hint="eastAsia" w:ascii="宋体" w:hAnsi="宋体" w:eastAsia="宋体" w:cs="宋体"/>
                <w:sz w:val="24"/>
                <w:szCs w:val="24"/>
                <w:lang w:val="en-US" w:eastAsia="zh-CN"/>
              </w:rPr>
              <w:t>，</w:t>
            </w:r>
            <w:r>
              <w:rPr>
                <w:rFonts w:hint="eastAsia" w:ascii="宋体" w:hAnsi="宋体" w:eastAsia="宋体" w:cs="宋体"/>
                <w:sz w:val="24"/>
                <w:szCs w:val="24"/>
              </w:rPr>
              <w:t>按照当年度的中山市公共卫生和社区基本医疗服务绩效评价标准接受</w:t>
            </w:r>
            <w:r>
              <w:rPr>
                <w:rFonts w:hint="eastAsia" w:ascii="宋体" w:hAnsi="宋体" w:eastAsia="宋体" w:cs="宋体"/>
                <w:sz w:val="24"/>
                <w:szCs w:val="24"/>
                <w:lang w:val="en-US" w:eastAsia="zh-CN"/>
              </w:rPr>
              <w:t>服务</w:t>
            </w:r>
            <w:r>
              <w:rPr>
                <w:rFonts w:hint="eastAsia" w:ascii="宋体" w:hAnsi="宋体" w:eastAsia="宋体" w:cs="宋体"/>
                <w:sz w:val="24"/>
                <w:szCs w:val="24"/>
              </w:rPr>
              <w:t>质量考核（包括</w:t>
            </w:r>
            <w:r>
              <w:rPr>
                <w:rFonts w:hint="eastAsia" w:ascii="宋体" w:hAnsi="宋体" w:eastAsia="宋体" w:cs="宋体"/>
                <w:sz w:val="24"/>
                <w:szCs w:val="24"/>
                <w:lang w:val="en-US" w:eastAsia="zh-CN"/>
              </w:rPr>
              <w:t>但不限于</w:t>
            </w:r>
            <w:r>
              <w:rPr>
                <w:rFonts w:hint="eastAsia" w:ascii="宋体" w:hAnsi="宋体" w:eastAsia="宋体" w:cs="宋体"/>
                <w:sz w:val="24"/>
                <w:szCs w:val="24"/>
              </w:rPr>
              <w:t>医疗质量、医疗费用、康复服务、基层门急诊人次占比、院内感染管理、药品管理、中医药服务等指标），考核得分不得低于该项总分的80%。考核不符合要求的，</w:t>
            </w:r>
            <w:r>
              <w:rPr>
                <w:rFonts w:hint="eastAsia" w:ascii="宋体" w:hAnsi="宋体" w:eastAsia="宋体" w:cs="宋体"/>
                <w:sz w:val="24"/>
                <w:szCs w:val="24"/>
                <w:lang w:eastAsia="zh-CN"/>
              </w:rPr>
              <w:t>成交供应商</w:t>
            </w:r>
            <w:r>
              <w:rPr>
                <w:rFonts w:hint="eastAsia" w:ascii="宋体" w:hAnsi="宋体" w:eastAsia="宋体" w:cs="宋体"/>
                <w:sz w:val="24"/>
                <w:szCs w:val="24"/>
              </w:rPr>
              <w:t>须在采购人发出整改通知之日起</w:t>
            </w:r>
            <w:r>
              <w:rPr>
                <w:rFonts w:hint="eastAsia" w:ascii="宋体" w:hAnsi="宋体" w:eastAsia="宋体" w:cs="宋体"/>
                <w:sz w:val="24"/>
                <w:szCs w:val="24"/>
                <w:lang w:val="en-US" w:eastAsia="zh-CN"/>
              </w:rPr>
              <w:t>一</w:t>
            </w:r>
            <w:r>
              <w:rPr>
                <w:rFonts w:hint="eastAsia" w:ascii="宋体" w:hAnsi="宋体" w:eastAsia="宋体" w:cs="宋体"/>
                <w:sz w:val="24"/>
                <w:szCs w:val="24"/>
              </w:rPr>
              <w:t>个月内提交整改实施方案并完成整改，整改后仍无法达到相关要求的，采购人有权</w:t>
            </w:r>
            <w:r>
              <w:rPr>
                <w:rFonts w:hint="eastAsia" w:ascii="宋体" w:hAnsi="宋体" w:eastAsia="宋体" w:cs="宋体"/>
                <w:sz w:val="24"/>
                <w:szCs w:val="24"/>
                <w:lang w:val="en-US" w:eastAsia="zh-CN"/>
              </w:rPr>
              <w:t>单方</w:t>
            </w:r>
            <w:r>
              <w:rPr>
                <w:rFonts w:hint="eastAsia" w:ascii="宋体" w:hAnsi="宋体" w:eastAsia="宋体" w:cs="宋体"/>
                <w:sz w:val="24"/>
                <w:szCs w:val="24"/>
              </w:rPr>
              <w:t>终止合同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具体内容详见“中山市南头镇社区卫生服务机构管理运营绩效考核评价表”</w:t>
            </w:r>
            <w:r>
              <w:rPr>
                <w:rFonts w:hint="eastAsia" w:ascii="宋体" w:hAnsi="宋体" w:eastAsia="宋体" w:cs="宋体"/>
                <w:sz w:val="24"/>
                <w:szCs w:val="24"/>
                <w:lang w:eastAsia="zh-CN"/>
              </w:rPr>
              <w:t>）</w:t>
            </w:r>
            <w:r>
              <w:rPr>
                <w:rFonts w:hint="eastAsia" w:ascii="宋体" w:hAnsi="宋体" w:eastAsia="宋体" w:cs="宋体"/>
                <w:sz w:val="24"/>
                <w:szCs w:val="24"/>
              </w:rPr>
              <w:t>。</w:t>
            </w:r>
          </w:p>
        </w:tc>
      </w:tr>
      <w:tr w14:paraId="1C18C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4" w:type="dxa"/>
          </w:tcPr>
          <w:p w14:paraId="12E6DC69">
            <w:pPr>
              <w:pStyle w:val="4"/>
              <w:spacing w:line="360" w:lineRule="auto"/>
              <w:rPr>
                <w:rFonts w:hint="eastAsia" w:ascii="宋体" w:hAnsi="宋体" w:eastAsia="宋体" w:cs="宋体"/>
                <w:sz w:val="24"/>
                <w:szCs w:val="24"/>
              </w:rPr>
            </w:pPr>
            <w:r>
              <w:rPr>
                <w:rFonts w:hint="eastAsia" w:ascii="宋体" w:hAnsi="宋体" w:eastAsia="宋体" w:cs="宋体"/>
                <w:sz w:val="24"/>
                <w:szCs w:val="24"/>
              </w:rPr>
              <w:t>履约保证金</w:t>
            </w:r>
          </w:p>
        </w:tc>
        <w:tc>
          <w:tcPr>
            <w:tcW w:w="6518" w:type="dxa"/>
          </w:tcPr>
          <w:p w14:paraId="027B92F6">
            <w:pPr>
              <w:pStyle w:val="4"/>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不收取</w:t>
            </w:r>
          </w:p>
        </w:tc>
      </w:tr>
      <w:tr w14:paraId="6A991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4" w:type="dxa"/>
          </w:tcPr>
          <w:p w14:paraId="368212D1">
            <w:pPr>
              <w:pStyle w:val="4"/>
              <w:spacing w:line="360" w:lineRule="auto"/>
              <w:rPr>
                <w:rFonts w:hint="eastAsia" w:ascii="宋体" w:hAnsi="宋体" w:eastAsia="宋体" w:cs="宋体"/>
                <w:sz w:val="24"/>
                <w:szCs w:val="24"/>
              </w:rPr>
            </w:pPr>
            <w:r>
              <w:rPr>
                <w:rFonts w:hint="eastAsia" w:ascii="宋体" w:hAnsi="宋体" w:eastAsia="宋体" w:cs="宋体"/>
                <w:sz w:val="24"/>
                <w:szCs w:val="24"/>
              </w:rPr>
              <w:t>其他</w:t>
            </w:r>
          </w:p>
        </w:tc>
        <w:tc>
          <w:tcPr>
            <w:tcW w:w="6518" w:type="dxa"/>
          </w:tcPr>
          <w:p w14:paraId="034F5144">
            <w:pPr>
              <w:pStyle w:val="4"/>
              <w:spacing w:line="360" w:lineRule="auto"/>
              <w:rPr>
                <w:rFonts w:hint="eastAsia" w:ascii="宋体" w:hAnsi="宋体" w:eastAsia="宋体" w:cs="宋体"/>
                <w:sz w:val="24"/>
                <w:szCs w:val="24"/>
              </w:rPr>
            </w:pPr>
          </w:p>
        </w:tc>
      </w:tr>
    </w:tbl>
    <w:p w14:paraId="52229DC4">
      <w:pPr>
        <w:pStyle w:val="4"/>
        <w:spacing w:line="360" w:lineRule="auto"/>
        <w:rPr>
          <w:rFonts w:hint="eastAsia" w:ascii="宋体" w:hAnsi="宋体" w:eastAsia="宋体" w:cs="宋体"/>
          <w:sz w:val="24"/>
          <w:szCs w:val="24"/>
        </w:rPr>
      </w:pPr>
      <w:r>
        <w:rPr>
          <w:rFonts w:hint="eastAsia" w:ascii="宋体" w:hAnsi="宋体" w:eastAsia="宋体" w:cs="宋体"/>
          <w:sz w:val="24"/>
          <w:szCs w:val="24"/>
        </w:rP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585"/>
        <w:gridCol w:w="750"/>
        <w:gridCol w:w="6240"/>
        <w:gridCol w:w="3"/>
      </w:tblGrid>
      <w:tr w14:paraId="1B5AC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729" w:type="dxa"/>
          </w:tcPr>
          <w:p w14:paraId="16AC65F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585" w:type="dxa"/>
          </w:tcPr>
          <w:p w14:paraId="3328739A">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编号</w:t>
            </w:r>
          </w:p>
        </w:tc>
        <w:tc>
          <w:tcPr>
            <w:tcW w:w="750" w:type="dxa"/>
          </w:tcPr>
          <w:p w14:paraId="3FB0DBCD">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内容明细</w:t>
            </w:r>
          </w:p>
        </w:tc>
        <w:tc>
          <w:tcPr>
            <w:tcW w:w="6240" w:type="dxa"/>
          </w:tcPr>
          <w:p w14:paraId="7DD7198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内容说明</w:t>
            </w:r>
          </w:p>
        </w:tc>
      </w:tr>
      <w:tr w14:paraId="4F36A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729" w:type="dxa"/>
          </w:tcPr>
          <w:p w14:paraId="39533DF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585" w:type="dxa"/>
          </w:tcPr>
          <w:p w14:paraId="31A22AA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50" w:type="dxa"/>
          </w:tcPr>
          <w:p w14:paraId="7C71AC8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报价要求</w:t>
            </w:r>
          </w:p>
        </w:tc>
        <w:tc>
          <w:tcPr>
            <w:tcW w:w="6240" w:type="dxa"/>
          </w:tcPr>
          <w:p w14:paraId="6CFFE0B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1.按</w:t>
            </w:r>
            <w:r>
              <w:rPr>
                <w:rFonts w:hint="eastAsia" w:ascii="宋体" w:hAnsi="宋体" w:eastAsia="宋体" w:cs="宋体"/>
                <w:sz w:val="24"/>
                <w:szCs w:val="24"/>
                <w:lang w:val="en-US" w:eastAsia="zh-CN"/>
              </w:rPr>
              <w:t>总价</w:t>
            </w:r>
            <w:r>
              <w:rPr>
                <w:rFonts w:hint="eastAsia" w:ascii="宋体" w:hAnsi="宋体" w:eastAsia="宋体" w:cs="宋体"/>
                <w:sz w:val="24"/>
                <w:szCs w:val="24"/>
              </w:rPr>
              <w:t>报价，投标报价不得超过项目</w:t>
            </w:r>
            <w:r>
              <w:rPr>
                <w:rFonts w:hint="eastAsia" w:ascii="宋体" w:hAnsi="宋体" w:eastAsia="宋体" w:cs="宋体"/>
                <w:sz w:val="24"/>
                <w:szCs w:val="24"/>
                <w:lang w:val="en-US" w:eastAsia="zh-CN"/>
              </w:rPr>
              <w:t>预算金额</w:t>
            </w:r>
            <w:r>
              <w:rPr>
                <w:rFonts w:hint="eastAsia" w:ascii="宋体" w:hAnsi="宋体" w:eastAsia="宋体" w:cs="宋体"/>
                <w:sz w:val="24"/>
                <w:szCs w:val="24"/>
              </w:rPr>
              <w:t>，否则视为无效报价。</w:t>
            </w:r>
          </w:p>
          <w:p w14:paraId="4DA16E7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.本项目报价包括但不限于</w:t>
            </w:r>
            <w:r>
              <w:rPr>
                <w:rFonts w:hint="eastAsia" w:ascii="宋体" w:hAnsi="宋体" w:eastAsia="宋体" w:cs="宋体"/>
                <w:sz w:val="24"/>
                <w:szCs w:val="24"/>
                <w:lang w:eastAsia="zh-CN"/>
              </w:rPr>
              <w:t>人员薪酬福利、运营管理、保险、</w:t>
            </w:r>
            <w:r>
              <w:rPr>
                <w:rFonts w:hint="eastAsia" w:ascii="宋体" w:hAnsi="宋体" w:eastAsia="宋体" w:cs="宋体"/>
                <w:sz w:val="24"/>
                <w:szCs w:val="24"/>
              </w:rPr>
              <w:t>税费等合同实施过程中的可预见和不可预见的费用，采购人不额外支付合同总价之外的任何费用。</w:t>
            </w:r>
          </w:p>
        </w:tc>
      </w:tr>
      <w:tr w14:paraId="34E42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4" w:type="dxa"/>
            <w:gridSpan w:val="3"/>
          </w:tcPr>
          <w:p w14:paraId="5BF6DCE6">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说明</w:t>
            </w:r>
          </w:p>
        </w:tc>
        <w:tc>
          <w:tcPr>
            <w:tcW w:w="6243" w:type="dxa"/>
            <w:gridSpan w:val="2"/>
          </w:tcPr>
          <w:p w14:paraId="143DA4F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打“★”号条款为实质性条款，若有任何一条负偏离或不满足则导致投标（响应）无效。 </w:t>
            </w:r>
            <w:r>
              <w:rPr>
                <w:rFonts w:hint="eastAsia" w:ascii="宋体" w:hAnsi="宋体" w:eastAsia="宋体" w:cs="宋体"/>
                <w:sz w:val="24"/>
                <w:szCs w:val="24"/>
              </w:rPr>
              <w:br w:type="textWrapping"/>
            </w:r>
            <w:r>
              <w:rPr>
                <w:rFonts w:hint="eastAsia" w:ascii="宋体" w:hAnsi="宋体" w:eastAsia="宋体" w:cs="宋体"/>
                <w:sz w:val="24"/>
                <w:szCs w:val="24"/>
              </w:rPr>
              <w:t>打“▲”号条款为重要参数（如有），若有部分“▲”条款未响应或不满足，将根据评审要求影响其得分，但不作为无效投标（响应）条款。</w:t>
            </w:r>
          </w:p>
        </w:tc>
      </w:tr>
    </w:tbl>
    <w:p w14:paraId="4CD41306">
      <w:pPr>
        <w:pStyle w:val="4"/>
        <w:spacing w:line="360" w:lineRule="auto"/>
        <w:rPr>
          <w:rFonts w:hint="eastAsia" w:ascii="宋体" w:hAnsi="宋体" w:eastAsia="宋体" w:cs="宋体"/>
          <w:sz w:val="24"/>
          <w:szCs w:val="24"/>
        </w:rPr>
      </w:pPr>
      <w:r>
        <w:rPr>
          <w:rFonts w:hint="eastAsia" w:ascii="宋体" w:hAnsi="宋体" w:eastAsia="宋体" w:cs="宋体"/>
          <w:b/>
          <w:sz w:val="24"/>
          <w:szCs w:val="24"/>
        </w:rPr>
        <w:t>2.技术标准与要求</w:t>
      </w:r>
    </w:p>
    <w:tbl>
      <w:tblPr>
        <w:tblStyle w:val="2"/>
        <w:tblW w:w="0" w:type="auto"/>
        <w:tblInd w:w="-20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0"/>
        <w:gridCol w:w="795"/>
        <w:gridCol w:w="1335"/>
        <w:gridCol w:w="540"/>
        <w:gridCol w:w="810"/>
        <w:gridCol w:w="1665"/>
        <w:gridCol w:w="1656"/>
        <w:gridCol w:w="719"/>
        <w:gridCol w:w="783"/>
      </w:tblGrid>
      <w:tr w14:paraId="58718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tcPr>
          <w:p w14:paraId="62A1AC0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95" w:type="dxa"/>
          </w:tcPr>
          <w:p w14:paraId="622F819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335" w:type="dxa"/>
          </w:tcPr>
          <w:p w14:paraId="29B5BA1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540" w:type="dxa"/>
          </w:tcPr>
          <w:p w14:paraId="47E78F4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810" w:type="dxa"/>
          </w:tcPr>
          <w:p w14:paraId="365C58E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665" w:type="dxa"/>
          </w:tcPr>
          <w:p w14:paraId="6A550C6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分项预算单价（元）</w:t>
            </w:r>
          </w:p>
        </w:tc>
        <w:tc>
          <w:tcPr>
            <w:tcW w:w="1656" w:type="dxa"/>
          </w:tcPr>
          <w:p w14:paraId="375E361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分项预算总价（元）</w:t>
            </w:r>
          </w:p>
        </w:tc>
        <w:tc>
          <w:tcPr>
            <w:tcW w:w="719" w:type="dxa"/>
          </w:tcPr>
          <w:p w14:paraId="2ADC6077">
            <w:pPr>
              <w:pStyle w:val="4"/>
              <w:spacing w:line="360" w:lineRule="auto"/>
              <w:rPr>
                <w:rFonts w:hint="eastAsia" w:ascii="宋体" w:hAnsi="宋体" w:eastAsia="宋体" w:cs="宋体"/>
                <w:sz w:val="24"/>
                <w:szCs w:val="24"/>
              </w:rPr>
            </w:pPr>
            <w:r>
              <w:rPr>
                <w:rFonts w:hint="eastAsia" w:ascii="宋体" w:hAnsi="宋体" w:eastAsia="宋体" w:cs="宋体"/>
                <w:sz w:val="24"/>
                <w:szCs w:val="24"/>
              </w:rPr>
              <w:t>所属行业</w:t>
            </w:r>
          </w:p>
        </w:tc>
        <w:tc>
          <w:tcPr>
            <w:tcW w:w="783" w:type="dxa"/>
          </w:tcPr>
          <w:p w14:paraId="315F3B6A">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技术要求</w:t>
            </w:r>
          </w:p>
        </w:tc>
      </w:tr>
      <w:tr w14:paraId="69BA0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tcPr>
          <w:p w14:paraId="28061EC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95" w:type="dxa"/>
          </w:tcPr>
          <w:p w14:paraId="5110DADD">
            <w:pPr>
              <w:pStyle w:val="4"/>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其他医疗卫生服务</w:t>
            </w:r>
          </w:p>
        </w:tc>
        <w:tc>
          <w:tcPr>
            <w:tcW w:w="1335" w:type="dxa"/>
          </w:tcPr>
          <w:p w14:paraId="6AAC37FA">
            <w:pPr>
              <w:pStyle w:val="4"/>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中山市南头镇社区卫生服务中心及5个社区卫生站购买基本医疗业务项目</w:t>
            </w:r>
          </w:p>
        </w:tc>
        <w:tc>
          <w:tcPr>
            <w:tcW w:w="540" w:type="dxa"/>
            <w:vAlign w:val="top"/>
          </w:tcPr>
          <w:p w14:paraId="4396560C">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10" w:type="dxa"/>
            <w:vAlign w:val="top"/>
          </w:tcPr>
          <w:p w14:paraId="7090F20E">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1665" w:type="dxa"/>
          </w:tcPr>
          <w:p w14:paraId="07F6DA9A">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lang w:eastAsia="zh-CN"/>
              </w:rPr>
              <w:t>1,350,000.00</w:t>
            </w:r>
          </w:p>
        </w:tc>
        <w:tc>
          <w:tcPr>
            <w:tcW w:w="1656" w:type="dxa"/>
          </w:tcPr>
          <w:p w14:paraId="6B7EFBDA">
            <w:pPr>
              <w:pStyle w:val="4"/>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1,350,000.00</w:t>
            </w:r>
          </w:p>
        </w:tc>
        <w:tc>
          <w:tcPr>
            <w:tcW w:w="719" w:type="dxa"/>
          </w:tcPr>
          <w:p w14:paraId="75D9CF94">
            <w:pPr>
              <w:pStyle w:val="4"/>
              <w:spacing w:line="360" w:lineRule="auto"/>
              <w:rPr>
                <w:rFonts w:hint="eastAsia" w:ascii="宋体" w:hAnsi="宋体" w:eastAsia="宋体" w:cs="宋体"/>
                <w:sz w:val="24"/>
                <w:szCs w:val="24"/>
              </w:rPr>
            </w:pPr>
            <w:r>
              <w:rPr>
                <w:rFonts w:hint="eastAsia" w:ascii="宋体" w:hAnsi="宋体" w:eastAsia="宋体" w:cs="宋体"/>
                <w:sz w:val="24"/>
                <w:szCs w:val="24"/>
              </w:rPr>
              <w:t>其他未列明行业</w:t>
            </w:r>
          </w:p>
        </w:tc>
        <w:tc>
          <w:tcPr>
            <w:tcW w:w="783" w:type="dxa"/>
          </w:tcPr>
          <w:p w14:paraId="72A7D835">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详见附表一</w:t>
            </w:r>
          </w:p>
        </w:tc>
      </w:tr>
    </w:tbl>
    <w:p w14:paraId="04899656">
      <w:pPr>
        <w:pStyle w:val="4"/>
        <w:spacing w:line="360" w:lineRule="auto"/>
        <w:rPr>
          <w:rFonts w:hint="eastAsia" w:ascii="宋体" w:hAnsi="宋体" w:eastAsia="宋体" w:cs="宋体"/>
          <w:sz w:val="24"/>
          <w:szCs w:val="24"/>
          <w:lang w:eastAsia="zh-CN"/>
        </w:rPr>
      </w:pPr>
      <w:r>
        <w:rPr>
          <w:rFonts w:hint="eastAsia" w:ascii="宋体" w:hAnsi="宋体" w:eastAsia="宋体" w:cs="宋体"/>
          <w:b/>
          <w:sz w:val="24"/>
          <w:szCs w:val="24"/>
        </w:rPr>
        <w:t>附表一：</w:t>
      </w:r>
      <w:r>
        <w:rPr>
          <w:rFonts w:hint="eastAsia" w:ascii="宋体" w:hAnsi="宋体" w:eastAsia="宋体" w:cs="宋体"/>
          <w:b/>
          <w:sz w:val="24"/>
          <w:szCs w:val="24"/>
          <w:lang w:eastAsia="zh-CN"/>
        </w:rPr>
        <w:t>中山市南头镇社区卫生服务中心及5个社区卫生站购买基本医疗业务项目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4"/>
        <w:gridCol w:w="435"/>
        <w:gridCol w:w="7107"/>
      </w:tblGrid>
      <w:tr w14:paraId="4760B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14:paraId="5659EE31">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435" w:type="dxa"/>
          </w:tcPr>
          <w:p w14:paraId="2F5C433E">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107" w:type="dxa"/>
          </w:tcPr>
          <w:p w14:paraId="477CC8BA">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14:paraId="48614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14:paraId="1215E99F">
            <w:pPr>
              <w:spacing w:line="360" w:lineRule="auto"/>
              <w:rPr>
                <w:rFonts w:hint="eastAsia" w:ascii="宋体" w:hAnsi="宋体" w:eastAsia="宋体" w:cs="宋体"/>
                <w:color w:val="auto"/>
                <w:sz w:val="24"/>
                <w:szCs w:val="24"/>
              </w:rPr>
            </w:pPr>
          </w:p>
        </w:tc>
        <w:tc>
          <w:tcPr>
            <w:tcW w:w="435" w:type="dxa"/>
          </w:tcPr>
          <w:p w14:paraId="25931667">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107" w:type="dxa"/>
          </w:tcPr>
          <w:p w14:paraId="6D9C400D">
            <w:pPr>
              <w:spacing w:line="360" w:lineRule="auto"/>
              <w:ind w:firstLine="412"/>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一、项目简介</w:t>
            </w:r>
          </w:p>
          <w:p w14:paraId="77B9BF01">
            <w:pPr>
              <w:spacing w:line="360" w:lineRule="auto"/>
              <w:ind w:firstLine="468"/>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为进一步优化基层社区医疗卫生资源，不断适应和满足人民的健康需求，推进健康南头建设，依据国家现行的有关政策法规，中山市南头镇社区卫生服务中心和5个社区卫生服务站基本医疗服务业务以购买服务方式进行一体化运营。</w:t>
            </w:r>
          </w:p>
          <w:p w14:paraId="6EA940F2">
            <w:pPr>
              <w:spacing w:line="360" w:lineRule="auto"/>
              <w:ind w:firstLine="468"/>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服务范围</w:t>
            </w:r>
          </w:p>
          <w:p w14:paraId="38BA5CD6">
            <w:pPr>
              <w:spacing w:line="360" w:lineRule="auto"/>
              <w:ind w:firstLine="468"/>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中山市南头镇社区卫生服务中心、中山市南头镇将军社区卫生服务站、中山市南头镇南城社区卫生服务站、中山市南头镇北帝社区卫生服务站、中山市南头镇民安社区卫生服务站、中山市南头镇滘心社区卫生服务站（具体名称以注册为准），以下统称中山市南头镇社区卫生服务中心和5个南头镇社区卫生服务站（简称为“社区卫生服务中心”和“5个卫生站”）</w:t>
            </w:r>
            <w:r>
              <w:rPr>
                <w:rFonts w:hint="eastAsia" w:ascii="宋体" w:hAnsi="宋体" w:eastAsia="宋体" w:cs="宋体"/>
                <w:color w:val="auto"/>
                <w:sz w:val="24"/>
                <w:szCs w:val="24"/>
                <w:lang w:eastAsia="zh-CN"/>
              </w:rPr>
              <w:t>。</w:t>
            </w:r>
          </w:p>
          <w:p w14:paraId="45B7B66B">
            <w:pPr>
              <w:spacing w:line="360" w:lineRule="auto"/>
              <w:ind w:firstLine="468"/>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服务参考标准</w:t>
            </w:r>
          </w:p>
          <w:p w14:paraId="27F25CBD">
            <w:pPr>
              <w:spacing w:line="360" w:lineRule="auto"/>
              <w:ind w:firstLine="444"/>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中山市社区卫生服务中心建设基本标准</w:t>
            </w:r>
          </w:p>
          <w:p w14:paraId="5164FE1D">
            <w:pPr>
              <w:spacing w:line="360" w:lineRule="auto"/>
              <w:ind w:firstLine="444"/>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中山市社区卫生服务站建设基本标准</w:t>
            </w:r>
          </w:p>
          <w:p w14:paraId="0A20A50F">
            <w:pPr>
              <w:spacing w:line="360" w:lineRule="auto"/>
              <w:ind w:firstLine="444"/>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中山市社区卫生服务机构服务功能</w:t>
            </w:r>
          </w:p>
          <w:p w14:paraId="17B3EB41">
            <w:pPr>
              <w:spacing w:line="360" w:lineRule="auto"/>
              <w:ind w:firstLine="444"/>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其他上级相关指导文件、规定</w:t>
            </w:r>
          </w:p>
          <w:p w14:paraId="1709C783">
            <w:pPr>
              <w:spacing w:line="360" w:lineRule="auto"/>
              <w:ind w:firstLine="460"/>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服务内容</w:t>
            </w:r>
          </w:p>
          <w:p w14:paraId="6773C982">
            <w:pPr>
              <w:spacing w:line="360" w:lineRule="auto"/>
              <w:ind w:firstLine="46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履行期限内，社区卫生服务中心和5个卫生站的所有权仍归属于南头镇人民政府（各房产归其产权人），其中社区卫生服务中心仍属于公益性事业单位，法定代表人由政府委派，在编人员任命、聘请、续期、辞退等人事管理</w:t>
            </w:r>
            <w:r>
              <w:rPr>
                <w:rFonts w:hint="eastAsia" w:ascii="宋体" w:hAnsi="宋体" w:eastAsia="宋体" w:cs="宋体"/>
                <w:color w:val="auto"/>
                <w:sz w:val="24"/>
                <w:szCs w:val="24"/>
                <w:lang w:val="en-US" w:eastAsia="zh-CN"/>
              </w:rPr>
              <w:t>事项</w:t>
            </w:r>
            <w:r>
              <w:rPr>
                <w:rFonts w:hint="eastAsia" w:ascii="宋体" w:hAnsi="宋体" w:eastAsia="宋体" w:cs="宋体"/>
                <w:color w:val="auto"/>
                <w:sz w:val="24"/>
                <w:szCs w:val="24"/>
              </w:rPr>
              <w:t>由</w:t>
            </w:r>
            <w:r>
              <w:rPr>
                <w:rFonts w:hint="eastAsia" w:ascii="宋体" w:hAnsi="宋体" w:eastAsia="宋体" w:cs="宋体"/>
                <w:color w:val="auto"/>
                <w:sz w:val="24"/>
                <w:szCs w:val="24"/>
                <w:lang w:val="en-US" w:eastAsia="zh-CN"/>
              </w:rPr>
              <w:t>南头</w:t>
            </w:r>
            <w:r>
              <w:rPr>
                <w:rFonts w:hint="eastAsia" w:ascii="宋体" w:hAnsi="宋体" w:eastAsia="宋体" w:cs="宋体"/>
                <w:color w:val="auto"/>
                <w:sz w:val="24"/>
                <w:szCs w:val="24"/>
              </w:rPr>
              <w:t>镇人民政府负责，接受中山市卫生健康局南头分局的业务指导和管理。社区卫生服务中心和5个卫生站医疗服务业务的经营管理权（含社区卫生服务中心和5个卫生站的业务用房使用权，开展基本医疗卫生的业务经营权）归</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，主要负责人由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委派，并对其进行一体化管理。</w:t>
            </w:r>
          </w:p>
          <w:p w14:paraId="6B984A85">
            <w:pPr>
              <w:spacing w:line="360" w:lineRule="auto"/>
              <w:ind w:firstLine="468"/>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在合同履行期限内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坚持社区卫生服务中心和5个卫生站的公益性原则，为群众提供可公平获得的、安全有效、方便价廉的基本医疗服务。</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需保证社区卫生服务中心和5个卫生站必须严格遵守有关法律法规经营和提供基本医疗服务，并按照国家、省、市相关要求开展业务，包括但不限于实施国家基本药物制度、药品耗材零差价、一般诊疗费制度和药品医用耗材集中统一平台采购、承接医疗保险业务等。</w:t>
            </w:r>
          </w:p>
          <w:p w14:paraId="784ECAA5">
            <w:pPr>
              <w:spacing w:line="360" w:lineRule="auto"/>
              <w:ind w:firstLine="460"/>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服务要求</w:t>
            </w:r>
          </w:p>
          <w:p w14:paraId="4675A081">
            <w:pPr>
              <w:spacing w:line="360" w:lineRule="auto"/>
              <w:ind w:firstLine="444"/>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本项目合同履行期</w:t>
            </w:r>
            <w:r>
              <w:rPr>
                <w:rFonts w:hint="eastAsia" w:ascii="宋体" w:hAnsi="宋体" w:eastAsia="宋体" w:cs="宋体"/>
                <w:color w:val="auto"/>
                <w:sz w:val="24"/>
                <w:szCs w:val="24"/>
              </w:rPr>
              <w:t>限内应以“南头镇社区卫生服务中心、南头镇**社区卫生服务中心站”名义对外经营。参照《中山市社区卫生服务机构服务功能》及医疗卫生经营许可证审核的范围开展业务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其管理层可自行聘任，但其中</w:t>
            </w:r>
            <w:r>
              <w:rPr>
                <w:rFonts w:hint="eastAsia" w:ascii="宋体" w:hAnsi="宋体" w:eastAsia="宋体" w:cs="宋体"/>
                <w:color w:val="auto"/>
                <w:sz w:val="24"/>
                <w:szCs w:val="24"/>
                <w:lang w:val="en-US" w:eastAsia="zh-CN"/>
              </w:rPr>
              <w:t>必须</w:t>
            </w:r>
            <w:r>
              <w:rPr>
                <w:rFonts w:hint="eastAsia" w:ascii="宋体" w:hAnsi="宋体" w:eastAsia="宋体" w:cs="宋体"/>
                <w:color w:val="auto"/>
                <w:sz w:val="24"/>
                <w:szCs w:val="24"/>
              </w:rPr>
              <w:t>有具备医疗执业资格的专业人员。采购人协助</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办理该社区卫生服务中心和5个卫生站的医疗卫生许可证变更手续。未经双方协商同意，不得自行增加除上述社区卫生服务中心和5个卫生站外的社区卫生服务机构，确需增加时，应由双方另行协商并签订书面协议。</w:t>
            </w:r>
          </w:p>
          <w:p w14:paraId="09FCC342">
            <w:pPr>
              <w:spacing w:line="360" w:lineRule="auto"/>
              <w:ind w:firstLine="432"/>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合同履行期限内，社区卫生服务中心和5个卫生站基本医疗服务和人员聘用由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负责，自主运营。日常运营费（</w:t>
            </w:r>
            <w:r>
              <w:rPr>
                <w:rFonts w:hint="eastAsia" w:ascii="宋体" w:hAnsi="宋体" w:eastAsia="宋体" w:cs="宋体"/>
                <w:color w:val="auto"/>
                <w:sz w:val="24"/>
                <w:szCs w:val="24"/>
                <w:lang w:val="en-US" w:eastAsia="zh-CN"/>
              </w:rPr>
              <w:t>包括但不限于</w:t>
            </w:r>
            <w:r>
              <w:rPr>
                <w:rFonts w:hint="eastAsia" w:ascii="宋体" w:hAnsi="宋体" w:eastAsia="宋体" w:cs="宋体"/>
                <w:color w:val="auto"/>
                <w:sz w:val="24"/>
                <w:szCs w:val="24"/>
              </w:rPr>
              <w:t>水电费、租金、日常办公、办公设施设备维修维护、基药及耗材采购等）由采购人负责，用以保障社区卫生服务中心和5个卫生站的基本医疗服务正常运营。</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在确保社区卫生服务中心和5个卫生站基本医疗服务落实到位的基础上应当积极配合社区卫生服务中心开展基本公共卫生服务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并依约确保社区卫生服务中心和5个卫生站正常运营，保障其公益性，改善各社区卫生服务机构的诊疗服务水平，使其均达到市政府及上级有关部门的考核验收合格标准。</w:t>
            </w:r>
          </w:p>
          <w:p w14:paraId="1DB67483">
            <w:pPr>
              <w:spacing w:line="360" w:lineRule="auto"/>
              <w:ind w:firstLine="448"/>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3.社区卫生服务中心的服务时间为：全年无休，每日8:00～21:00；各社区卫生服务站的服务时间为：除春节假期停诊外，每周开诊6天，错峰闭站维护1天。开诊日8:00～12:00、14:30～18:30)。</w:t>
            </w:r>
          </w:p>
          <w:p w14:paraId="3D3A8B2F">
            <w:pPr>
              <w:spacing w:line="360" w:lineRule="auto"/>
              <w:ind w:firstLine="448"/>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合同履行期限内，社区卫生服务中心</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至少设置临床科室[全科诊室、中医诊室、康复治疗室、抢救室、预检分诊室(台)]、预防保健科室（预防接种室、儿童保健室、妇女保健与计划生育指导室、健康教育室）、医技及其他科室（检验室、B超室、心电图室、药房、治疗室、处置室、观察室、健康信息管理室、消毒间）</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。5个卫生站</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至少设置全科诊室、治疗室、处置室、预防保健室、健康信息管理室，具备条件的可设置中医诊室（诊疗区）</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。每个社区卫生服务机构根据服务范围和人口合理配置，可设日间观察床1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5张，不设病床。</w:t>
            </w:r>
          </w:p>
          <w:p w14:paraId="4F95C363">
            <w:pPr>
              <w:spacing w:line="360" w:lineRule="auto"/>
              <w:ind w:firstLine="476"/>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具备</w:t>
            </w:r>
            <w:r>
              <w:rPr>
                <w:rFonts w:hint="eastAsia" w:ascii="宋体" w:hAnsi="宋体" w:eastAsia="宋体" w:cs="宋体"/>
                <w:color w:val="auto"/>
                <w:sz w:val="24"/>
                <w:szCs w:val="24"/>
              </w:rPr>
              <w:t>数量充足、结构合理、人员稳定的专职社区卫生服务队伍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社区卫生服务中心至少</w:t>
            </w:r>
            <w:r>
              <w:rPr>
                <w:rFonts w:ascii="Segoe UI" w:hAnsi="Segoe UI" w:eastAsia="Segoe UI" w:cs="Segoe UI"/>
                <w:i w:val="0"/>
                <w:iCs w:val="0"/>
                <w:caps w:val="0"/>
                <w:color w:val="auto"/>
                <w:spacing w:val="0"/>
                <w:sz w:val="24"/>
                <w:szCs w:val="24"/>
                <w:shd w:val="clear" w:fill="FFFFFF"/>
              </w:rPr>
              <w:t>需配备</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名</w:t>
            </w:r>
            <w:r>
              <w:rPr>
                <w:rFonts w:hint="eastAsia" w:ascii="宋体" w:hAnsi="宋体" w:eastAsia="宋体" w:cs="宋体"/>
                <w:color w:val="auto"/>
                <w:sz w:val="24"/>
                <w:szCs w:val="24"/>
                <w:highlight w:val="none"/>
              </w:rPr>
              <w:t>临床类别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全科、内科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执业医师、</w:t>
            </w:r>
            <w:r>
              <w:rPr>
                <w:rFonts w:hint="eastAsia" w:ascii="宋体" w:hAnsi="宋体" w:eastAsia="宋体" w:cs="宋体"/>
                <w:color w:val="auto"/>
                <w:sz w:val="24"/>
                <w:szCs w:val="24"/>
                <w:highlight w:val="none"/>
                <w:lang w:val="en-US" w:eastAsia="zh-CN"/>
              </w:rPr>
              <w:t>2名</w:t>
            </w:r>
            <w:r>
              <w:rPr>
                <w:rFonts w:hint="eastAsia" w:ascii="宋体" w:hAnsi="宋体" w:eastAsia="宋体" w:cs="宋体"/>
                <w:color w:val="auto"/>
                <w:sz w:val="24"/>
                <w:szCs w:val="24"/>
                <w:highlight w:val="none"/>
              </w:rPr>
              <w:t>中医类别执业医师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名注册护士</w:t>
            </w:r>
            <w:r>
              <w:rPr>
                <w:rFonts w:hint="eastAsia" w:ascii="宋体" w:hAnsi="宋体" w:eastAsia="宋体" w:cs="宋体"/>
                <w:color w:val="auto"/>
                <w:sz w:val="24"/>
                <w:szCs w:val="24"/>
                <w:lang w:val="en-US" w:eastAsia="zh-CN"/>
              </w:rPr>
              <w:t>和</w:t>
            </w:r>
            <w:r>
              <w:rPr>
                <w:rFonts w:hint="eastAsia" w:ascii="宋体" w:hAnsi="宋体" w:eastAsia="宋体" w:cs="宋体"/>
                <w:sz w:val="24"/>
                <w:szCs w:val="24"/>
                <w:vertAlign w:val="baseline"/>
                <w:lang w:val="en-US" w:eastAsia="zh-CN"/>
              </w:rPr>
              <w:t>5</w:t>
            </w:r>
            <w:r>
              <w:rPr>
                <w:rFonts w:hint="default" w:ascii="宋体" w:hAnsi="宋体" w:eastAsia="宋体" w:cs="宋体"/>
                <w:sz w:val="24"/>
                <w:szCs w:val="24"/>
                <w:lang w:val="en-US" w:eastAsia="zh-CN"/>
              </w:rPr>
              <w:t>名</w:t>
            </w:r>
            <w:r>
              <w:rPr>
                <w:rFonts w:hint="eastAsia" w:ascii="宋体" w:hAnsi="宋体" w:eastAsia="宋体" w:cs="宋体"/>
                <w:sz w:val="24"/>
                <w:szCs w:val="24"/>
                <w:vertAlign w:val="baseline"/>
              </w:rPr>
              <w:t>药剂</w:t>
            </w:r>
            <w:r>
              <w:rPr>
                <w:rFonts w:hint="eastAsia" w:ascii="宋体" w:hAnsi="宋体" w:eastAsia="宋体" w:cs="宋体"/>
                <w:sz w:val="24"/>
                <w:szCs w:val="24"/>
                <w:vertAlign w:val="baseline"/>
                <w:lang w:val="en-US" w:eastAsia="zh-CN"/>
              </w:rPr>
              <w:t>师</w:t>
            </w:r>
            <w:r>
              <w:rPr>
                <w:rFonts w:hint="eastAsia" w:ascii="宋体" w:hAnsi="宋体" w:eastAsia="宋体" w:cs="宋体"/>
                <w:color w:val="auto"/>
                <w:sz w:val="24"/>
                <w:szCs w:val="24"/>
                <w:lang w:eastAsia="zh-CN"/>
              </w:rPr>
              <w:t>，</w:t>
            </w:r>
            <w:r>
              <w:rPr>
                <w:rFonts w:hint="eastAsia" w:ascii="宋体" w:hAnsi="宋体" w:eastAsia="宋体" w:cs="宋体"/>
                <w:sz w:val="24"/>
                <w:szCs w:val="24"/>
                <w:lang w:val="en-US" w:eastAsia="zh-CN"/>
              </w:rPr>
              <w:t>其中</w:t>
            </w:r>
            <w:r>
              <w:rPr>
                <w:rFonts w:hint="default" w:ascii="宋体" w:hAnsi="宋体" w:eastAsia="宋体" w:cs="宋体"/>
                <w:sz w:val="24"/>
                <w:szCs w:val="24"/>
                <w:lang w:val="en-US" w:eastAsia="zh-CN"/>
              </w:rPr>
              <w:t>至少应有1名</w:t>
            </w:r>
            <w:r>
              <w:rPr>
                <w:rFonts w:hint="eastAsia" w:ascii="宋体" w:hAnsi="宋体" w:eastAsia="宋体" w:cs="宋体"/>
                <w:color w:val="auto"/>
                <w:sz w:val="24"/>
                <w:szCs w:val="24"/>
                <w:highlight w:val="none"/>
              </w:rPr>
              <w:t>副高级</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highlight w:val="none"/>
              </w:rPr>
              <w:t>以上</w:t>
            </w:r>
            <w:r>
              <w:rPr>
                <w:rFonts w:hint="eastAsia" w:ascii="宋体" w:hAnsi="宋体" w:eastAsia="宋体" w:cs="宋体"/>
                <w:color w:val="auto"/>
                <w:sz w:val="24"/>
                <w:szCs w:val="24"/>
                <w:lang w:eastAsia="zh-CN"/>
              </w:rPr>
              <w:t>职称</w:t>
            </w:r>
            <w:r>
              <w:rPr>
                <w:rFonts w:hint="eastAsia" w:ascii="宋体" w:hAnsi="宋体" w:eastAsia="宋体" w:cs="宋体"/>
                <w:color w:val="auto"/>
                <w:sz w:val="24"/>
                <w:szCs w:val="24"/>
              </w:rPr>
              <w:t>的执业医师、</w:t>
            </w:r>
            <w:r>
              <w:rPr>
                <w:rFonts w:hint="default" w:ascii="宋体" w:hAnsi="宋体" w:eastAsia="宋体" w:cs="宋体"/>
                <w:sz w:val="24"/>
                <w:szCs w:val="24"/>
                <w:lang w:val="en-US" w:eastAsia="zh-CN"/>
              </w:rPr>
              <w:t>1名</w:t>
            </w:r>
            <w:r>
              <w:rPr>
                <w:rFonts w:hint="eastAsia" w:ascii="宋体" w:hAnsi="宋体" w:eastAsia="宋体" w:cs="宋体"/>
                <w:color w:val="auto"/>
                <w:sz w:val="24"/>
                <w:szCs w:val="24"/>
              </w:rPr>
              <w:t>中级</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以上</w:t>
            </w:r>
            <w:r>
              <w:rPr>
                <w:rFonts w:hint="eastAsia" w:ascii="宋体" w:hAnsi="宋体" w:eastAsia="宋体" w:cs="宋体"/>
                <w:color w:val="auto"/>
                <w:sz w:val="24"/>
                <w:szCs w:val="24"/>
                <w:lang w:eastAsia="zh-CN"/>
              </w:rPr>
              <w:t>职称</w:t>
            </w:r>
            <w:r>
              <w:rPr>
                <w:rFonts w:hint="eastAsia" w:ascii="宋体" w:hAnsi="宋体" w:eastAsia="宋体" w:cs="宋体"/>
                <w:color w:val="auto"/>
                <w:sz w:val="24"/>
                <w:szCs w:val="24"/>
              </w:rPr>
              <w:t>的中医类别执业医师、</w:t>
            </w:r>
            <w:r>
              <w:rPr>
                <w:rFonts w:hint="default" w:ascii="宋体" w:hAnsi="宋体" w:eastAsia="宋体" w:cs="宋体"/>
                <w:sz w:val="24"/>
                <w:szCs w:val="24"/>
                <w:lang w:val="en-US" w:eastAsia="zh-CN"/>
              </w:rPr>
              <w:t>1名</w:t>
            </w:r>
            <w:r>
              <w:rPr>
                <w:rFonts w:hint="eastAsia" w:ascii="宋体" w:hAnsi="宋体" w:eastAsia="宋体" w:cs="宋体"/>
                <w:color w:val="auto"/>
                <w:sz w:val="24"/>
                <w:szCs w:val="24"/>
              </w:rPr>
              <w:t>中级</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以上</w:t>
            </w:r>
            <w:r>
              <w:rPr>
                <w:rFonts w:hint="eastAsia" w:ascii="宋体" w:hAnsi="宋体" w:eastAsia="宋体" w:cs="宋体"/>
                <w:color w:val="auto"/>
                <w:sz w:val="24"/>
                <w:szCs w:val="24"/>
                <w:lang w:eastAsia="zh-CN"/>
              </w:rPr>
              <w:t>职称</w:t>
            </w:r>
            <w:r>
              <w:rPr>
                <w:rFonts w:hint="eastAsia" w:ascii="宋体" w:hAnsi="宋体" w:eastAsia="宋体" w:cs="宋体"/>
                <w:color w:val="auto"/>
                <w:sz w:val="24"/>
                <w:szCs w:val="24"/>
              </w:rPr>
              <w:t>的注册护士，其他人员按需配备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每个卫生站至少</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配备</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名临床类别</w:t>
            </w:r>
            <w:r>
              <w:rPr>
                <w:rFonts w:hint="default" w:ascii="宋体" w:hAnsi="宋体" w:eastAsia="宋体" w:cs="宋体"/>
                <w:sz w:val="24"/>
                <w:szCs w:val="24"/>
                <w:lang w:val="en-US" w:eastAsia="zh-CN"/>
              </w:rPr>
              <w:t>（全科、内科）执业医师</w:t>
            </w:r>
            <w:r>
              <w:rPr>
                <w:rFonts w:hint="default" w:ascii="宋体" w:hAnsi="宋体" w:eastAsia="宋体" w:cs="宋体"/>
                <w:color w:val="auto"/>
                <w:sz w:val="24"/>
                <w:szCs w:val="24"/>
                <w:lang w:val="en-US"/>
              </w:rPr>
              <w:t>、</w:t>
            </w:r>
            <w:r>
              <w:rPr>
                <w:rFonts w:hint="default" w:ascii="宋体" w:hAnsi="宋体" w:eastAsia="宋体" w:cs="宋体"/>
                <w:sz w:val="24"/>
                <w:szCs w:val="24"/>
                <w:lang w:val="en-US" w:eastAsia="zh-CN"/>
              </w:rPr>
              <w:t>1名注册护士和1名药剂师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其他人员按需配备（以上专业技术人员可统一注册在社区卫生服务中心）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以此保证社区卫生医疗机构的临床医疗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中医等项目</w:t>
            </w:r>
            <w:r>
              <w:rPr>
                <w:rFonts w:hint="eastAsia" w:ascii="宋体" w:hAnsi="宋体" w:eastAsia="宋体" w:cs="宋体"/>
                <w:color w:val="auto"/>
                <w:sz w:val="24"/>
                <w:szCs w:val="24"/>
                <w:lang w:val="en-US" w:eastAsia="zh-CN"/>
              </w:rPr>
              <w:t>顺利</w:t>
            </w:r>
            <w:r>
              <w:rPr>
                <w:rFonts w:hint="eastAsia" w:ascii="宋体" w:hAnsi="宋体" w:eastAsia="宋体" w:cs="宋体"/>
                <w:color w:val="auto"/>
                <w:sz w:val="24"/>
                <w:szCs w:val="24"/>
              </w:rPr>
              <w:t>开展。</w:t>
            </w:r>
          </w:p>
          <w:p w14:paraId="6D03C941">
            <w:pPr>
              <w:spacing w:line="360" w:lineRule="auto"/>
              <w:ind w:firstLine="46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lang w:val="en-US" w:eastAsia="zh-CN"/>
              </w:rPr>
              <w:t>须具备</w:t>
            </w:r>
            <w:r>
              <w:rPr>
                <w:rFonts w:hint="eastAsia" w:ascii="宋体" w:hAnsi="宋体" w:eastAsia="宋体" w:cs="宋体"/>
                <w:color w:val="auto"/>
                <w:sz w:val="24"/>
                <w:szCs w:val="24"/>
              </w:rPr>
              <w:t>医疗资源优势，</w:t>
            </w:r>
            <w:r>
              <w:rPr>
                <w:rFonts w:hint="eastAsia" w:ascii="宋体" w:hAnsi="宋体" w:eastAsia="宋体" w:cs="宋体"/>
                <w:color w:val="auto"/>
                <w:sz w:val="24"/>
                <w:szCs w:val="24"/>
                <w:lang w:val="en-US" w:eastAsia="zh-CN"/>
              </w:rPr>
              <w:t>协助</w:t>
            </w:r>
            <w:r>
              <w:rPr>
                <w:rFonts w:hint="eastAsia" w:ascii="宋体" w:hAnsi="宋体" w:eastAsia="宋体" w:cs="宋体"/>
                <w:color w:val="auto"/>
                <w:sz w:val="24"/>
                <w:szCs w:val="24"/>
              </w:rPr>
              <w:t>做好管辖社区卫生服务机构人员的业务技能培训，促进医疗服务水平全面提升。完善各项医疗管理制度，加强日常设备设施的维护，</w:t>
            </w:r>
            <w:r>
              <w:rPr>
                <w:rFonts w:hint="eastAsia" w:ascii="宋体" w:hAnsi="宋体" w:eastAsia="宋体" w:cs="宋体"/>
                <w:color w:val="auto"/>
                <w:sz w:val="24"/>
                <w:szCs w:val="24"/>
                <w:lang w:val="en-US" w:eastAsia="zh-CN"/>
              </w:rPr>
              <w:t>实现</w:t>
            </w:r>
            <w:r>
              <w:rPr>
                <w:rFonts w:hint="eastAsia" w:ascii="宋体" w:hAnsi="宋体" w:eastAsia="宋体" w:cs="宋体"/>
                <w:color w:val="auto"/>
                <w:sz w:val="24"/>
                <w:szCs w:val="24"/>
              </w:rPr>
              <w:t>各类日常系统服务流程电子化、网络化管理、社区卫生服务中心与医院数据共享，将社区卫生服务中心和5个卫生站打造成辖区内质量优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覆盖广的基层医疗卫生机构。</w:t>
            </w:r>
          </w:p>
          <w:p w14:paraId="5B42AE7D">
            <w:pPr>
              <w:spacing w:line="360" w:lineRule="auto"/>
              <w:ind w:firstLine="444"/>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合同履行期限内，社区卫生服务中心和5个卫生站发生的一切医疗纠纷、医疗事故等经济、法律责任由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承担。</w:t>
            </w:r>
          </w:p>
          <w:p w14:paraId="6180E0ED">
            <w:pPr>
              <w:spacing w:line="360" w:lineRule="auto"/>
              <w:ind w:firstLine="448"/>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合同履行期限内，</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应做好社区卫生服务中心和5个卫生站办公设备和医疗设备的日常管理。</w:t>
            </w:r>
          </w:p>
          <w:p w14:paraId="0F1F0DD2">
            <w:pPr>
              <w:spacing w:line="360" w:lineRule="auto"/>
              <w:ind w:firstLine="468"/>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须根据各社区卫生服务机构医疗服务状况，派出相应的临床医疗专家指导社区卫生服务中心、社区卫生站提升医疗服务，并开展巡回坐诊工作，每周每个站点不少于半天。</w:t>
            </w:r>
          </w:p>
          <w:p w14:paraId="02C68258">
            <w:pPr>
              <w:spacing w:line="360" w:lineRule="auto"/>
              <w:ind w:firstLine="472"/>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成交供应商须负责统筹南头镇社区卫生服务中心和5个卫生站的基本医疗业务，按照当年度的中山市公共卫生和社区基本医疗服务绩效评价标准接受服务质量考核（包括但不限于医疗质量、医疗费用、康复服务、基层门急诊人次占比、院内感染管理、药品管理、中医药服务等指标），考核得分不得低于该项总分的80%。考核不符合要求的，成交供应商须在采购人发出整改通知之日起一个月内提交整改实施方案并完成整改，整改后仍无法达到相关要求的，采购人有权单方终止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具体内容详见“中山市南头镇社区卫生服务机构管理运营绩效考核评价表”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214B5F64">
            <w:pPr>
              <w:spacing w:line="360" w:lineRule="auto"/>
              <w:ind w:firstLine="456"/>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医疗用房管理</w:t>
            </w:r>
          </w:p>
          <w:p w14:paraId="5F064975">
            <w:pPr>
              <w:spacing w:line="360" w:lineRule="auto"/>
              <w:ind w:firstLine="472"/>
              <w:jc w:val="both"/>
              <w:rPr>
                <w:rFonts w:hint="eastAsia" w:ascii="宋体" w:hAnsi="宋体" w:eastAsia="宋体" w:cs="宋体"/>
                <w:color w:val="auto"/>
                <w:sz w:val="24"/>
                <w:szCs w:val="24"/>
              </w:rPr>
            </w:pPr>
            <w:r>
              <w:rPr>
                <w:rFonts w:hint="eastAsia" w:ascii="宋体" w:hAnsi="宋体" w:eastAsia="宋体" w:cs="宋体"/>
                <w:color w:val="auto"/>
                <w:sz w:val="24"/>
                <w:szCs w:val="24"/>
              </w:rPr>
              <w:t>合同履行期限内，采购人无偿提供医疗用房给</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使用。其中，南头镇社区卫生服务中心建筑面积约921.41平方米（地址为：南头镇升辉南路穗西市场侧），南城社区卫生服务站建筑面积约323.25平方米（地址为：南头镇贤邦路23号），北帝社区卫生服务站建筑面积约302.98平方米（地址为：南头镇北帝村潮源路62号之一），滘心社区卫生服务站建筑面积约302.98平方米（地址为：南头镇滘心村委会旁边），民安社区卫生服务站建筑面积约326.31平方米（地址：南头镇工业大道38号），将军社区卫生服务站建筑面积约247.19平方米（地址为：南头镇将军合益西路）。</w:t>
            </w:r>
          </w:p>
          <w:p w14:paraId="53620FA1">
            <w:pPr>
              <w:spacing w:line="360" w:lineRule="auto"/>
              <w:ind w:firstLine="444"/>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人员管理</w:t>
            </w:r>
          </w:p>
          <w:p w14:paraId="273CBCB9">
            <w:pPr>
              <w:spacing w:line="360" w:lineRule="auto"/>
              <w:ind w:firstLine="452"/>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合同履行期限内，</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必须按照《中山市社区卫生服务中心建设基本标准》、《中山市社区卫生服务站建设基本标准》相关设置要求，使各社区卫生服务机构达到人员配备标准。</w:t>
            </w:r>
          </w:p>
          <w:p w14:paraId="6592C58A">
            <w:pPr>
              <w:spacing w:line="360" w:lineRule="auto"/>
              <w:ind w:firstLine="452"/>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对社区卫生服务中心和5个社区卫生服务站的原有聘用人员，以自愿为原则</w:t>
            </w:r>
            <w:r>
              <w:rPr>
                <w:rFonts w:hint="eastAsia" w:ascii="宋体" w:hAnsi="宋体" w:eastAsia="宋体" w:cs="宋体"/>
                <w:color w:val="auto"/>
                <w:sz w:val="24"/>
                <w:szCs w:val="24"/>
                <w:lang w:val="en-US" w:eastAsia="zh-CN"/>
              </w:rPr>
              <w:t>续聘</w:t>
            </w:r>
            <w:r>
              <w:rPr>
                <w:rFonts w:hint="eastAsia" w:ascii="宋体" w:hAnsi="宋体" w:eastAsia="宋体" w:cs="宋体"/>
                <w:color w:val="auto"/>
                <w:sz w:val="24"/>
                <w:szCs w:val="24"/>
              </w:rPr>
              <w:t>，如原聘用人员愿意留下，由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优先考核录用，工龄延续。合同履行期限内，由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与聘用人员签订劳动合同，建立劳动关系，并按《中华人民共和国劳动法》确保聘用人员在职期间的相关权益。</w:t>
            </w:r>
          </w:p>
          <w:p w14:paraId="47686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lang w:val="en-US" w:eastAsia="zh-CN"/>
              </w:rPr>
              <w:t>提供的工作</w:t>
            </w:r>
            <w:r>
              <w:rPr>
                <w:rFonts w:hint="eastAsia" w:ascii="宋体" w:hAnsi="宋体" w:eastAsia="宋体" w:cs="宋体"/>
                <w:color w:val="auto"/>
                <w:sz w:val="24"/>
                <w:szCs w:val="24"/>
              </w:rPr>
              <w:t>人员因劳动争议、职业病、工伤等社保责任以及其他因用工关系产生的纠纷均由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根据《中华人民共和国劳动法》、《中华人民共和国社会保险法》</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‌法律法规规定承担相应责任，与采购人无关。</w:t>
            </w:r>
          </w:p>
        </w:tc>
      </w:tr>
      <w:tr w14:paraId="371D3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14:paraId="042D1A8D">
            <w:pPr>
              <w:spacing w:line="360" w:lineRule="auto"/>
              <w:rPr>
                <w:rFonts w:hint="eastAsia" w:ascii="宋体" w:hAnsi="宋体" w:eastAsia="宋体" w:cs="宋体"/>
                <w:color w:val="auto"/>
                <w:sz w:val="24"/>
                <w:szCs w:val="24"/>
              </w:rPr>
            </w:pPr>
          </w:p>
        </w:tc>
        <w:tc>
          <w:tcPr>
            <w:tcW w:w="435" w:type="dxa"/>
          </w:tcPr>
          <w:p w14:paraId="10CCF971">
            <w:pPr>
              <w:pStyle w:val="4"/>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107" w:type="dxa"/>
          </w:tcPr>
          <w:p w14:paraId="367AA3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八、考核标准（采购人可以结合实际需要对考核内容进行修改或调整）</w:t>
            </w:r>
          </w:p>
          <w:p w14:paraId="1C35F3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中山市南头镇社区卫生服务机构管理运营绩效考核评价表</w:t>
            </w:r>
          </w:p>
          <w:tbl>
            <w:tblPr>
              <w:tblStyle w:val="2"/>
              <w:tblW w:w="69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735"/>
              <w:gridCol w:w="855"/>
              <w:gridCol w:w="2731"/>
              <w:gridCol w:w="529"/>
              <w:gridCol w:w="855"/>
              <w:gridCol w:w="390"/>
              <w:gridCol w:w="390"/>
            </w:tblGrid>
            <w:tr w14:paraId="0E10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27A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63A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69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子项目</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B9B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考核内容</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A3C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329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数据获取</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67C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得分</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BF1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63E4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D24F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B602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基本医疗服务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D3B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人员资质</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top"/>
                </w:tcPr>
                <w:p w14:paraId="60C5726D">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社区卫生中心至少需配备4名临床类别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全科、内科</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执业医师、2名中医类别执业医师、5名注册护士</w:t>
                  </w:r>
                  <w:r>
                    <w:rPr>
                      <w:rFonts w:hint="eastAsia" w:ascii="宋体" w:hAnsi="宋体" w:eastAsia="宋体" w:cs="宋体"/>
                      <w:color w:val="auto"/>
                      <w:sz w:val="24"/>
                      <w:szCs w:val="24"/>
                      <w:lang w:val="en-US" w:eastAsia="zh-CN"/>
                    </w:rPr>
                    <w:t>和</w:t>
                  </w:r>
                  <w:r>
                    <w:rPr>
                      <w:rFonts w:hint="eastAsia" w:ascii="宋体" w:hAnsi="宋体" w:eastAsia="宋体" w:cs="宋体"/>
                      <w:sz w:val="24"/>
                      <w:szCs w:val="24"/>
                      <w:vertAlign w:val="baseline"/>
                      <w:lang w:val="en-US" w:eastAsia="zh-CN"/>
                    </w:rPr>
                    <w:t>5</w:t>
                  </w:r>
                  <w:r>
                    <w:rPr>
                      <w:rFonts w:hint="default" w:ascii="宋体" w:hAnsi="宋体" w:eastAsia="宋体" w:cs="宋体"/>
                      <w:sz w:val="24"/>
                      <w:szCs w:val="24"/>
                      <w:lang w:val="en-US" w:eastAsia="zh-CN"/>
                    </w:rPr>
                    <w:t>名</w:t>
                  </w:r>
                  <w:r>
                    <w:rPr>
                      <w:rFonts w:hint="eastAsia" w:ascii="宋体" w:hAnsi="宋体" w:eastAsia="宋体" w:cs="宋体"/>
                      <w:sz w:val="24"/>
                      <w:szCs w:val="24"/>
                      <w:vertAlign w:val="baseline"/>
                    </w:rPr>
                    <w:t>药剂</w:t>
                  </w:r>
                  <w:r>
                    <w:rPr>
                      <w:rFonts w:hint="eastAsia" w:ascii="宋体" w:hAnsi="宋体" w:eastAsia="宋体" w:cs="宋体"/>
                      <w:sz w:val="24"/>
                      <w:szCs w:val="24"/>
                      <w:vertAlign w:val="baseline"/>
                      <w:lang w:val="en-US" w:eastAsia="zh-CN"/>
                    </w:rPr>
                    <w:t>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lang w:eastAsia="zh-CN"/>
                    </w:rPr>
                    <w:t>，</w:t>
                  </w:r>
                  <w:r>
                    <w:rPr>
                      <w:rFonts w:hint="eastAsia" w:ascii="宋体" w:hAnsi="宋体" w:eastAsia="宋体" w:cs="宋体"/>
                      <w:sz w:val="24"/>
                      <w:szCs w:val="24"/>
                      <w:lang w:val="en-US" w:eastAsia="zh-CN"/>
                    </w:rPr>
                    <w:t>其中</w:t>
                  </w:r>
                  <w:r>
                    <w:rPr>
                      <w:rFonts w:hint="default" w:ascii="宋体" w:hAnsi="宋体" w:eastAsia="宋体" w:cs="宋体"/>
                      <w:sz w:val="24"/>
                      <w:szCs w:val="24"/>
                      <w:lang w:val="en-US" w:eastAsia="zh-CN"/>
                    </w:rPr>
                    <w:t>至少应有</w:t>
                  </w:r>
                  <w:r>
                    <w:rPr>
                      <w:rFonts w:hint="eastAsia" w:ascii="宋体" w:hAnsi="宋体" w:eastAsia="宋体" w:cs="宋体"/>
                      <w:color w:val="auto"/>
                      <w:sz w:val="24"/>
                      <w:szCs w:val="24"/>
                      <w:lang w:val="en-US" w:eastAsia="zh-CN"/>
                    </w:rPr>
                    <w:t>1名</w:t>
                  </w:r>
                  <w:r>
                    <w:rPr>
                      <w:rFonts w:hint="eastAsia" w:ascii="宋体" w:hAnsi="宋体" w:eastAsia="宋体" w:cs="宋体"/>
                      <w:i w:val="0"/>
                      <w:iCs w:val="0"/>
                      <w:color w:val="auto"/>
                      <w:kern w:val="0"/>
                      <w:sz w:val="24"/>
                      <w:szCs w:val="24"/>
                      <w:u w:val="none"/>
                      <w:lang w:val="en-US" w:eastAsia="zh-CN" w:bidi="ar"/>
                    </w:rPr>
                    <w:t>副高级或以上职称的执业医师、</w:t>
                  </w:r>
                  <w:r>
                    <w:rPr>
                      <w:rFonts w:hint="eastAsia" w:ascii="宋体" w:hAnsi="宋体" w:eastAsia="宋体" w:cs="宋体"/>
                      <w:color w:val="auto"/>
                      <w:sz w:val="24"/>
                      <w:szCs w:val="24"/>
                      <w:lang w:val="en-US" w:eastAsia="zh-CN"/>
                    </w:rPr>
                    <w:t>1名</w:t>
                  </w:r>
                  <w:r>
                    <w:rPr>
                      <w:rFonts w:hint="eastAsia" w:ascii="宋体" w:hAnsi="宋体" w:eastAsia="宋体" w:cs="宋体"/>
                      <w:i w:val="0"/>
                      <w:iCs w:val="0"/>
                      <w:color w:val="auto"/>
                      <w:kern w:val="0"/>
                      <w:sz w:val="24"/>
                      <w:szCs w:val="24"/>
                      <w:u w:val="none"/>
                      <w:lang w:val="en-US" w:eastAsia="zh-CN" w:bidi="ar"/>
                    </w:rPr>
                    <w:t>中级或以上职称的中医类别执业医师、</w:t>
                  </w:r>
                  <w:r>
                    <w:rPr>
                      <w:rFonts w:hint="eastAsia" w:ascii="宋体" w:hAnsi="宋体" w:eastAsia="宋体" w:cs="宋体"/>
                      <w:color w:val="auto"/>
                      <w:sz w:val="24"/>
                      <w:szCs w:val="24"/>
                      <w:lang w:val="en-US" w:eastAsia="zh-CN"/>
                    </w:rPr>
                    <w:t>1名</w:t>
                  </w:r>
                  <w:r>
                    <w:rPr>
                      <w:rFonts w:hint="eastAsia" w:ascii="宋体" w:hAnsi="宋体" w:eastAsia="宋体" w:cs="宋体"/>
                      <w:i w:val="0"/>
                      <w:iCs w:val="0"/>
                      <w:color w:val="auto"/>
                      <w:kern w:val="0"/>
                      <w:sz w:val="24"/>
                      <w:szCs w:val="24"/>
                      <w:u w:val="none"/>
                      <w:lang w:val="en-US" w:eastAsia="zh-CN" w:bidi="ar"/>
                    </w:rPr>
                    <w:t>中级或以上职称的注册护士。每个卫生站至少应配备1名临床类别</w:t>
                  </w:r>
                  <w:r>
                    <w:rPr>
                      <w:rFonts w:hint="default" w:ascii="宋体" w:hAnsi="宋体" w:eastAsia="宋体" w:cs="宋体"/>
                      <w:sz w:val="24"/>
                      <w:szCs w:val="24"/>
                      <w:lang w:val="en-US" w:eastAsia="zh-CN"/>
                    </w:rPr>
                    <w:t>（全科、内科）执业医师</w:t>
                  </w:r>
                  <w:r>
                    <w:rPr>
                      <w:rFonts w:hint="eastAsia" w:ascii="宋体" w:hAnsi="宋体" w:eastAsia="宋体" w:cs="宋体"/>
                      <w:i w:val="0"/>
                      <w:iCs w:val="0"/>
                      <w:color w:val="auto"/>
                      <w:kern w:val="0"/>
                      <w:sz w:val="24"/>
                      <w:szCs w:val="24"/>
                      <w:u w:val="none"/>
                      <w:lang w:val="en-US" w:eastAsia="zh-CN" w:bidi="ar"/>
                    </w:rPr>
                    <w:t>、</w:t>
                  </w:r>
                  <w:r>
                    <w:rPr>
                      <w:rFonts w:hint="default" w:ascii="宋体" w:hAnsi="宋体" w:eastAsia="宋体" w:cs="宋体"/>
                      <w:sz w:val="24"/>
                      <w:szCs w:val="24"/>
                      <w:lang w:val="en-US" w:eastAsia="zh-CN"/>
                    </w:rPr>
                    <w:t>1名注册护士和1名药剂师</w:t>
                  </w:r>
                  <w:r>
                    <w:rPr>
                      <w:rFonts w:hint="eastAsia" w:ascii="宋体" w:hAnsi="宋体" w:eastAsia="宋体" w:cs="宋体"/>
                      <w:i w:val="0"/>
                      <w:iCs w:val="0"/>
                      <w:color w:val="auto"/>
                      <w:kern w:val="0"/>
                      <w:sz w:val="24"/>
                      <w:szCs w:val="24"/>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AB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048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D0E4">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E76D">
                  <w:pPr>
                    <w:spacing w:line="360" w:lineRule="auto"/>
                    <w:jc w:val="center"/>
                    <w:rPr>
                      <w:rFonts w:hint="eastAsia" w:ascii="宋体" w:hAnsi="宋体" w:eastAsia="宋体" w:cs="宋体"/>
                      <w:i w:val="0"/>
                      <w:iCs w:val="0"/>
                      <w:color w:val="auto"/>
                      <w:sz w:val="24"/>
                      <w:szCs w:val="24"/>
                      <w:u w:val="none"/>
                    </w:rPr>
                  </w:pPr>
                </w:p>
              </w:tc>
            </w:tr>
            <w:tr w14:paraId="46AB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826D2">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B7B42">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B60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医务人员培训、考核</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F2BE7D6">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1.每年举办不少于1次的理论知识考核和技能操作考核，全员参与培训、考核，且均达标。</w:t>
                  </w:r>
                </w:p>
                <w:p w14:paraId="72AB1090">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2.全科医师培训。</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265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21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A02F">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8DB8">
                  <w:pPr>
                    <w:spacing w:line="360" w:lineRule="auto"/>
                    <w:jc w:val="center"/>
                    <w:rPr>
                      <w:rFonts w:hint="eastAsia" w:ascii="宋体" w:hAnsi="宋体" w:eastAsia="宋体" w:cs="宋体"/>
                      <w:i w:val="0"/>
                      <w:iCs w:val="0"/>
                      <w:color w:val="auto"/>
                      <w:sz w:val="24"/>
                      <w:szCs w:val="24"/>
                      <w:u w:val="none"/>
                    </w:rPr>
                  </w:pPr>
                </w:p>
              </w:tc>
            </w:tr>
            <w:tr w14:paraId="5B92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873A0">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638F5">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20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科室设置、设备配置</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D91C505">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照《中山市社区卫生社区卫生服务中心、服务站建设基本标准》的相关标准，社区卫生中心至少设置临床科室（全科诊室、中医诊室、康复治疗室、抢救室、预检分诊室（台））、预防保健科室（预防接种室、儿童保健室、妇女保健与计划生育指导室、健康教育室）、医技及其他科室（检验室、B超室、心电图室、药房、治疗室、处置室、观察室、健康信息管理室、消毒间）。5个卫生站应至少设置全科诊室、治疗室、处置室、预防保健室、健康信息管理室，具备条件的可设置中医诊室（诊疗区）。</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132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382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D6DF">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D435">
                  <w:pPr>
                    <w:spacing w:line="360" w:lineRule="auto"/>
                    <w:jc w:val="center"/>
                    <w:rPr>
                      <w:rFonts w:hint="eastAsia" w:ascii="宋体" w:hAnsi="宋体" w:eastAsia="宋体" w:cs="宋体"/>
                      <w:i w:val="0"/>
                      <w:iCs w:val="0"/>
                      <w:color w:val="auto"/>
                      <w:sz w:val="24"/>
                      <w:szCs w:val="24"/>
                      <w:u w:val="none"/>
                    </w:rPr>
                  </w:pPr>
                </w:p>
              </w:tc>
            </w:tr>
            <w:tr w14:paraId="39CF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BAD7D">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BB58">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9E0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服务内容、服务时间</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top"/>
                </w:tcPr>
                <w:p w14:paraId="36B175DC">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基本医疗服务，包括但不限于对常见病、多发病的诊疗，开展现场应急护理、家庭出诊、家庭护理、转诊服务、康复医疗服务、医保报销及其他适宜医疗服务。</w:t>
                  </w:r>
                  <w:r>
                    <w:rPr>
                      <w:rFonts w:hint="eastAsia" w:ascii="宋体" w:hAnsi="宋体" w:eastAsia="宋体" w:cs="宋体"/>
                      <w:color w:val="auto"/>
                      <w:sz w:val="24"/>
                      <w:szCs w:val="24"/>
                      <w:lang w:val="en-US" w:eastAsia="zh-CN"/>
                    </w:rPr>
                    <w:t>社区卫生服务中心的服务时间为：全年无休，每日8:00～21:00；各社区卫生服务站的服务时间为：除春节假期停诊外，每周开诊6天，错峰闭站维护1天。开诊日8:00～12:00、14:30～18:30)</w:t>
                  </w:r>
                  <w:r>
                    <w:rPr>
                      <w:rFonts w:hint="eastAsia" w:ascii="宋体" w:hAnsi="宋体" w:eastAsia="宋体" w:cs="宋体"/>
                      <w:i w:val="0"/>
                      <w:iCs w:val="0"/>
                      <w:color w:val="auto"/>
                      <w:kern w:val="0"/>
                      <w:sz w:val="24"/>
                      <w:szCs w:val="24"/>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8F7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D22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B9F8">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9EAA">
                  <w:pPr>
                    <w:spacing w:line="360" w:lineRule="auto"/>
                    <w:jc w:val="center"/>
                    <w:rPr>
                      <w:rFonts w:hint="eastAsia" w:ascii="宋体" w:hAnsi="宋体" w:eastAsia="宋体" w:cs="宋体"/>
                      <w:i w:val="0"/>
                      <w:iCs w:val="0"/>
                      <w:color w:val="auto"/>
                      <w:sz w:val="24"/>
                      <w:szCs w:val="24"/>
                      <w:u w:val="none"/>
                    </w:rPr>
                  </w:pPr>
                </w:p>
              </w:tc>
            </w:tr>
            <w:tr w14:paraId="63BB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FEEFD">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5C5A">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6F3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专家坐诊</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top"/>
                </w:tcPr>
                <w:p w14:paraId="4456C6D3">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派出相应的临床医疗专家指导社区卫生站提升医疗服务，并开展巡回坐诊工作，每周每个站点不少于半天。</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571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88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6216">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9AB3">
                  <w:pPr>
                    <w:spacing w:line="360" w:lineRule="auto"/>
                    <w:jc w:val="center"/>
                    <w:rPr>
                      <w:rFonts w:hint="eastAsia" w:ascii="宋体" w:hAnsi="宋体" w:eastAsia="宋体" w:cs="宋体"/>
                      <w:i w:val="0"/>
                      <w:iCs w:val="0"/>
                      <w:color w:val="auto"/>
                      <w:sz w:val="24"/>
                      <w:szCs w:val="24"/>
                      <w:u w:val="none"/>
                    </w:rPr>
                  </w:pPr>
                </w:p>
              </w:tc>
            </w:tr>
            <w:tr w14:paraId="2E62E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DA58A">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D78B8">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BC1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转诊、转运机制</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C97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建立并完善转诊、转运机制。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DDB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CB0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F5A0">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97C3">
                  <w:pPr>
                    <w:spacing w:line="360" w:lineRule="auto"/>
                    <w:jc w:val="center"/>
                    <w:rPr>
                      <w:rFonts w:hint="eastAsia" w:ascii="宋体" w:hAnsi="宋体" w:eastAsia="宋体" w:cs="宋体"/>
                      <w:i w:val="0"/>
                      <w:iCs w:val="0"/>
                      <w:color w:val="auto"/>
                      <w:sz w:val="24"/>
                      <w:szCs w:val="24"/>
                      <w:u w:val="none"/>
                    </w:rPr>
                  </w:pPr>
                </w:p>
              </w:tc>
            </w:tr>
            <w:tr w14:paraId="29E0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BBE07">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2898C">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3FDE7988">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政策落实情况</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D32D437">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国家基本药物制度、药品耗材零差价、一般诊疗费制度和药品医用耗材等相关政策落实情况。</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A3E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B947697">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top"/>
                </w:tcPr>
                <w:p w14:paraId="494A282E">
                  <w:pPr>
                    <w:spacing w:line="360" w:lineRule="auto"/>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530F">
                  <w:pPr>
                    <w:spacing w:line="360" w:lineRule="auto"/>
                    <w:jc w:val="center"/>
                    <w:rPr>
                      <w:rFonts w:hint="eastAsia" w:ascii="宋体" w:hAnsi="宋体" w:eastAsia="宋体" w:cs="宋体"/>
                      <w:i w:val="0"/>
                      <w:iCs w:val="0"/>
                      <w:color w:val="auto"/>
                      <w:sz w:val="24"/>
                      <w:szCs w:val="24"/>
                      <w:u w:val="none"/>
                    </w:rPr>
                  </w:pPr>
                </w:p>
              </w:tc>
            </w:tr>
            <w:tr w14:paraId="2329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CD40C">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F2B48">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78E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电子化建设</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25DD345">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的业务技能培训，促进医疗服务水平全面提升。完善各项医疗管理制度，加强日常设备设施的维护、公共卫生服务设备的投入，各类日常系统服务流程电子化、网络化管理、社区卫生服务中心与医院数据共享。</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4E6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3ED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202D">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252D">
                  <w:pPr>
                    <w:spacing w:line="360" w:lineRule="auto"/>
                    <w:jc w:val="center"/>
                    <w:rPr>
                      <w:rFonts w:hint="eastAsia" w:ascii="宋体" w:hAnsi="宋体" w:eastAsia="宋体" w:cs="宋体"/>
                      <w:i w:val="0"/>
                      <w:iCs w:val="0"/>
                      <w:color w:val="auto"/>
                      <w:sz w:val="24"/>
                      <w:szCs w:val="24"/>
                      <w:u w:val="none"/>
                    </w:rPr>
                  </w:pPr>
                </w:p>
              </w:tc>
            </w:tr>
            <w:tr w14:paraId="5075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29D7D">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2E20">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3AE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医疗纠纷、医疗事故</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562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该年度半年内有无医疗纠纷、医疗事故。</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742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F02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FCE4">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D6EF">
                  <w:pPr>
                    <w:spacing w:line="360" w:lineRule="auto"/>
                    <w:jc w:val="center"/>
                    <w:rPr>
                      <w:rFonts w:hint="eastAsia" w:ascii="宋体" w:hAnsi="宋体" w:eastAsia="宋体" w:cs="宋体"/>
                      <w:i w:val="0"/>
                      <w:iCs w:val="0"/>
                      <w:color w:val="auto"/>
                      <w:sz w:val="24"/>
                      <w:szCs w:val="24"/>
                      <w:u w:val="none"/>
                    </w:rPr>
                  </w:pPr>
                </w:p>
              </w:tc>
            </w:tr>
            <w:tr w14:paraId="6C75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4CAF">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DCF2F">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AC8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药品质量与药事管理</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81C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提高药剂人员素质和药品质量管理，规范日常工作，根据社区中心《药品质量与药事管理监督检查表》督导检查的内容计算比例得分。</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104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204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日常检查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63B4">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5395">
                  <w:pPr>
                    <w:spacing w:line="360" w:lineRule="auto"/>
                    <w:jc w:val="center"/>
                    <w:rPr>
                      <w:rFonts w:hint="eastAsia" w:ascii="宋体" w:hAnsi="宋体" w:eastAsia="宋体" w:cs="宋体"/>
                      <w:i w:val="0"/>
                      <w:iCs w:val="0"/>
                      <w:color w:val="auto"/>
                      <w:sz w:val="24"/>
                      <w:szCs w:val="24"/>
                      <w:u w:val="none"/>
                    </w:rPr>
                  </w:pPr>
                </w:p>
              </w:tc>
            </w:tr>
            <w:tr w14:paraId="2455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89F7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65B4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148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政策落实情况</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D57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最新的医保相关政策的落实情况及中山市社会保险基金的审计相关问题整改情况。</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CC0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4F8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现场考察查阅资料、电话咨询</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25B8">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C331">
                  <w:pPr>
                    <w:spacing w:line="360" w:lineRule="auto"/>
                    <w:jc w:val="center"/>
                    <w:rPr>
                      <w:rFonts w:hint="eastAsia" w:ascii="宋体" w:hAnsi="宋体" w:eastAsia="宋体" w:cs="宋体"/>
                      <w:i w:val="0"/>
                      <w:iCs w:val="0"/>
                      <w:color w:val="auto"/>
                      <w:sz w:val="24"/>
                      <w:szCs w:val="24"/>
                      <w:u w:val="none"/>
                    </w:rPr>
                  </w:pPr>
                </w:p>
              </w:tc>
            </w:tr>
            <w:tr w14:paraId="2F72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4F66">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CDE01">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46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投诉情况</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301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核查医保服务是否规范、是否有有效投诉。</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9BA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D68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现场考察查阅资料、电话咨询</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3A73">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DF6B">
                  <w:pPr>
                    <w:spacing w:line="360" w:lineRule="auto"/>
                    <w:jc w:val="center"/>
                    <w:rPr>
                      <w:rFonts w:hint="eastAsia" w:ascii="宋体" w:hAnsi="宋体" w:eastAsia="宋体" w:cs="宋体"/>
                      <w:i w:val="0"/>
                      <w:iCs w:val="0"/>
                      <w:color w:val="auto"/>
                      <w:sz w:val="24"/>
                      <w:szCs w:val="24"/>
                      <w:u w:val="none"/>
                    </w:rPr>
                  </w:pPr>
                </w:p>
              </w:tc>
            </w:tr>
            <w:tr w14:paraId="63CD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276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EC3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资金管理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307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制度建立、经费运营情况</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740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建立财务管理制度，明确托管费用的使用范围，健全财务会计制度，提供审计的相关资料。无建立台账资料全扣，台账资料及审计资料错漏一处扣5分，扣完为止。</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27C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6C2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AE8C">
                  <w:pPr>
                    <w:spacing w:line="360" w:lineRule="auto"/>
                    <w:jc w:val="left"/>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17BF">
                  <w:pPr>
                    <w:spacing w:line="360" w:lineRule="auto"/>
                    <w:jc w:val="center"/>
                    <w:rPr>
                      <w:rFonts w:hint="eastAsia" w:ascii="宋体" w:hAnsi="宋体" w:eastAsia="宋体" w:cs="宋体"/>
                      <w:i w:val="0"/>
                      <w:iCs w:val="0"/>
                      <w:color w:val="auto"/>
                      <w:sz w:val="24"/>
                      <w:szCs w:val="24"/>
                      <w:u w:val="none"/>
                    </w:rPr>
                  </w:pPr>
                </w:p>
              </w:tc>
            </w:tr>
            <w:tr w14:paraId="275D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BDA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12A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医疗质量质控管理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954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医疗文书、药品、器械管理</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E33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师应按规定开具处方、医师开具处方应当使用药品通用名、专利药品名称和复方制剂药品名称，不得使用商品名、处方用药量应符合规定；处方书写完整规范、打印的纸质处方经签名或者加盖签章后有效。药品一般管理：机构应当制定本机构抗菌药物供应目录，医务人员应当按供应目录选用抗菌药物，药师不得私自增加抗菌药物的品种或者品规；设立和建立抗菌药物管理工作组织及管理工作制度 ；开具抗菌药物处方的医师应当取得相应的处方权限、对抗菌药物处方、医嘱实施适宜性审核；药品、医用材料及医疗服务进行价格公示。</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227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A88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C14A">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8BE4">
                  <w:pPr>
                    <w:spacing w:line="360" w:lineRule="auto"/>
                    <w:jc w:val="center"/>
                    <w:rPr>
                      <w:rFonts w:hint="eastAsia" w:ascii="宋体" w:hAnsi="宋体" w:eastAsia="宋体" w:cs="宋体"/>
                      <w:i w:val="0"/>
                      <w:iCs w:val="0"/>
                      <w:color w:val="auto"/>
                      <w:sz w:val="24"/>
                      <w:szCs w:val="24"/>
                      <w:u w:val="none"/>
                    </w:rPr>
                  </w:pPr>
                </w:p>
              </w:tc>
            </w:tr>
            <w:tr w14:paraId="70F6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C57F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7066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传染病防控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8C3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消毒隔离措施落实情况</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E4E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最新的消毒要求标准内容（消毒产品进货检查验收、配备医务人员个人防护和手卫生设施设备并规范使用、接触皮肤、粘膜的器械一人一用一消毒、所有消毒（碘酒、酒精）及灭菌物品一经打开，均在有效期内使用；按规定对环境、物表等进行清洁消毒；紫外线灯消毒登记及灯管强度监测；开展消毒与灭菌效果监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EC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287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3A91">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6BE5">
                  <w:pPr>
                    <w:spacing w:line="360" w:lineRule="auto"/>
                    <w:jc w:val="center"/>
                    <w:rPr>
                      <w:rFonts w:hint="eastAsia" w:ascii="宋体" w:hAnsi="宋体" w:eastAsia="宋体" w:cs="宋体"/>
                      <w:i w:val="0"/>
                      <w:iCs w:val="0"/>
                      <w:color w:val="auto"/>
                      <w:sz w:val="24"/>
                      <w:szCs w:val="24"/>
                      <w:u w:val="none"/>
                    </w:rPr>
                  </w:pPr>
                </w:p>
              </w:tc>
            </w:tr>
            <w:tr w14:paraId="52B3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75817">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AAA9">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51C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法定传染病疫情预防控制与报告</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FB2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门诊登记本登记项目齐全；传染病疫情登记、报告卡填写符合要求；发现需转诊疫情时，对传染病病人或疑似病人按规定转诊并记录。</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114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D7A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5EA5">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5568">
                  <w:pPr>
                    <w:spacing w:line="360" w:lineRule="auto"/>
                    <w:jc w:val="center"/>
                    <w:rPr>
                      <w:rFonts w:hint="eastAsia" w:ascii="宋体" w:hAnsi="宋体" w:eastAsia="宋体" w:cs="宋体"/>
                      <w:i w:val="0"/>
                      <w:iCs w:val="0"/>
                      <w:color w:val="auto"/>
                      <w:sz w:val="24"/>
                      <w:szCs w:val="24"/>
                      <w:u w:val="none"/>
                    </w:rPr>
                  </w:pPr>
                </w:p>
              </w:tc>
            </w:tr>
            <w:tr w14:paraId="13EE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817DF">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596A8">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ED2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传染病疫情控制</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9C4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设置传染病分诊点；按规定为传染病病人、疑似病人提供诊疗；发现需转诊疫情时，对传染病病人或疑似病人按规定转诊并记录；设置传染病病人或疑似病人控制场所、设备设施并有使用记录。</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35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F29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9105">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0692">
                  <w:pPr>
                    <w:spacing w:line="360" w:lineRule="auto"/>
                    <w:jc w:val="center"/>
                    <w:rPr>
                      <w:rFonts w:hint="eastAsia" w:ascii="宋体" w:hAnsi="宋体" w:eastAsia="宋体" w:cs="宋体"/>
                      <w:i w:val="0"/>
                      <w:iCs w:val="0"/>
                      <w:color w:val="auto"/>
                      <w:sz w:val="24"/>
                      <w:szCs w:val="24"/>
                      <w:u w:val="none"/>
                    </w:rPr>
                  </w:pPr>
                </w:p>
              </w:tc>
            </w:tr>
            <w:tr w14:paraId="0D03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0758D">
                  <w:pPr>
                    <w:spacing w:line="360" w:lineRule="auto"/>
                    <w:jc w:val="center"/>
                    <w:rPr>
                      <w:rFonts w:hint="eastAsia" w:ascii="宋体" w:hAnsi="宋体" w:eastAsia="宋体" w:cs="宋体"/>
                      <w:i w:val="0"/>
                      <w:iCs w:val="0"/>
                      <w:color w:val="auto"/>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CB5BE">
                  <w:pPr>
                    <w:spacing w:line="360" w:lineRule="auto"/>
                    <w:jc w:val="center"/>
                    <w:rPr>
                      <w:rFonts w:hint="eastAsia" w:ascii="宋体" w:hAnsi="宋体" w:eastAsia="宋体" w:cs="宋体"/>
                      <w:i w:val="0"/>
                      <w:iCs w:val="0"/>
                      <w:color w:val="auto"/>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070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医疗废物、废水管理</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CED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废物应分类收集使用专用容器和包装袋、利器盒，并检查开封日期；医疗废物设交接登记记录：交接运送、暂存及处置登记完整；医疗废物暂存间选址合理，有明显的医疗废物警示标识，有安全措施（防鼠、防蚊蝇、防蟑螂、防渗漏和雨水、防盗），按规定48h内转运或处理；建立污水处理登记台账经消毒处理并开展监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D0E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6A8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现场考察、查阅资料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9249">
                  <w:pPr>
                    <w:spacing w:line="360" w:lineRule="auto"/>
                    <w:jc w:val="center"/>
                    <w:rPr>
                      <w:rFonts w:hint="eastAsia" w:ascii="宋体" w:hAnsi="宋体" w:eastAsia="宋体" w:cs="宋体"/>
                      <w:i w:val="0"/>
                      <w:iCs w:val="0"/>
                      <w:color w:val="auto"/>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DB1">
                  <w:pPr>
                    <w:spacing w:line="360" w:lineRule="auto"/>
                    <w:jc w:val="center"/>
                    <w:rPr>
                      <w:rFonts w:hint="eastAsia" w:ascii="宋体" w:hAnsi="宋体" w:eastAsia="宋体" w:cs="宋体"/>
                      <w:i w:val="0"/>
                      <w:iCs w:val="0"/>
                      <w:color w:val="auto"/>
                      <w:sz w:val="24"/>
                      <w:szCs w:val="24"/>
                      <w:u w:val="none"/>
                    </w:rPr>
                  </w:pPr>
                </w:p>
              </w:tc>
            </w:tr>
          </w:tbl>
          <w:p w14:paraId="182CA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被检查单位：</w:t>
            </w:r>
          </w:p>
          <w:p w14:paraId="77CAEE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陪同检查人：                      检查人员：</w:t>
            </w:r>
          </w:p>
          <w:p w14:paraId="2B4ED0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14:paraId="1070A2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tc>
      </w:tr>
      <w:tr w14:paraId="668B6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14:paraId="0E133E0C">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542" w:type="dxa"/>
            <w:gridSpan w:val="2"/>
          </w:tcPr>
          <w:p w14:paraId="6E20460C">
            <w:pPr>
              <w:pStyle w:val="4"/>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打“★”号条款为实质性条款，若有任何一条负偏离或不满足则导致投标无效。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14:paraId="25EB4B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92B5A"/>
    <w:rsid w:val="5C992B5A"/>
    <w:rsid w:val="63C1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2025-05-07T07:43:00Z</dcterms:created>
  <dc:creator>智林招标-项目组1</dc:creator>
  <cp:lastModifiedBy>智林招标-项目组1</cp:lastModifiedBy>
  <dcterms:modified xsi:type="dcterms:W3CDTF">2025-05-07T07:46:58Z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C9D88D59926A4BAAB39D786D41087294_11</vt:lpwstr>
  </property>
  <property fmtid="{D5CDD505-2E9C-101B-9397-08002B2CF9AE}" pid="4" name="KSOTemplateDocerSaveRecord">
    <vt:lpwstr>eyJoZGlkIjoiNDE4MDEyYWZlZmFkOGE2NWNiNzVlYzQxMzg4NGY5MDEiLCJ1c2VySWQiOiI1NjY3MDAyMzAifQ==</vt:lpwstr>
  </property>
</Properties>
</file>