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77B0C">
      <w:pPr>
        <w:spacing w:line="360" w:lineRule="auto"/>
        <w:jc w:val="center"/>
        <w:outlineLvl w:val="9"/>
        <w:rPr>
          <w:rFonts w:hint="eastAsia" w:ascii="宋体" w:hAnsi="宋体" w:eastAsia="宋体" w:cs="宋体"/>
          <w:b/>
          <w:sz w:val="28"/>
          <w:szCs w:val="28"/>
        </w:rPr>
      </w:pPr>
      <w:r>
        <w:rPr>
          <w:rFonts w:hint="eastAsia" w:ascii="宋体" w:hAnsi="宋体" w:eastAsia="宋体" w:cs="宋体"/>
          <w:b/>
          <w:sz w:val="28"/>
          <w:szCs w:val="28"/>
        </w:rPr>
        <w:t>“▲”条款汇总表</w:t>
      </w:r>
    </w:p>
    <w:p w14:paraId="3C4EB8AA">
      <w:pPr>
        <w:spacing w:line="360" w:lineRule="auto"/>
        <w:jc w:val="center"/>
        <w:outlineLvl w:val="9"/>
        <w:rPr>
          <w:rFonts w:hint="eastAsia" w:ascii="宋体" w:hAnsi="宋体" w:eastAsia="宋体" w:cs="宋体"/>
          <w:sz w:val="28"/>
          <w:szCs w:val="28"/>
        </w:rPr>
      </w:pPr>
      <w:r>
        <w:rPr>
          <w:rFonts w:hint="eastAsia" w:ascii="宋体" w:hAnsi="宋体" w:eastAsia="宋体" w:cs="宋体"/>
          <w:b/>
          <w:sz w:val="28"/>
          <w:szCs w:val="28"/>
        </w:rPr>
        <w:t>《技术和服务要求响应表》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8"/>
        <w:gridCol w:w="603"/>
        <w:gridCol w:w="597"/>
        <w:gridCol w:w="8159"/>
        <w:gridCol w:w="1212"/>
        <w:gridCol w:w="629"/>
        <w:gridCol w:w="751"/>
        <w:gridCol w:w="857"/>
        <w:gridCol w:w="778"/>
      </w:tblGrid>
      <w:tr w14:paraId="536FA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588" w:type="dxa"/>
            <w:vAlign w:val="center"/>
          </w:tcPr>
          <w:p w14:paraId="599BC8F2">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序号</w:t>
            </w:r>
          </w:p>
        </w:tc>
        <w:tc>
          <w:tcPr>
            <w:tcW w:w="603" w:type="dxa"/>
            <w:vAlign w:val="center"/>
          </w:tcPr>
          <w:p w14:paraId="3A9D0DAD">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标的名称</w:t>
            </w:r>
          </w:p>
        </w:tc>
        <w:tc>
          <w:tcPr>
            <w:tcW w:w="597" w:type="dxa"/>
            <w:vAlign w:val="center"/>
          </w:tcPr>
          <w:p w14:paraId="029392EF">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参数性质</w:t>
            </w:r>
          </w:p>
        </w:tc>
        <w:tc>
          <w:tcPr>
            <w:tcW w:w="8159" w:type="dxa"/>
            <w:vAlign w:val="center"/>
          </w:tcPr>
          <w:p w14:paraId="42A4ABAC">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采购文件规定的技术和服务要求</w:t>
            </w:r>
          </w:p>
        </w:tc>
        <w:tc>
          <w:tcPr>
            <w:tcW w:w="1212" w:type="dxa"/>
            <w:vAlign w:val="center"/>
          </w:tcPr>
          <w:p w14:paraId="7F248008">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投标文件响应的具体内容</w:t>
            </w:r>
          </w:p>
        </w:tc>
        <w:tc>
          <w:tcPr>
            <w:tcW w:w="629" w:type="dxa"/>
            <w:vAlign w:val="center"/>
          </w:tcPr>
          <w:p w14:paraId="2AA17F43">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型号</w:t>
            </w:r>
          </w:p>
        </w:tc>
        <w:tc>
          <w:tcPr>
            <w:tcW w:w="751" w:type="dxa"/>
            <w:vAlign w:val="center"/>
          </w:tcPr>
          <w:p w14:paraId="42DF2A94">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是否偏离</w:t>
            </w:r>
          </w:p>
        </w:tc>
        <w:tc>
          <w:tcPr>
            <w:tcW w:w="857" w:type="dxa"/>
            <w:vAlign w:val="center"/>
          </w:tcPr>
          <w:p w14:paraId="4E4E989B">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证明文件所在位置</w:t>
            </w:r>
          </w:p>
        </w:tc>
        <w:tc>
          <w:tcPr>
            <w:tcW w:w="778" w:type="dxa"/>
            <w:vAlign w:val="center"/>
          </w:tcPr>
          <w:p w14:paraId="25540D01">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备注</w:t>
            </w:r>
          </w:p>
        </w:tc>
      </w:tr>
      <w:tr w14:paraId="0479E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8" w:hRule="atLeast"/>
        </w:trPr>
        <w:tc>
          <w:tcPr>
            <w:tcW w:w="588" w:type="dxa"/>
          </w:tcPr>
          <w:p w14:paraId="5CD57DF2">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2"/>
                <w:szCs w:val="22"/>
                <w:highlight w:val="none"/>
              </w:rPr>
            </w:pPr>
            <w:r>
              <w:rPr>
                <w:rFonts w:hint="default" w:ascii="宋体" w:hAnsi="宋体" w:eastAsia="宋体" w:cs="宋体"/>
                <w:b w:val="0"/>
                <w:bCs w:val="0"/>
                <w:color w:val="auto"/>
                <w:kern w:val="2"/>
                <w:sz w:val="22"/>
                <w:szCs w:val="22"/>
                <w:highlight w:val="none"/>
                <w:lang w:val="en-US" w:eastAsia="zh-CN" w:bidi="ar-SA"/>
              </w:rPr>
              <w:t>1</w:t>
            </w:r>
          </w:p>
        </w:tc>
        <w:tc>
          <w:tcPr>
            <w:tcW w:w="603" w:type="dxa"/>
          </w:tcPr>
          <w:p w14:paraId="739BFA5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56EE81C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3203ACE7">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拟投入本项目的基站和对讲终端设备系统应为相同品牌，保证各项功能完整实现并相互高度兼容。</w:t>
            </w:r>
          </w:p>
        </w:tc>
        <w:tc>
          <w:tcPr>
            <w:tcW w:w="1212" w:type="dxa"/>
          </w:tcPr>
          <w:p w14:paraId="11FC150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56E2968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4E4DB52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7E4D9DE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226F255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6B386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8" w:hRule="atLeast"/>
        </w:trPr>
        <w:tc>
          <w:tcPr>
            <w:tcW w:w="588" w:type="dxa"/>
          </w:tcPr>
          <w:p w14:paraId="3D63EDD3">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w:t>
            </w:r>
          </w:p>
        </w:tc>
        <w:tc>
          <w:tcPr>
            <w:tcW w:w="603" w:type="dxa"/>
          </w:tcPr>
          <w:p w14:paraId="441FBD8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38C590A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color w:val="auto"/>
                <w:sz w:val="22"/>
                <w:szCs w:val="22"/>
                <w:highlight w:val="none"/>
              </w:rPr>
              <w:t>▲</w:t>
            </w:r>
          </w:p>
        </w:tc>
        <w:tc>
          <w:tcPr>
            <w:tcW w:w="8159" w:type="dxa"/>
          </w:tcPr>
          <w:p w14:paraId="22B86C9A">
            <w:pPr>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主要硬件设备及主要业务功能模块双机热备，实现无缝切换。在主用设备故障时，可以无缝平滑切换到备用设备，并且在主用设备恢复正常后自动切换到主用设备。</w:t>
            </w:r>
          </w:p>
        </w:tc>
        <w:tc>
          <w:tcPr>
            <w:tcW w:w="1212" w:type="dxa"/>
          </w:tcPr>
          <w:p w14:paraId="57D5130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222F4AC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4459D8E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3DFAD8C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3283B4E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11A86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10E42158">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3</w:t>
            </w:r>
          </w:p>
        </w:tc>
        <w:tc>
          <w:tcPr>
            <w:tcW w:w="603" w:type="dxa"/>
          </w:tcPr>
          <w:p w14:paraId="554B3E6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43FE7F0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3FCCC708">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(2)</w:t>
            </w:r>
            <w:r>
              <w:rPr>
                <w:rFonts w:hint="eastAsia" w:ascii="宋体" w:hAnsi="宋体" w:eastAsia="宋体" w:cs="宋体"/>
                <w:b w:val="0"/>
                <w:bCs w:val="0"/>
                <w:color w:val="auto"/>
                <w:sz w:val="22"/>
                <w:szCs w:val="22"/>
                <w:highlight w:val="none"/>
                <w:vertAlign w:val="baseline"/>
              </w:rPr>
              <w:t>扩展功能需包含：控制信道备份、API接入、短信息、空口写频、功率控制、有线电话呼叫、包容呼叫、并组呼叫、ESN核查、声码器、圈选呼叫、故障弱化。</w:t>
            </w:r>
          </w:p>
        </w:tc>
        <w:tc>
          <w:tcPr>
            <w:tcW w:w="1212" w:type="dxa"/>
          </w:tcPr>
          <w:p w14:paraId="149A8D4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47E4026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2415DFF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3196F06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39BB66C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2FADC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549EC621">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4</w:t>
            </w:r>
          </w:p>
        </w:tc>
        <w:tc>
          <w:tcPr>
            <w:tcW w:w="603" w:type="dxa"/>
          </w:tcPr>
          <w:p w14:paraId="14244BD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0EADC9E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090A058A">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⑦</w:t>
            </w:r>
            <w:r>
              <w:rPr>
                <w:rFonts w:hint="eastAsia" w:ascii="宋体" w:hAnsi="宋体" w:eastAsia="宋体" w:cs="宋体"/>
                <w:sz w:val="22"/>
                <w:szCs w:val="22"/>
                <w:highlight w:val="none"/>
              </w:rPr>
              <w:t>在线录音容量</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满配置保存时间≥12个月</w:t>
            </w:r>
            <w:r>
              <w:rPr>
                <w:rFonts w:hint="eastAsia" w:ascii="宋体" w:hAnsi="宋体" w:eastAsia="宋体" w:cs="宋体"/>
                <w:sz w:val="22"/>
                <w:szCs w:val="22"/>
                <w:highlight w:val="none"/>
                <w:lang w:eastAsia="zh-CN"/>
              </w:rPr>
              <w:t>。</w:t>
            </w:r>
          </w:p>
        </w:tc>
        <w:tc>
          <w:tcPr>
            <w:tcW w:w="1212" w:type="dxa"/>
          </w:tcPr>
          <w:p w14:paraId="1012C4B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8304CF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04E94F5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1CC606A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6E2E8B8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3119D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56EBAA94">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5</w:t>
            </w:r>
          </w:p>
        </w:tc>
        <w:tc>
          <w:tcPr>
            <w:tcW w:w="603" w:type="dxa"/>
          </w:tcPr>
          <w:p w14:paraId="3B5A7E7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015BA39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1E1DF94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zh-CN" w:eastAsia="zh-CN" w:bidi="ar-SA"/>
              </w:rPr>
              <w:t>③</w:t>
            </w:r>
            <w:r>
              <w:rPr>
                <w:rFonts w:hint="eastAsia" w:ascii="宋体" w:hAnsi="宋体" w:eastAsia="宋体" w:cs="宋体"/>
                <w:b w:val="0"/>
                <w:bCs w:val="0"/>
                <w:color w:val="auto"/>
                <w:sz w:val="22"/>
                <w:szCs w:val="22"/>
                <w:highlight w:val="none"/>
              </w:rPr>
              <w:t>区域选择：框选任一区域，该区域内的所有</w:t>
            </w:r>
            <w:r>
              <w:rPr>
                <w:rFonts w:hint="eastAsia" w:ascii="宋体" w:hAnsi="宋体" w:eastAsia="宋体" w:cs="宋体"/>
                <w:b w:val="0"/>
                <w:bCs w:val="0"/>
                <w:color w:val="auto"/>
                <w:sz w:val="22"/>
                <w:szCs w:val="22"/>
                <w:highlight w:val="none"/>
                <w:lang w:val="en-US" w:eastAsia="zh-CN"/>
              </w:rPr>
              <w:t>对讲终端信息</w:t>
            </w:r>
            <w:r>
              <w:rPr>
                <w:rFonts w:hint="eastAsia" w:ascii="宋体" w:hAnsi="宋体" w:eastAsia="宋体" w:cs="宋体"/>
                <w:b w:val="0"/>
                <w:bCs w:val="0"/>
                <w:color w:val="auto"/>
                <w:sz w:val="22"/>
                <w:szCs w:val="22"/>
                <w:highlight w:val="none"/>
              </w:rPr>
              <w:t>（包括显示的和隐藏的）都将呈现在列表中，并可</w:t>
            </w:r>
            <w:r>
              <w:rPr>
                <w:rFonts w:hint="eastAsia" w:ascii="宋体" w:hAnsi="宋体" w:eastAsia="宋体" w:cs="宋体"/>
                <w:b w:val="0"/>
                <w:bCs w:val="0"/>
                <w:color w:val="auto"/>
                <w:sz w:val="22"/>
                <w:szCs w:val="22"/>
                <w:highlight w:val="none"/>
                <w:lang w:val="en-US" w:eastAsia="zh-CN"/>
              </w:rPr>
              <w:t>设置</w:t>
            </w:r>
            <w:r>
              <w:rPr>
                <w:rFonts w:hint="eastAsia" w:ascii="宋体" w:hAnsi="宋体" w:eastAsia="宋体" w:cs="宋体"/>
                <w:b w:val="0"/>
                <w:bCs w:val="0"/>
                <w:color w:val="auto"/>
                <w:sz w:val="22"/>
                <w:szCs w:val="22"/>
                <w:highlight w:val="none"/>
              </w:rPr>
              <w:t>“是否在地图上显示”。</w:t>
            </w:r>
          </w:p>
        </w:tc>
        <w:tc>
          <w:tcPr>
            <w:tcW w:w="1212" w:type="dxa"/>
          </w:tcPr>
          <w:p w14:paraId="379BAD9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22D7D0A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0966283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6AE79D4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5EBC4D6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5D245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73836E99">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6</w:t>
            </w:r>
          </w:p>
        </w:tc>
        <w:tc>
          <w:tcPr>
            <w:tcW w:w="603" w:type="dxa"/>
          </w:tcPr>
          <w:p w14:paraId="01F8A83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51A4FCD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552FDF44">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GB" w:eastAsia="zh-CN" w:bidi="ar-SA"/>
              </w:rPr>
              <w:t>⑥</w:t>
            </w:r>
            <w:r>
              <w:rPr>
                <w:rFonts w:hint="eastAsia" w:ascii="宋体" w:hAnsi="宋体" w:eastAsia="宋体" w:cs="宋体"/>
                <w:b w:val="0"/>
                <w:bCs w:val="0"/>
                <w:color w:val="auto"/>
                <w:sz w:val="22"/>
                <w:szCs w:val="22"/>
                <w:highlight w:val="none"/>
              </w:rPr>
              <w:t>北斗上拉周期设置：根据用户量，支持设置上拉定位周期，定时上拉上线终端地理位置</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bidi="ar"/>
              </w:rPr>
              <w:t>（</w:t>
            </w:r>
            <w:r>
              <w:rPr>
                <w:rFonts w:hint="eastAsia" w:ascii="宋体" w:hAnsi="宋体" w:eastAsia="宋体" w:cs="宋体"/>
                <w:b w:val="0"/>
                <w:bCs w:val="0"/>
                <w:color w:val="auto"/>
                <w:sz w:val="22"/>
                <w:szCs w:val="22"/>
                <w:highlight w:val="none"/>
                <w:lang w:val="en-US" w:eastAsia="zh-CN" w:bidi="ar"/>
              </w:rPr>
              <w:t>需</w:t>
            </w:r>
            <w:r>
              <w:rPr>
                <w:rFonts w:hint="eastAsia" w:ascii="宋体" w:hAnsi="宋体" w:eastAsia="宋体" w:cs="宋体"/>
                <w:b w:val="0"/>
                <w:bCs w:val="0"/>
                <w:color w:val="auto"/>
                <w:sz w:val="22"/>
                <w:szCs w:val="22"/>
                <w:highlight w:val="none"/>
                <w:lang w:val="en-US" w:bidi="ar"/>
              </w:rPr>
              <w:t>提供产品功能截图信息）</w:t>
            </w:r>
          </w:p>
        </w:tc>
        <w:tc>
          <w:tcPr>
            <w:tcW w:w="1212" w:type="dxa"/>
          </w:tcPr>
          <w:p w14:paraId="0704CA8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9C184A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33EC2C5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3660916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48D366B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737FB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3C21CE15">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7</w:t>
            </w:r>
          </w:p>
        </w:tc>
        <w:tc>
          <w:tcPr>
            <w:tcW w:w="603" w:type="dxa"/>
          </w:tcPr>
          <w:p w14:paraId="59B6420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759CC51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3E671DC6">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（2）</w:t>
            </w:r>
            <w:r>
              <w:rPr>
                <w:rFonts w:hint="eastAsia" w:ascii="宋体" w:hAnsi="宋体" w:eastAsia="宋体" w:cs="宋体"/>
                <w:b w:val="0"/>
                <w:bCs w:val="0"/>
                <w:color w:val="auto"/>
                <w:sz w:val="22"/>
                <w:szCs w:val="22"/>
                <w:highlight w:val="none"/>
              </w:rPr>
              <w:t>实现对终端设备的远程写频</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bidi="ar"/>
              </w:rPr>
              <w:t>（</w:t>
            </w:r>
            <w:r>
              <w:rPr>
                <w:rFonts w:hint="eastAsia" w:ascii="宋体" w:hAnsi="宋体" w:eastAsia="宋体" w:cs="宋体"/>
                <w:b w:val="0"/>
                <w:bCs w:val="0"/>
                <w:color w:val="auto"/>
                <w:sz w:val="22"/>
                <w:szCs w:val="22"/>
                <w:highlight w:val="none"/>
                <w:lang w:val="en-US" w:eastAsia="zh-CN" w:bidi="ar"/>
              </w:rPr>
              <w:t>需</w:t>
            </w:r>
            <w:r>
              <w:rPr>
                <w:rFonts w:hint="eastAsia" w:ascii="宋体" w:hAnsi="宋体" w:eastAsia="宋体" w:cs="宋体"/>
                <w:b w:val="0"/>
                <w:bCs w:val="0"/>
                <w:color w:val="auto"/>
                <w:sz w:val="22"/>
                <w:szCs w:val="22"/>
                <w:highlight w:val="none"/>
                <w:lang w:bidi="ar"/>
              </w:rPr>
              <w:t>提供产品功能截图信息）</w:t>
            </w:r>
          </w:p>
        </w:tc>
        <w:tc>
          <w:tcPr>
            <w:tcW w:w="1212" w:type="dxa"/>
          </w:tcPr>
          <w:p w14:paraId="24BE2CA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CFB018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44AF53B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41C5173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5B4BA5B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3920A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0BA33325">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8</w:t>
            </w:r>
          </w:p>
        </w:tc>
        <w:tc>
          <w:tcPr>
            <w:tcW w:w="603" w:type="dxa"/>
          </w:tcPr>
          <w:p w14:paraId="720F419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7D34469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1333BD2A">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7.应急载波授权：需</w:t>
            </w:r>
            <w:r>
              <w:rPr>
                <w:rFonts w:hint="eastAsia" w:ascii="宋体" w:hAnsi="宋体" w:eastAsia="宋体" w:cs="宋体"/>
                <w:b w:val="0"/>
                <w:bCs w:val="0"/>
                <w:color w:val="auto"/>
                <w:sz w:val="22"/>
                <w:szCs w:val="22"/>
                <w:highlight w:val="none"/>
              </w:rPr>
              <w:t>配置10个</w:t>
            </w:r>
            <w:r>
              <w:rPr>
                <w:rFonts w:hint="eastAsia" w:ascii="宋体" w:hAnsi="宋体" w:eastAsia="宋体" w:cs="宋体"/>
                <w:b w:val="0"/>
                <w:bCs w:val="0"/>
                <w:color w:val="auto"/>
                <w:sz w:val="22"/>
                <w:szCs w:val="22"/>
                <w:highlight w:val="none"/>
                <w:lang w:val="en-US" w:eastAsia="zh-CN"/>
              </w:rPr>
              <w:t>基站软件扩展</w:t>
            </w:r>
            <w:r>
              <w:rPr>
                <w:rFonts w:hint="eastAsia" w:ascii="宋体" w:hAnsi="宋体" w:eastAsia="宋体" w:cs="宋体"/>
                <w:b w:val="0"/>
                <w:bCs w:val="0"/>
                <w:color w:val="auto"/>
                <w:sz w:val="22"/>
                <w:szCs w:val="22"/>
                <w:highlight w:val="none"/>
              </w:rPr>
              <w:t>永久授权，支持</w:t>
            </w:r>
            <w:r>
              <w:rPr>
                <w:rFonts w:hint="eastAsia" w:ascii="宋体" w:hAnsi="宋体" w:eastAsia="宋体" w:cs="宋体"/>
                <w:b w:val="0"/>
                <w:bCs w:val="0"/>
                <w:color w:val="auto"/>
                <w:sz w:val="22"/>
                <w:szCs w:val="22"/>
                <w:highlight w:val="none"/>
                <w:lang w:val="en-US" w:eastAsia="zh-CN"/>
              </w:rPr>
              <w:t>紧急</w:t>
            </w:r>
            <w:r>
              <w:rPr>
                <w:rFonts w:hint="eastAsia" w:ascii="宋体" w:hAnsi="宋体" w:eastAsia="宋体" w:cs="宋体"/>
                <w:b w:val="0"/>
                <w:bCs w:val="0"/>
                <w:color w:val="auto"/>
                <w:sz w:val="22"/>
                <w:szCs w:val="22"/>
                <w:highlight w:val="none"/>
              </w:rPr>
              <w:t>情况下通过网管平台随时为支持软件扩容的基站进行临时载波扩容。</w:t>
            </w:r>
          </w:p>
        </w:tc>
        <w:tc>
          <w:tcPr>
            <w:tcW w:w="1212" w:type="dxa"/>
          </w:tcPr>
          <w:p w14:paraId="62C9EC8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75C43A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052C209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1AC7F13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3E82557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52EA2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77A92130">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9</w:t>
            </w:r>
          </w:p>
        </w:tc>
        <w:tc>
          <w:tcPr>
            <w:tcW w:w="603" w:type="dxa"/>
          </w:tcPr>
          <w:p w14:paraId="3117BE9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65B575D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0B193DF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②PSIP类：承载业务类型包括语音业务（包括通话语音及随路信令、录音语音）、文字短信、定位信息上报、状态信息上报、查询请求、控制信令，通过请求服务的方式通过数据交换通道完成。</w:t>
            </w:r>
          </w:p>
        </w:tc>
        <w:tc>
          <w:tcPr>
            <w:tcW w:w="1212" w:type="dxa"/>
          </w:tcPr>
          <w:p w14:paraId="2EFEDF0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2F43CAE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7E28B15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56C789D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250D70B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r>
      <w:tr w14:paraId="44B29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2E4AFD26">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10</w:t>
            </w:r>
          </w:p>
        </w:tc>
        <w:tc>
          <w:tcPr>
            <w:tcW w:w="603" w:type="dxa"/>
          </w:tcPr>
          <w:p w14:paraId="34986D3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60258C2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53843A28">
            <w:pPr>
              <w:pStyle w:val="9"/>
              <w:keepNext w:val="0"/>
              <w:keepLines w:val="0"/>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0" w:firstLineChars="0"/>
              <w:textAlignment w:val="auto"/>
              <w:rPr>
                <w:rFonts w:hint="eastAsia" w:ascii="宋体" w:hAnsi="宋体" w:eastAsia="宋体" w:cs="宋体"/>
                <w:b w:val="0"/>
                <w:bCs w:val="0"/>
                <w:color w:val="auto"/>
                <w:sz w:val="22"/>
                <w:szCs w:val="22"/>
                <w:highlight w:val="none"/>
                <w:lang w:val="en-US" w:eastAsia="zh-CN" w:bidi="ar"/>
              </w:rPr>
            </w:pPr>
            <w:r>
              <w:rPr>
                <w:rFonts w:hint="eastAsia" w:ascii="宋体" w:hAnsi="宋体" w:eastAsia="宋体" w:cs="宋体"/>
                <w:b w:val="0"/>
                <w:bCs w:val="0"/>
                <w:color w:val="auto"/>
                <w:sz w:val="22"/>
                <w:szCs w:val="22"/>
                <w:highlight w:val="none"/>
              </w:rPr>
              <w:t>①PDT防火墙</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bidi="ar"/>
              </w:rPr>
              <w:t>PDT专用功能</w:t>
            </w:r>
          </w:p>
          <w:p w14:paraId="250D4AA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2"/>
                <w:szCs w:val="22"/>
                <w:highlight w:val="none"/>
                <w:lang w:val="en-US" w:eastAsia="zh-CN" w:bidi="ar"/>
              </w:rPr>
            </w:pPr>
            <w:r>
              <w:rPr>
                <w:rFonts w:hint="eastAsia" w:ascii="宋体" w:hAnsi="宋体" w:eastAsia="宋体" w:cs="宋体"/>
                <w:b w:val="0"/>
                <w:bCs w:val="0"/>
                <w:color w:val="auto"/>
                <w:sz w:val="22"/>
                <w:szCs w:val="22"/>
                <w:highlight w:val="none"/>
                <w:lang w:val="en-US" w:eastAsia="zh-CN" w:bidi="ar"/>
              </w:rPr>
              <w:t>支持对PDT专有协议的高效传输，满足协议的低时延传输要求。</w:t>
            </w:r>
          </w:p>
        </w:tc>
        <w:tc>
          <w:tcPr>
            <w:tcW w:w="1212" w:type="dxa"/>
          </w:tcPr>
          <w:p w14:paraId="3FB7D72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72B3CC6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440036F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56A6A1B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42FEDF0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50512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22F48C3B">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11</w:t>
            </w:r>
          </w:p>
        </w:tc>
        <w:tc>
          <w:tcPr>
            <w:tcW w:w="603" w:type="dxa"/>
          </w:tcPr>
          <w:p w14:paraId="7646CB8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1435DF1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1C53C7A0">
            <w:pPr>
              <w:pStyle w:val="9"/>
              <w:keepNext w:val="0"/>
              <w:keepLines w:val="0"/>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0" w:firstLineChars="0"/>
              <w:textAlignment w:val="auto"/>
              <w:rPr>
                <w:rFonts w:hint="eastAsia" w:ascii="宋体" w:hAnsi="宋体" w:eastAsia="宋体" w:cs="宋体"/>
                <w:b w:val="0"/>
                <w:bCs w:val="0"/>
                <w:color w:val="auto"/>
                <w:sz w:val="22"/>
                <w:szCs w:val="22"/>
                <w:highlight w:val="none"/>
                <w:lang w:val="en-US" w:eastAsia="zh-CN" w:bidi="ar"/>
              </w:rPr>
            </w:pPr>
            <w:r>
              <w:rPr>
                <w:rFonts w:hint="eastAsia" w:ascii="宋体" w:hAnsi="宋体" w:eastAsia="宋体" w:cs="宋体"/>
                <w:b w:val="0"/>
                <w:bCs w:val="0"/>
                <w:color w:val="auto"/>
                <w:sz w:val="22"/>
                <w:szCs w:val="22"/>
                <w:highlight w:val="none"/>
              </w:rPr>
              <w:t>①PDT防火墙</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bidi="ar"/>
              </w:rPr>
              <w:t>其他</w:t>
            </w:r>
          </w:p>
          <w:p w14:paraId="0463A3E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2"/>
                <w:szCs w:val="22"/>
                <w:highlight w:val="none"/>
                <w:lang w:val="en-US" w:eastAsia="zh-CN" w:bidi="ar"/>
              </w:rPr>
            </w:pPr>
            <w:r>
              <w:rPr>
                <w:rFonts w:hint="eastAsia" w:ascii="宋体" w:hAnsi="宋体" w:eastAsia="宋体" w:cs="宋体"/>
                <w:b w:val="0"/>
                <w:bCs w:val="0"/>
                <w:color w:val="auto"/>
                <w:sz w:val="22"/>
                <w:szCs w:val="22"/>
                <w:highlight w:val="none"/>
                <w:lang w:val="en-US" w:eastAsia="zh-CN" w:bidi="ar"/>
              </w:rPr>
              <w:t>具备中国信息安全测评中心颁发的《自主原创产品测评证书》。</w:t>
            </w:r>
          </w:p>
        </w:tc>
        <w:tc>
          <w:tcPr>
            <w:tcW w:w="1212" w:type="dxa"/>
          </w:tcPr>
          <w:p w14:paraId="19EC988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1FFC609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44B5FA1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76D9376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5770687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54F68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118DFE90">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kern w:val="2"/>
                <w:sz w:val="22"/>
                <w:szCs w:val="22"/>
                <w:highlight w:val="none"/>
                <w:lang w:val="en-US" w:eastAsia="zh-CN" w:bidi="ar-SA"/>
              </w:rPr>
            </w:pPr>
            <w:r>
              <w:rPr>
                <w:rFonts w:hint="default" w:ascii="宋体" w:hAnsi="宋体" w:eastAsia="宋体" w:cs="宋体"/>
                <w:b w:val="0"/>
                <w:bCs w:val="0"/>
                <w:color w:val="auto"/>
                <w:kern w:val="2"/>
                <w:sz w:val="22"/>
                <w:szCs w:val="22"/>
                <w:highlight w:val="none"/>
                <w:lang w:val="en-US" w:eastAsia="zh-CN" w:bidi="ar-SA"/>
              </w:rPr>
              <w:t>1</w:t>
            </w:r>
            <w:r>
              <w:rPr>
                <w:rFonts w:hint="eastAsia" w:ascii="宋体" w:hAnsi="宋体" w:eastAsia="宋体" w:cs="宋体"/>
                <w:b w:val="0"/>
                <w:bCs w:val="0"/>
                <w:color w:val="auto"/>
                <w:kern w:val="2"/>
                <w:sz w:val="22"/>
                <w:szCs w:val="22"/>
                <w:highlight w:val="none"/>
                <w:lang w:val="en-US" w:eastAsia="zh-CN" w:bidi="ar-SA"/>
              </w:rPr>
              <w:t>2</w:t>
            </w:r>
          </w:p>
        </w:tc>
        <w:tc>
          <w:tcPr>
            <w:tcW w:w="603" w:type="dxa"/>
          </w:tcPr>
          <w:p w14:paraId="4F67703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58773DE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011A9D8C">
            <w:pPr>
              <w:pStyle w:val="9"/>
              <w:keepNext w:val="0"/>
              <w:keepLines w:val="0"/>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0"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②PDT主机安全加固系统</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bidi="ar"/>
              </w:rPr>
              <w:t>PDT专用功能</w:t>
            </w:r>
          </w:p>
          <w:p w14:paraId="790D1AB6">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bidi="ar"/>
              </w:rPr>
              <w:t>支持对PDT专网内业务服务器及PC的安全防护，能与重要业务服务器兼容，不影响业务的稳定运行。</w:t>
            </w:r>
          </w:p>
        </w:tc>
        <w:tc>
          <w:tcPr>
            <w:tcW w:w="1212" w:type="dxa"/>
          </w:tcPr>
          <w:p w14:paraId="0E603BD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D01F92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259ECDA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635C61F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36D1C54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65AD0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0EB9AF60">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13</w:t>
            </w:r>
          </w:p>
        </w:tc>
        <w:tc>
          <w:tcPr>
            <w:tcW w:w="603" w:type="dxa"/>
          </w:tcPr>
          <w:p w14:paraId="2A4919D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3988EF9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048C6733">
            <w:pPr>
              <w:pStyle w:val="9"/>
              <w:keepNext w:val="0"/>
              <w:keepLines w:val="0"/>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0" w:firstLineChars="0"/>
              <w:textAlignment w:val="auto"/>
              <w:rPr>
                <w:rFonts w:hint="eastAsia" w:ascii="宋体" w:hAnsi="宋体" w:eastAsia="宋体" w:cs="宋体"/>
                <w:b w:val="0"/>
                <w:bCs w:val="0"/>
                <w:color w:val="auto"/>
                <w:sz w:val="22"/>
                <w:szCs w:val="22"/>
                <w:highlight w:val="none"/>
                <w:lang w:val="en-US" w:eastAsia="zh-CN" w:bidi="ar"/>
              </w:rPr>
            </w:pPr>
            <w:r>
              <w:rPr>
                <w:rFonts w:hint="eastAsia" w:ascii="宋体" w:hAnsi="宋体" w:eastAsia="宋体" w:cs="宋体"/>
                <w:b w:val="0"/>
                <w:bCs w:val="0"/>
                <w:color w:val="auto"/>
                <w:sz w:val="22"/>
                <w:szCs w:val="22"/>
                <w:highlight w:val="none"/>
              </w:rPr>
              <w:t>④PDT数据库监控系统</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bidi="ar"/>
              </w:rPr>
              <w:t>PDT专用功能</w:t>
            </w:r>
          </w:p>
          <w:p w14:paraId="4BA773AA">
            <w:pPr>
              <w:pStyle w:val="18"/>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bidi="ar"/>
              </w:rPr>
            </w:pPr>
            <w:r>
              <w:rPr>
                <w:rFonts w:hint="eastAsia" w:ascii="宋体" w:hAnsi="宋体" w:eastAsia="宋体" w:cs="宋体"/>
                <w:b w:val="0"/>
                <w:bCs w:val="0"/>
                <w:color w:val="auto"/>
                <w:sz w:val="22"/>
                <w:szCs w:val="22"/>
                <w:highlight w:val="none"/>
                <w:lang w:val="en-US" w:eastAsia="zh-CN" w:bidi="ar"/>
              </w:rPr>
              <w:t>支持审计PDT专网业务服务器中数据库访问行为。</w:t>
            </w:r>
          </w:p>
        </w:tc>
        <w:tc>
          <w:tcPr>
            <w:tcW w:w="1212" w:type="dxa"/>
          </w:tcPr>
          <w:p w14:paraId="73BCF4C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2BA624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2983C9B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4EFE1C5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77EA180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4FF05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1A56FEDA">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14</w:t>
            </w:r>
          </w:p>
        </w:tc>
        <w:tc>
          <w:tcPr>
            <w:tcW w:w="603" w:type="dxa"/>
          </w:tcPr>
          <w:p w14:paraId="239AC77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7F28D80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0E24580C">
            <w:pPr>
              <w:pStyle w:val="9"/>
              <w:keepNext w:val="0"/>
              <w:keepLines w:val="0"/>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0" w:firstLineChars="0"/>
              <w:textAlignment w:val="auto"/>
              <w:rPr>
                <w:rFonts w:hint="eastAsia" w:ascii="宋体" w:hAnsi="宋体" w:eastAsia="宋体" w:cs="宋体"/>
                <w:b w:val="0"/>
                <w:bCs w:val="0"/>
                <w:color w:val="auto"/>
                <w:sz w:val="22"/>
                <w:szCs w:val="22"/>
                <w:highlight w:val="none"/>
                <w:lang w:val="en-US" w:eastAsia="zh-CN" w:bidi="ar"/>
              </w:rPr>
            </w:pPr>
            <w:r>
              <w:rPr>
                <w:rFonts w:hint="eastAsia" w:ascii="宋体" w:hAnsi="宋体" w:eastAsia="宋体" w:cs="宋体"/>
                <w:b w:val="0"/>
                <w:bCs w:val="0"/>
                <w:color w:val="auto"/>
                <w:sz w:val="22"/>
                <w:szCs w:val="22"/>
                <w:highlight w:val="none"/>
              </w:rPr>
              <w:t>⑤PDT日志综合分析系统</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bidi="ar"/>
              </w:rPr>
              <w:t>PDT专用功能</w:t>
            </w:r>
          </w:p>
          <w:p w14:paraId="7BDE9EBE">
            <w:pPr>
              <w:pStyle w:val="13"/>
              <w:keepNext w:val="0"/>
              <w:keepLines w:val="0"/>
              <w:pageBreakBefore w:val="0"/>
              <w:tabs>
                <w:tab w:val="left" w:pos="1200"/>
              </w:tabs>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b w:val="0"/>
                <w:bCs w:val="0"/>
                <w:color w:val="auto"/>
                <w:sz w:val="22"/>
                <w:szCs w:val="22"/>
                <w:highlight w:val="none"/>
                <w:lang w:val="en-US" w:eastAsia="zh-CN" w:bidi="ar"/>
              </w:rPr>
            </w:pPr>
            <w:r>
              <w:rPr>
                <w:rFonts w:hint="eastAsia" w:ascii="宋体" w:hAnsi="宋体" w:eastAsia="宋体" w:cs="宋体"/>
                <w:b w:val="0"/>
                <w:bCs w:val="0"/>
                <w:color w:val="auto"/>
                <w:sz w:val="22"/>
                <w:szCs w:val="22"/>
                <w:highlight w:val="none"/>
                <w:lang w:val="en-US" w:eastAsia="zh-CN" w:bidi="ar"/>
              </w:rPr>
              <w:t>支持对PDT专网内设备日志的存储、审计等，保证与业务系统的兼容性和稳定性。</w:t>
            </w:r>
          </w:p>
        </w:tc>
        <w:tc>
          <w:tcPr>
            <w:tcW w:w="1212" w:type="dxa"/>
          </w:tcPr>
          <w:p w14:paraId="19EED86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42DCFB0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3BD0289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2AD81F7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604EDA2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5960A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0382AAB3">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15</w:t>
            </w:r>
          </w:p>
        </w:tc>
        <w:tc>
          <w:tcPr>
            <w:tcW w:w="603" w:type="dxa"/>
          </w:tcPr>
          <w:p w14:paraId="5E513F5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5DDDC14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val="0"/>
                <w:color w:val="auto"/>
                <w:sz w:val="22"/>
                <w:szCs w:val="22"/>
                <w:highlight w:val="none"/>
                <w:lang w:val="en-US" w:eastAsia="zh-CN"/>
              </w:rPr>
              <w:t>▲</w:t>
            </w:r>
          </w:p>
        </w:tc>
        <w:tc>
          <w:tcPr>
            <w:tcW w:w="8159" w:type="dxa"/>
          </w:tcPr>
          <w:p w14:paraId="357D755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（1）PDT系统基站设备性能要求-证书要求</w:t>
            </w:r>
          </w:p>
          <w:p w14:paraId="6807A6B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具有中华人民共和国工业和信息化部颁发的《无线电发射设备型号核准证》。</w:t>
            </w:r>
          </w:p>
        </w:tc>
        <w:tc>
          <w:tcPr>
            <w:tcW w:w="1212" w:type="dxa"/>
          </w:tcPr>
          <w:p w14:paraId="687000D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E53BC6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368D67C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5918B63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478B84C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1C416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7FFEF763">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16</w:t>
            </w:r>
          </w:p>
        </w:tc>
        <w:tc>
          <w:tcPr>
            <w:tcW w:w="603" w:type="dxa"/>
          </w:tcPr>
          <w:p w14:paraId="332B5B4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297C5CB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4E395989">
            <w:pPr>
              <w:pStyle w:val="9"/>
              <w:keepNext w:val="0"/>
              <w:keepLines w:val="0"/>
              <w:pageBreakBefore w:val="0"/>
              <w:widowControl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ind w:leftChars="0" w:firstLine="0"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①</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载波室内型基站</w:t>
            </w:r>
          </w:p>
          <w:p w14:paraId="11D050A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11)需</w:t>
            </w:r>
            <w:r>
              <w:rPr>
                <w:rFonts w:hint="eastAsia" w:ascii="宋体" w:hAnsi="宋体" w:eastAsia="宋体" w:cs="宋体"/>
                <w:b w:val="0"/>
                <w:bCs w:val="0"/>
                <w:color w:val="auto"/>
                <w:sz w:val="22"/>
                <w:szCs w:val="22"/>
                <w:highlight w:val="none"/>
              </w:rPr>
              <w:t>提供公安部安全与警用电子产品质量检测中心出具的空口一致性合格检测报告复印件，并加盖投标人公章</w:t>
            </w:r>
            <w:r>
              <w:rPr>
                <w:rFonts w:hint="eastAsia" w:ascii="宋体" w:hAnsi="宋体" w:eastAsia="宋体" w:cs="宋体"/>
                <w:b w:val="0"/>
                <w:bCs w:val="0"/>
                <w:color w:val="auto"/>
                <w:sz w:val="22"/>
                <w:szCs w:val="22"/>
                <w:highlight w:val="none"/>
                <w:lang w:eastAsia="zh-CN"/>
              </w:rPr>
              <w:t>。</w:t>
            </w:r>
          </w:p>
        </w:tc>
        <w:tc>
          <w:tcPr>
            <w:tcW w:w="1212" w:type="dxa"/>
          </w:tcPr>
          <w:p w14:paraId="3E92F11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27D316B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01EB9A4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45BDA97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7106B30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51F64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6690D3CB">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17</w:t>
            </w:r>
          </w:p>
        </w:tc>
        <w:tc>
          <w:tcPr>
            <w:tcW w:w="603" w:type="dxa"/>
          </w:tcPr>
          <w:p w14:paraId="697D5E8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641EC5A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4C28785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PDT手持对讲机</w:t>
            </w:r>
          </w:p>
          <w:p w14:paraId="60ABA8F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需</w:t>
            </w:r>
            <w:r>
              <w:rPr>
                <w:rFonts w:hint="eastAsia" w:ascii="宋体" w:hAnsi="宋体" w:eastAsia="宋体" w:cs="宋体"/>
                <w:b w:val="0"/>
                <w:bCs w:val="0"/>
                <w:color w:val="auto"/>
                <w:sz w:val="22"/>
                <w:szCs w:val="22"/>
                <w:highlight w:val="none"/>
              </w:rPr>
              <w:t>提供中华人民共和国工业和信息化部颁发的有效期内的《无线电发射设备型号核准证》</w:t>
            </w:r>
            <w:r>
              <w:rPr>
                <w:rFonts w:hint="eastAsia" w:ascii="宋体" w:hAnsi="宋体" w:eastAsia="宋体" w:cs="宋体"/>
                <w:b w:val="0"/>
                <w:bCs w:val="0"/>
                <w:color w:val="auto"/>
                <w:sz w:val="22"/>
                <w:szCs w:val="22"/>
                <w:highlight w:val="none"/>
                <w:lang w:eastAsia="zh-CN"/>
              </w:rPr>
              <w:t>。</w:t>
            </w:r>
          </w:p>
        </w:tc>
        <w:tc>
          <w:tcPr>
            <w:tcW w:w="1212" w:type="dxa"/>
          </w:tcPr>
          <w:p w14:paraId="3B02D54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CE94C1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035E7A7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359FB1E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0C009AA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59E74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05CF7523">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18</w:t>
            </w:r>
          </w:p>
        </w:tc>
        <w:tc>
          <w:tcPr>
            <w:tcW w:w="603" w:type="dxa"/>
          </w:tcPr>
          <w:p w14:paraId="50B5F8F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4DD8C91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73B0098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PDT手持对讲机</w:t>
            </w:r>
          </w:p>
          <w:p w14:paraId="2954D9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应满足警用数字集群（PDT）通信系统技术规范系列标准的要求</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需</w:t>
            </w:r>
            <w:r>
              <w:rPr>
                <w:rFonts w:hint="eastAsia" w:ascii="宋体" w:hAnsi="宋体" w:eastAsia="宋体" w:cs="宋体"/>
                <w:b w:val="0"/>
                <w:bCs w:val="0"/>
                <w:color w:val="auto"/>
                <w:sz w:val="22"/>
                <w:szCs w:val="22"/>
                <w:highlight w:val="none"/>
              </w:rPr>
              <w:t>提供公安部指定检测机构出具的空口一致性检测报告</w:t>
            </w:r>
            <w:r>
              <w:rPr>
                <w:rFonts w:hint="eastAsia" w:ascii="宋体" w:hAnsi="宋体" w:eastAsia="宋体" w:cs="宋体"/>
                <w:b w:val="0"/>
                <w:bCs w:val="0"/>
                <w:color w:val="auto"/>
                <w:sz w:val="22"/>
                <w:szCs w:val="22"/>
                <w:highlight w:val="none"/>
                <w:lang w:eastAsia="zh-CN"/>
              </w:rPr>
              <w:t>）</w:t>
            </w:r>
            <w:bookmarkStart w:id="8" w:name="_GoBack"/>
            <w:bookmarkEnd w:id="8"/>
          </w:p>
        </w:tc>
        <w:tc>
          <w:tcPr>
            <w:tcW w:w="1212" w:type="dxa"/>
          </w:tcPr>
          <w:p w14:paraId="5645F8A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1F8F39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7CC5DEF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650ED97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4D8FBE6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2DBBB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588" w:type="dxa"/>
          </w:tcPr>
          <w:p w14:paraId="06C24702">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19</w:t>
            </w:r>
          </w:p>
        </w:tc>
        <w:tc>
          <w:tcPr>
            <w:tcW w:w="603" w:type="dxa"/>
          </w:tcPr>
          <w:p w14:paraId="4F9B0A1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785EF8B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02DC5D0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PDT手持对讲机</w:t>
            </w:r>
          </w:p>
          <w:p w14:paraId="4CDC15E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具备按照警用数字集群（PDT）系列标准规定的NVOC声码器</w:t>
            </w:r>
            <w:r>
              <w:rPr>
                <w:rFonts w:hint="eastAsia" w:ascii="宋体" w:hAnsi="宋体" w:eastAsia="宋体" w:cs="宋体"/>
                <w:b w:val="0"/>
                <w:bCs w:val="0"/>
                <w:color w:val="auto"/>
                <w:sz w:val="22"/>
                <w:szCs w:val="22"/>
                <w:highlight w:val="none"/>
                <w:lang w:eastAsia="zh-CN"/>
              </w:rPr>
              <w:t>。</w:t>
            </w:r>
          </w:p>
        </w:tc>
        <w:tc>
          <w:tcPr>
            <w:tcW w:w="1212" w:type="dxa"/>
          </w:tcPr>
          <w:p w14:paraId="768EE3F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76B801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5B40C21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26020CB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62EAC94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0270B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09632B90">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20</w:t>
            </w:r>
          </w:p>
        </w:tc>
        <w:tc>
          <w:tcPr>
            <w:tcW w:w="603" w:type="dxa"/>
          </w:tcPr>
          <w:p w14:paraId="5346BE1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109386E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color w:val="auto"/>
                <w:sz w:val="22"/>
                <w:szCs w:val="22"/>
                <w:highlight w:val="none"/>
              </w:rPr>
              <w:t>▲</w:t>
            </w:r>
          </w:p>
        </w:tc>
        <w:tc>
          <w:tcPr>
            <w:tcW w:w="8159" w:type="dxa"/>
          </w:tcPr>
          <w:p w14:paraId="2EF2607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PDT手持对讲机</w:t>
            </w:r>
          </w:p>
          <w:p w14:paraId="0E1380F4">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11</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具备液晶显示屏幕，屏幕尺寸≥1.8寸</w:t>
            </w:r>
            <w:r>
              <w:rPr>
                <w:rFonts w:hint="eastAsia" w:ascii="宋体" w:hAnsi="宋体" w:eastAsia="宋体" w:cs="宋体"/>
                <w:color w:val="auto"/>
                <w:sz w:val="22"/>
                <w:szCs w:val="22"/>
                <w:highlight w:val="none"/>
                <w:lang w:eastAsia="zh-CN"/>
              </w:rPr>
              <w:t>，分辨率</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240*320或320*240。</w:t>
            </w:r>
          </w:p>
        </w:tc>
        <w:tc>
          <w:tcPr>
            <w:tcW w:w="1212" w:type="dxa"/>
          </w:tcPr>
          <w:p w14:paraId="0426C9C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43684D6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036A1B4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5A5230F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1088156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12D85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vAlign w:val="top"/>
          </w:tcPr>
          <w:p w14:paraId="5C0FBA00">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21</w:t>
            </w:r>
          </w:p>
        </w:tc>
        <w:tc>
          <w:tcPr>
            <w:tcW w:w="603" w:type="dxa"/>
            <w:vAlign w:val="top"/>
          </w:tcPr>
          <w:p w14:paraId="4EB2CFE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6427A17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vAlign w:val="top"/>
          </w:tcPr>
          <w:p w14:paraId="3C55030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PDT</w:t>
            </w:r>
            <w:r>
              <w:rPr>
                <w:rFonts w:hint="eastAsia" w:ascii="宋体" w:hAnsi="宋体" w:eastAsia="宋体" w:cs="宋体"/>
                <w:b w:val="0"/>
                <w:bCs w:val="0"/>
                <w:color w:val="auto"/>
                <w:sz w:val="22"/>
                <w:szCs w:val="22"/>
                <w:highlight w:val="none"/>
                <w:lang w:eastAsia="zh-CN"/>
              </w:rPr>
              <w:t>车载台</w:t>
            </w:r>
          </w:p>
          <w:p w14:paraId="10E097A9">
            <w:pPr>
              <w:pStyle w:val="18"/>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具备按照警用数字集群（PDT）系列标准规定的NVOC声码器</w:t>
            </w:r>
            <w:r>
              <w:rPr>
                <w:rFonts w:hint="eastAsia" w:ascii="宋体" w:hAnsi="宋体" w:eastAsia="宋体" w:cs="宋体"/>
                <w:b w:val="0"/>
                <w:bCs w:val="0"/>
                <w:color w:val="auto"/>
                <w:sz w:val="22"/>
                <w:szCs w:val="22"/>
                <w:highlight w:val="none"/>
                <w:lang w:eastAsia="zh-CN"/>
              </w:rPr>
              <w:t>。</w:t>
            </w:r>
          </w:p>
        </w:tc>
        <w:tc>
          <w:tcPr>
            <w:tcW w:w="1212" w:type="dxa"/>
            <w:vAlign w:val="top"/>
          </w:tcPr>
          <w:p w14:paraId="5362498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vAlign w:val="top"/>
          </w:tcPr>
          <w:p w14:paraId="2595452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vAlign w:val="top"/>
          </w:tcPr>
          <w:p w14:paraId="53AC1BF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vAlign w:val="top"/>
          </w:tcPr>
          <w:p w14:paraId="7193CA3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vAlign w:val="top"/>
          </w:tcPr>
          <w:p w14:paraId="4C4F64B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6B7CA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33F03E10">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22</w:t>
            </w:r>
          </w:p>
        </w:tc>
        <w:tc>
          <w:tcPr>
            <w:tcW w:w="603" w:type="dxa"/>
          </w:tcPr>
          <w:p w14:paraId="2C89F24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01C954D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6C4C5E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PDT调度台</w:t>
            </w:r>
          </w:p>
          <w:p w14:paraId="5A701F23">
            <w:pPr>
              <w:pStyle w:val="18"/>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每调度台支持的最大派接组数</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≥8</w:t>
            </w:r>
            <w:r>
              <w:rPr>
                <w:rFonts w:hint="eastAsia" w:ascii="宋体" w:hAnsi="宋体" w:eastAsia="宋体" w:cs="宋体"/>
                <w:b w:val="0"/>
                <w:bCs w:val="0"/>
                <w:color w:val="auto"/>
                <w:sz w:val="22"/>
                <w:szCs w:val="22"/>
                <w:highlight w:val="none"/>
                <w:lang w:eastAsia="zh-CN"/>
              </w:rPr>
              <w:t>。</w:t>
            </w:r>
          </w:p>
        </w:tc>
        <w:tc>
          <w:tcPr>
            <w:tcW w:w="1212" w:type="dxa"/>
          </w:tcPr>
          <w:p w14:paraId="5D21A7E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404A2C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6DB1D0D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46023A1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5226B6C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33697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2AA60E1F">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23</w:t>
            </w:r>
          </w:p>
        </w:tc>
        <w:tc>
          <w:tcPr>
            <w:tcW w:w="603" w:type="dxa"/>
          </w:tcPr>
          <w:p w14:paraId="2B99462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2DDC643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322CE65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PDT调度台</w:t>
            </w:r>
          </w:p>
          <w:p w14:paraId="0B5EC7A2">
            <w:pPr>
              <w:pStyle w:val="18"/>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调度台可并行呼入数</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≥32</w:t>
            </w:r>
            <w:r>
              <w:rPr>
                <w:rFonts w:hint="eastAsia" w:ascii="宋体" w:hAnsi="宋体" w:eastAsia="宋体" w:cs="宋体"/>
                <w:b w:val="0"/>
                <w:bCs w:val="0"/>
                <w:color w:val="auto"/>
                <w:sz w:val="22"/>
                <w:szCs w:val="22"/>
                <w:highlight w:val="none"/>
                <w:lang w:eastAsia="zh-CN"/>
              </w:rPr>
              <w:t>。</w:t>
            </w:r>
          </w:p>
        </w:tc>
        <w:tc>
          <w:tcPr>
            <w:tcW w:w="1212" w:type="dxa"/>
          </w:tcPr>
          <w:p w14:paraId="74685A1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D9411F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73D651A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749347E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69BB6E4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69FF2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2D4DF9DE">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24</w:t>
            </w:r>
          </w:p>
        </w:tc>
        <w:tc>
          <w:tcPr>
            <w:tcW w:w="603" w:type="dxa"/>
          </w:tcPr>
          <w:p w14:paraId="79B4E46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1926D0C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7C90B10C">
            <w:pPr>
              <w:pageBreakBefore w:val="0"/>
              <w:kinsoku/>
              <w:wordWrap/>
              <w:topLinePunct w:val="0"/>
              <w:autoSpaceDE/>
              <w:autoSpaceDN/>
              <w:bidi w:val="0"/>
              <w:adjustRightInd/>
              <w:snapToGrid/>
              <w:spacing w:beforeAutospacing="0" w:afterAutospacing="0"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1.后备电源保障</w:t>
            </w:r>
          </w:p>
          <w:p w14:paraId="10A973AE">
            <w:pPr>
              <w:pStyle w:val="18"/>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需提</w:t>
            </w:r>
            <w:r>
              <w:rPr>
                <w:rFonts w:hint="eastAsia" w:ascii="宋体" w:hAnsi="宋体" w:eastAsia="宋体" w:cs="宋体"/>
                <w:b w:val="0"/>
                <w:bCs w:val="0"/>
                <w:sz w:val="22"/>
                <w:szCs w:val="22"/>
                <w:highlight w:val="none"/>
              </w:rPr>
              <w:t>供不少于2小时的后备电源保障服务。</w:t>
            </w:r>
          </w:p>
        </w:tc>
        <w:tc>
          <w:tcPr>
            <w:tcW w:w="1212" w:type="dxa"/>
          </w:tcPr>
          <w:p w14:paraId="7B0CC94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21EAA4F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08E23EC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4018C78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75176F1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r w14:paraId="17A79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8" w:type="dxa"/>
          </w:tcPr>
          <w:p w14:paraId="001635E8">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25</w:t>
            </w:r>
          </w:p>
        </w:tc>
        <w:tc>
          <w:tcPr>
            <w:tcW w:w="603" w:type="dxa"/>
          </w:tcPr>
          <w:p w14:paraId="5EFA87E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597" w:type="dxa"/>
            <w:vAlign w:val="top"/>
          </w:tcPr>
          <w:p w14:paraId="423223E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w:t>
            </w:r>
          </w:p>
        </w:tc>
        <w:tc>
          <w:tcPr>
            <w:tcW w:w="8159" w:type="dxa"/>
          </w:tcPr>
          <w:p w14:paraId="7DB24271">
            <w:pPr>
              <w:pStyle w:val="6"/>
              <w:pageBreakBefore w:val="0"/>
              <w:numPr>
                <w:ilvl w:val="3"/>
                <w:numId w:val="0"/>
              </w:numPr>
              <w:kinsoku/>
              <w:wordWrap/>
              <w:topLinePunct w:val="0"/>
              <w:autoSpaceDE/>
              <w:autoSpaceDN/>
              <w:bidi w:val="0"/>
              <w:adjustRightInd/>
              <w:snapToGrid/>
              <w:spacing w:before="0" w:beforeLines="0" w:beforeAutospacing="0" w:after="0" w:afterLines="0" w:afterAutospacing="0" w:line="360" w:lineRule="auto"/>
              <w:ind w:left="1984" w:leftChars="0" w:hanging="1984" w:firstLineChars="0"/>
              <w:rPr>
                <w:rFonts w:hint="eastAsia" w:ascii="宋体" w:hAnsi="宋体" w:eastAsia="宋体" w:cs="宋体"/>
                <w:color w:val="auto"/>
                <w:sz w:val="22"/>
                <w:szCs w:val="22"/>
                <w:highlight w:val="none"/>
              </w:rPr>
            </w:pPr>
            <w:bookmarkStart w:id="0" w:name="_Toc1154"/>
            <w:bookmarkStart w:id="1" w:name="_Toc508315978"/>
            <w:bookmarkStart w:id="2" w:name="_Toc13587"/>
            <w:bookmarkStart w:id="3" w:name="_Toc17203"/>
            <w:bookmarkStart w:id="4" w:name="_Toc18119"/>
            <w:bookmarkStart w:id="5" w:name="_Toc70076618"/>
            <w:bookmarkStart w:id="6" w:name="_Toc23982"/>
            <w:bookmarkStart w:id="7" w:name="_Toc14017"/>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传输网络技术要求</w:t>
            </w:r>
            <w:bookmarkEnd w:id="0"/>
            <w:bookmarkEnd w:id="1"/>
            <w:bookmarkEnd w:id="2"/>
            <w:bookmarkEnd w:id="3"/>
            <w:bookmarkEnd w:id="4"/>
            <w:bookmarkEnd w:id="5"/>
            <w:bookmarkEnd w:id="6"/>
            <w:bookmarkEnd w:id="7"/>
          </w:p>
          <w:p w14:paraId="5FD683D0">
            <w:pPr>
              <w:pStyle w:val="13"/>
              <w:pageBreakBefore w:val="0"/>
              <w:tabs>
                <w:tab w:val="left" w:pos="1200"/>
              </w:tabs>
              <w:kinsoku/>
              <w:wordWrap/>
              <w:topLinePunct w:val="0"/>
              <w:autoSpaceDE/>
              <w:autoSpaceDN/>
              <w:bidi w:val="0"/>
              <w:adjustRightInd/>
              <w:snapToGrid/>
              <w:spacing w:before="0" w:beforeAutospacing="0" w:after="0" w:afterAutospacing="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本项目PDT系统专用传输网络将充分利旧原有传输网络资源和租赁专用链路资源进行搭建，</w:t>
            </w:r>
            <w:r>
              <w:rPr>
                <w:rFonts w:hint="eastAsia" w:ascii="宋体" w:hAnsi="宋体" w:eastAsia="宋体" w:cs="宋体"/>
                <w:color w:val="auto"/>
                <w:sz w:val="22"/>
                <w:szCs w:val="22"/>
                <w:highlight w:val="none"/>
                <w:lang w:eastAsia="zh-CN"/>
              </w:rPr>
              <w:t>本项目中租赁的专用链路</w:t>
            </w:r>
            <w:r>
              <w:rPr>
                <w:rFonts w:hint="eastAsia" w:ascii="宋体" w:hAnsi="宋体" w:eastAsia="宋体" w:cs="宋体"/>
                <w:color w:val="auto"/>
                <w:sz w:val="22"/>
                <w:szCs w:val="22"/>
                <w:highlight w:val="none"/>
              </w:rPr>
              <w:t>安全及技术要求必须满足GA/T1368-2017《警用数字集群（PDT）通信系统工程技术规范》相关要求：</w:t>
            </w:r>
          </w:p>
          <w:p w14:paraId="286DE72F">
            <w:pPr>
              <w:pStyle w:val="20"/>
              <w:pageBreakBefore w:val="0"/>
              <w:widowControl/>
              <w:numPr>
                <w:ilvl w:val="0"/>
                <w:numId w:val="0"/>
              </w:numPr>
              <w:tabs>
                <w:tab w:val="left" w:pos="1200"/>
              </w:tabs>
              <w:kinsoku/>
              <w:wordWrap/>
              <w:topLinePunct w:val="0"/>
              <w:autoSpaceDE/>
              <w:autoSpaceDN/>
              <w:bidi w:val="0"/>
              <w:adjustRightInd/>
              <w:snapToGrid/>
              <w:spacing w:beforeAutospacing="0" w:afterAutospacing="0" w:line="360" w:lineRule="auto"/>
              <w:ind w:leftChars="20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①链路专线形式</w:t>
            </w:r>
          </w:p>
          <w:p w14:paraId="150803F6">
            <w:pPr>
              <w:pStyle w:val="13"/>
              <w:pageBreakBefore w:val="0"/>
              <w:tabs>
                <w:tab w:val="left" w:pos="1200"/>
              </w:tabs>
              <w:kinsoku/>
              <w:wordWrap/>
              <w:topLinePunct w:val="0"/>
              <w:autoSpaceDE/>
              <w:autoSpaceDN/>
              <w:bidi w:val="0"/>
              <w:adjustRightInd/>
              <w:snapToGrid/>
              <w:spacing w:before="0" w:beforeAutospacing="0" w:after="0" w:afterAutospacing="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应采用</w:t>
            </w:r>
            <w:r>
              <w:rPr>
                <w:rFonts w:hint="eastAsia" w:ascii="宋体" w:hAnsi="宋体" w:eastAsia="宋体" w:cs="宋体"/>
                <w:color w:val="auto"/>
                <w:sz w:val="22"/>
                <w:szCs w:val="22"/>
                <w:highlight w:val="none"/>
                <w:lang w:eastAsia="zh-CN"/>
              </w:rPr>
              <w:t>O</w:t>
            </w:r>
            <w:r>
              <w:rPr>
                <w:rFonts w:hint="eastAsia" w:ascii="宋体" w:hAnsi="宋体" w:eastAsia="宋体" w:cs="宋体"/>
                <w:color w:val="auto"/>
                <w:sz w:val="22"/>
                <w:szCs w:val="22"/>
                <w:highlight w:val="none"/>
                <w:lang w:val="en-US" w:eastAsia="zh-CN"/>
              </w:rPr>
              <w:t>TN</w:t>
            </w:r>
            <w:r>
              <w:rPr>
                <w:rFonts w:hint="eastAsia" w:ascii="宋体" w:hAnsi="宋体" w:eastAsia="宋体" w:cs="宋体"/>
                <w:color w:val="auto"/>
                <w:sz w:val="22"/>
                <w:szCs w:val="22"/>
                <w:highlight w:val="none"/>
              </w:rPr>
              <w:t>点对点专线链路，具有可自动倒换传输环保护。</w:t>
            </w:r>
          </w:p>
          <w:p w14:paraId="7DE571D8">
            <w:pPr>
              <w:pStyle w:val="20"/>
              <w:pageBreakBefore w:val="0"/>
              <w:widowControl/>
              <w:numPr>
                <w:ilvl w:val="0"/>
                <w:numId w:val="0"/>
              </w:numPr>
              <w:tabs>
                <w:tab w:val="left" w:pos="1200"/>
              </w:tabs>
              <w:kinsoku/>
              <w:wordWrap/>
              <w:topLinePunct w:val="0"/>
              <w:autoSpaceDE/>
              <w:autoSpaceDN/>
              <w:bidi w:val="0"/>
              <w:adjustRightInd/>
              <w:snapToGrid/>
              <w:spacing w:beforeAutospacing="0" w:afterAutospacing="0" w:line="360" w:lineRule="auto"/>
              <w:ind w:leftChars="20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②可靠性要求</w:t>
            </w:r>
          </w:p>
          <w:p w14:paraId="18C4E9E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交换控制中心</w:t>
            </w:r>
            <w:r>
              <w:rPr>
                <w:rFonts w:hint="eastAsia" w:ascii="宋体" w:hAnsi="宋体" w:eastAsia="宋体" w:cs="宋体"/>
                <w:color w:val="auto"/>
                <w:sz w:val="22"/>
                <w:szCs w:val="22"/>
                <w:highlight w:val="none"/>
              </w:rPr>
              <w:t>配套传输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网络时延不大于50ms，网络抖动不大于20ms，丢包率不大于1×10</w:t>
            </w:r>
            <w:r>
              <w:rPr>
                <w:rFonts w:hint="eastAsia" w:ascii="宋体" w:hAnsi="宋体" w:eastAsia="宋体" w:cs="宋体"/>
                <w:color w:val="auto"/>
                <w:sz w:val="22"/>
                <w:szCs w:val="22"/>
                <w:highlight w:val="none"/>
                <w:vertAlign w:val="superscript"/>
              </w:rPr>
              <w:t>-3</w:t>
            </w:r>
            <w:r>
              <w:rPr>
                <w:rFonts w:hint="eastAsia" w:ascii="宋体" w:hAnsi="宋体" w:eastAsia="宋体" w:cs="宋体"/>
                <w:color w:val="auto"/>
                <w:sz w:val="22"/>
                <w:szCs w:val="22"/>
                <w:highlight w:val="none"/>
              </w:rPr>
              <w:t>。</w:t>
            </w:r>
          </w:p>
          <w:p w14:paraId="5A2FACA1">
            <w:pPr>
              <w:spacing w:line="360" w:lineRule="auto"/>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基站配套传输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网络时延不大于100ms，网络抖动不大于50ms，丢包率不大于1×10</w:t>
            </w:r>
            <w:r>
              <w:rPr>
                <w:rFonts w:hint="eastAsia" w:ascii="宋体" w:hAnsi="宋体" w:eastAsia="宋体" w:cs="宋体"/>
                <w:color w:val="auto"/>
                <w:sz w:val="22"/>
                <w:szCs w:val="22"/>
                <w:highlight w:val="none"/>
                <w:vertAlign w:val="superscript"/>
              </w:rPr>
              <w:t>-3</w:t>
            </w:r>
            <w:r>
              <w:rPr>
                <w:rFonts w:hint="eastAsia" w:ascii="宋体" w:hAnsi="宋体" w:eastAsia="宋体" w:cs="宋体"/>
                <w:color w:val="auto"/>
                <w:sz w:val="22"/>
                <w:szCs w:val="22"/>
                <w:highlight w:val="none"/>
              </w:rPr>
              <w:t>。</w:t>
            </w:r>
          </w:p>
        </w:tc>
        <w:tc>
          <w:tcPr>
            <w:tcW w:w="1212" w:type="dxa"/>
          </w:tcPr>
          <w:p w14:paraId="0DBA514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4C23A2B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51" w:type="dxa"/>
          </w:tcPr>
          <w:p w14:paraId="6A7029C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57" w:type="dxa"/>
          </w:tcPr>
          <w:p w14:paraId="31F7FB2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778" w:type="dxa"/>
          </w:tcPr>
          <w:p w14:paraId="5164087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val="en-US" w:eastAsia="zh-CN"/>
              </w:rPr>
            </w:pPr>
          </w:p>
        </w:tc>
      </w:tr>
    </w:tbl>
    <w:p w14:paraId="27B3EE7F">
      <w:pPr>
        <w:rPr>
          <w:highlight w:val="none"/>
        </w:rPr>
      </w:pPr>
    </w:p>
    <w:p w14:paraId="6BBB93ED">
      <w:pPr>
        <w:spacing w:line="480" w:lineRule="auto"/>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注：1.此汇总表共25项“▲”参数条款。按量化指标，每无偏离或正偏离1项得1分，满分25分；其余条款请投标人在制作投标文件中自行补充到响应表中。</w:t>
      </w:r>
    </w:p>
    <w:p w14:paraId="7F39ACE8">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32"/>
          <w:lang w:val="en-US" w:eastAsia="zh-CN"/>
        </w:rPr>
        <w:t>2.</w:t>
      </w:r>
      <w:r>
        <w:rPr>
          <w:rFonts w:hint="eastAsia" w:ascii="宋体" w:hAnsi="宋体" w:eastAsia="宋体" w:cs="宋体"/>
          <w:b/>
          <w:bCs/>
          <w:kern w:val="2"/>
          <w:sz w:val="24"/>
          <w:szCs w:val="24"/>
          <w:highlight w:val="none"/>
          <w:lang w:val="en-US" w:eastAsia="zh-CN" w:bidi="ar-SA"/>
        </w:rPr>
        <w:t>本表中“采购文件规定的技术和服务要求”的填写若与招标文件第二章“采购需求”中的表述不一致，以招标文件第二章“采购需求”中的表述为准。</w:t>
      </w:r>
    </w:p>
    <w:p w14:paraId="7B94C65D">
      <w:pPr>
        <w:spacing w:line="480" w:lineRule="auto"/>
        <w:rPr>
          <w:rFonts w:hint="default"/>
          <w:b/>
          <w:bCs/>
          <w:sz w:val="24"/>
          <w:szCs w:val="32"/>
          <w:lang w:val="en-US" w:eastAsia="zh-CN"/>
        </w:rPr>
      </w:pPr>
    </w:p>
    <w:sectPr>
      <w:pgSz w:w="16838" w:h="11906" w:orient="landscape"/>
      <w:pgMar w:top="96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BACAA"/>
    <w:multiLevelType w:val="multilevel"/>
    <w:tmpl w:val="CE7BACAA"/>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default" w:ascii="Times New Roman" w:hAnsi="Times New Roman" w:cs="Times New Roman"/>
      </w:rPr>
    </w:lvl>
    <w:lvl w:ilvl="2" w:tentative="0">
      <w:start w:val="1"/>
      <w:numFmt w:val="decimal"/>
      <w:pStyle w:val="4"/>
      <w:suff w:val="space"/>
      <w:lvlText w:val="%1.%2.%3"/>
      <w:lvlJc w:val="left"/>
      <w:pPr>
        <w:ind w:left="1418" w:hanging="1418"/>
      </w:pPr>
      <w:rPr>
        <w:rFonts w:hint="eastAsia"/>
      </w:rPr>
    </w:lvl>
    <w:lvl w:ilvl="3" w:tentative="0">
      <w:start w:val="1"/>
      <w:numFmt w:val="decimal"/>
      <w:pStyle w:val="6"/>
      <w:suff w:val="space"/>
      <w:lvlText w:val="%1.%2.%3.%4"/>
      <w:lvlJc w:val="left"/>
      <w:pPr>
        <w:ind w:left="1984" w:hanging="1984"/>
      </w:pPr>
      <w:rPr>
        <w:rFonts w:hint="eastAsia"/>
      </w:rPr>
    </w:lvl>
    <w:lvl w:ilvl="4" w:tentative="0">
      <w:start w:val="1"/>
      <w:numFmt w:val="decimal"/>
      <w:pStyle w:val="9"/>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E8A1D36"/>
    <w:multiLevelType w:val="multilevel"/>
    <w:tmpl w:val="2E8A1D36"/>
    <w:lvl w:ilvl="0" w:tentative="0">
      <w:start w:val="1"/>
      <w:numFmt w:val="decimal"/>
      <w:pStyle w:val="20"/>
      <w:lvlText w:val="（%1）"/>
      <w:lvlJc w:val="left"/>
      <w:pPr>
        <w:tabs>
          <w:tab w:val="left" w:pos="900"/>
        </w:tabs>
        <w:ind w:left="900" w:hanging="420"/>
      </w:pPr>
      <w:rPr>
        <w:rFonts w:hint="default"/>
        <w:sz w:val="24"/>
        <w:szCs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zMyZjhjN2E3YmVhODJhNzlkOThmNWY1ODE3NjYifQ=="/>
  </w:docVars>
  <w:rsids>
    <w:rsidRoot w:val="442F4999"/>
    <w:rsid w:val="01B52539"/>
    <w:rsid w:val="06E43512"/>
    <w:rsid w:val="0AD870B7"/>
    <w:rsid w:val="0B4D1E43"/>
    <w:rsid w:val="15AC0C39"/>
    <w:rsid w:val="184B7D68"/>
    <w:rsid w:val="1C1F244F"/>
    <w:rsid w:val="1CA64694"/>
    <w:rsid w:val="226357CA"/>
    <w:rsid w:val="23FE6456"/>
    <w:rsid w:val="241541BE"/>
    <w:rsid w:val="27193851"/>
    <w:rsid w:val="29EC3C46"/>
    <w:rsid w:val="2E0F7197"/>
    <w:rsid w:val="2E6E3CFB"/>
    <w:rsid w:val="325F2499"/>
    <w:rsid w:val="33441893"/>
    <w:rsid w:val="37261D5C"/>
    <w:rsid w:val="37F27598"/>
    <w:rsid w:val="385B40F6"/>
    <w:rsid w:val="3885053E"/>
    <w:rsid w:val="39BB14ED"/>
    <w:rsid w:val="3AEC6F1E"/>
    <w:rsid w:val="3CA113B7"/>
    <w:rsid w:val="3E653BEB"/>
    <w:rsid w:val="414D2ACC"/>
    <w:rsid w:val="442F4999"/>
    <w:rsid w:val="45FA4F37"/>
    <w:rsid w:val="476E407F"/>
    <w:rsid w:val="4DA9445E"/>
    <w:rsid w:val="4E6A6963"/>
    <w:rsid w:val="4F2214E2"/>
    <w:rsid w:val="507664A8"/>
    <w:rsid w:val="560B34C7"/>
    <w:rsid w:val="57393E1A"/>
    <w:rsid w:val="5E153D9A"/>
    <w:rsid w:val="5FAB4FFF"/>
    <w:rsid w:val="603036B7"/>
    <w:rsid w:val="652B1F55"/>
    <w:rsid w:val="6A1601AC"/>
    <w:rsid w:val="6B49161E"/>
    <w:rsid w:val="6ED31A4F"/>
    <w:rsid w:val="70CC375C"/>
    <w:rsid w:val="786B624F"/>
    <w:rsid w:val="7B2C6F64"/>
    <w:rsid w:val="7FD67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4"/>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4">
    <w:name w:val="heading 3"/>
    <w:basedOn w:val="1"/>
    <w:next w:val="5"/>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6">
    <w:name w:val="heading 4"/>
    <w:basedOn w:val="1"/>
    <w:next w:val="7"/>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9">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customStyle="1" w:styleId="7">
    <w:name w:val="标准正文"/>
    <w:basedOn w:val="8"/>
    <w:qFormat/>
    <w:uiPriority w:val="0"/>
    <w:pPr>
      <w:adjustRightInd/>
      <w:ind w:firstLine="0"/>
      <w:jc w:val="center"/>
      <w:textAlignment w:val="auto"/>
    </w:pPr>
    <w:rPr>
      <w:rFonts w:ascii="宋体" w:hAnsi="宋体"/>
      <w:bCs/>
      <w:kern w:val="2"/>
      <w:lang w:val="en-GB"/>
    </w:rPr>
  </w:style>
  <w:style w:type="paragraph" w:styleId="8">
    <w:name w:val="Body Text Indent"/>
    <w:basedOn w:val="1"/>
    <w:qFormat/>
    <w:uiPriority w:val="99"/>
    <w:pPr>
      <w:ind w:firstLine="360"/>
    </w:pPr>
  </w:style>
  <w:style w:type="paragraph" w:styleId="10">
    <w:name w:val="annotation text"/>
    <w:basedOn w:val="1"/>
    <w:qFormat/>
    <w:uiPriority w:val="0"/>
    <w:pPr>
      <w:jc w:val="left"/>
    </w:pPr>
  </w:style>
  <w:style w:type="paragraph" w:styleId="11">
    <w:name w:val="Body Text"/>
    <w:basedOn w:val="1"/>
    <w:next w:val="1"/>
    <w:qFormat/>
    <w:uiPriority w:val="0"/>
    <w:rPr>
      <w:sz w:val="20"/>
      <w:szCs w:val="20"/>
    </w:rPr>
  </w:style>
  <w:style w:type="paragraph" w:styleId="12">
    <w:name w:val="toc 2"/>
    <w:basedOn w:val="1"/>
    <w:next w:val="1"/>
    <w:qFormat/>
    <w:uiPriority w:val="39"/>
    <w:pPr>
      <w:spacing w:before="0" w:beforeLines="0" w:after="0" w:afterLines="0"/>
      <w:ind w:left="100" w:leftChars="100" w:firstLine="0"/>
      <w:textAlignment w:val="top"/>
    </w:pPr>
    <w:rPr>
      <w:caps/>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7">
    <w:name w:val="List Paragraph"/>
    <w:basedOn w:val="1"/>
    <w:qFormat/>
    <w:uiPriority w:val="34"/>
    <w:pPr>
      <w:ind w:firstLine="420"/>
    </w:pPr>
    <w:rPr>
      <w:rFonts w:ascii="Calibri" w:hAnsi="Calibri"/>
    </w:rPr>
  </w:style>
  <w:style w:type="paragraph" w:customStyle="1" w:styleId="18">
    <w:name w:val="集群正文"/>
    <w:basedOn w:val="1"/>
    <w:qFormat/>
    <w:uiPriority w:val="0"/>
    <w:pPr>
      <w:spacing w:line="312" w:lineRule="auto"/>
      <w:ind w:firstLine="480"/>
    </w:pPr>
    <w:rPr>
      <w:rFonts w:cs="宋体" w:asciiTheme="minorHAnsi" w:hAnsiTheme="minorHAnsi" w:eastAsiaTheme="minorEastAsia"/>
      <w:kern w:val="2"/>
      <w:sz w:val="21"/>
      <w:szCs w:val="20"/>
    </w:rPr>
  </w:style>
  <w:style w:type="paragraph" w:customStyle="1" w:styleId="19">
    <w:name w:val="表格文本"/>
    <w:basedOn w:val="1"/>
    <w:qFormat/>
    <w:uiPriority w:val="0"/>
    <w:pPr>
      <w:tabs>
        <w:tab w:val="left" w:pos="0"/>
      </w:tabs>
      <w:snapToGrid w:val="0"/>
      <w:spacing w:after="120"/>
      <w:jc w:val="left"/>
    </w:pPr>
    <w:rPr>
      <w:rFonts w:ascii="Arial" w:hAnsi="Arial" w:eastAsia="楷体" w:cstheme="minorBidi"/>
      <w:kern w:val="2"/>
      <w:sz w:val="28"/>
      <w:szCs w:val="21"/>
    </w:rPr>
  </w:style>
  <w:style w:type="paragraph" w:customStyle="1" w:styleId="20">
    <w:name w:val="（1）标题"/>
    <w:basedOn w:val="21"/>
    <w:qFormat/>
    <w:uiPriority w:val="0"/>
    <w:pPr>
      <w:numPr>
        <w:ilvl w:val="0"/>
        <w:numId w:val="2"/>
      </w:numPr>
      <w:tabs>
        <w:tab w:val="clear" w:pos="900"/>
      </w:tabs>
      <w:ind w:left="0" w:firstLine="200"/>
    </w:pPr>
    <w:rPr>
      <w:bCs/>
    </w:rPr>
  </w:style>
  <w:style w:type="paragraph" w:customStyle="1" w:styleId="21">
    <w:name w:val="正文内容"/>
    <w:basedOn w:val="1"/>
    <w:qFormat/>
    <w:uiPriority w:val="0"/>
    <w:pPr>
      <w:spacing w:line="240" w:lineRule="auto"/>
      <w:ind w:right="210" w:firstLine="490"/>
    </w:pPr>
    <w:rPr>
      <w:rFonts w:ascii="微软雅黑" w:hAnsi="微软雅黑" w:eastAsia="微软雅黑"/>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1580</Words>
  <Characters>1729</Characters>
  <Lines>0</Lines>
  <Paragraphs>0</Paragraphs>
  <TotalTime>59</TotalTime>
  <ScaleCrop>false</ScaleCrop>
  <LinksUpToDate>false</LinksUpToDate>
  <CharactersWithSpaces>1729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2024-07-26T03:40:00Z</dcterms:created>
  <dc:creator>ZL-Sumoio</dc:creator>
  <cp:lastModifiedBy>智林招标项目组</cp:lastModifiedBy>
  <dcterms:modified xsi:type="dcterms:W3CDTF">2025-06-23T04:08:16Z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FDD72EBE6C7547969A64821E8678FA0A_13</vt:lpwstr>
  </property>
  <property fmtid="{D5CDD505-2E9C-101B-9397-08002B2CF9AE}" pid="4" name="KSOTemplateDocerSaveRecord">
    <vt:lpwstr>eyJoZGlkIjoiMzM0NzMyZjhjN2E3YmVhODJhNzlkOThmNWY1ODE3NjYiLCJ1c2VySWQiOiI2NDgzMjE0NzYifQ==</vt:lpwstr>
  </property>
</Properties>
</file>