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442000-2025-03874</w:t>
      </w:r>
    </w:p>
    <w:p>
      <w:pPr>
        <w:pStyle w:val="null3"/>
        <w:jc w:val="center"/>
        <w:outlineLvl w:val="3"/>
      </w:pPr>
      <w:r>
        <w:rPr>
          <w:sz w:val="24"/>
          <w:b/>
        </w:rPr>
        <w:t>采购项目编号：</w:t>
      </w:r>
      <w:r>
        <w:rPr>
          <w:sz w:val="24"/>
          <w:b/>
        </w:rPr>
        <w:t>442000-2025-03874</w:t>
      </w:r>
    </w:p>
    <w:p>
      <w:pPr>
        <w:pStyle w:val="null3"/>
        <w:jc w:val="center"/>
        <w:outlineLvl w:val="3"/>
      </w:pPr>
      <w:r>
        <w:rPr>
          <w:sz w:val="24"/>
          <w:b/>
        </w:rPr>
        <w:t>项目名称：</w:t>
      </w:r>
      <w:r>
        <w:rPr>
          <w:sz w:val="24"/>
          <w:b/>
        </w:rPr>
        <w:t>中山市人民医院医院综合数据管理及智能分析系统建设项目</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中山市人民医院</w:t>
      </w:r>
      <w:r>
        <w:rPr/>
        <w:t>的委托，采用</w:t>
      </w:r>
      <w:r>
        <w:rPr/>
        <w:t>公开招标</w:t>
      </w:r>
      <w:r>
        <w:rPr/>
        <w:t>方式组织采购</w:t>
      </w:r>
      <w:r>
        <w:rPr/>
        <w:t>中山市人民医院医院综合数据管理及智能分析系统建设项目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中山市人民医院医院综合数据管理及智能分析系统建设项目</w:t>
      </w:r>
    </w:p>
    <w:p>
      <w:pPr>
        <w:pStyle w:val="null3"/>
        <w:ind w:firstLine="480"/>
      </w:pPr>
      <w:r>
        <w:rPr/>
        <w:t>采购计划编号：</w:t>
      </w:r>
      <w:r>
        <w:rPr/>
        <w:t>442000-2025-03874</w:t>
      </w:r>
    </w:p>
    <w:p>
      <w:pPr>
        <w:pStyle w:val="null3"/>
        <w:ind w:firstLine="480"/>
      </w:pPr>
      <w:r>
        <w:rPr/>
        <w:t>采购项目编号：</w:t>
      </w:r>
      <w:r>
        <w:rPr/>
        <w:t>442000-2025-03874</w:t>
      </w:r>
    </w:p>
    <w:p>
      <w:pPr>
        <w:pStyle w:val="null3"/>
        <w:ind w:firstLine="480"/>
      </w:pPr>
      <w:r>
        <w:rPr/>
        <w:t>采购方式：</w:t>
      </w:r>
      <w:r>
        <w:rPr/>
        <w:t>公开招标</w:t>
      </w:r>
    </w:p>
    <w:p>
      <w:pPr>
        <w:pStyle w:val="null3"/>
        <w:ind w:firstLine="480"/>
      </w:pPr>
      <w:r>
        <w:rPr/>
        <w:t>预算金额：</w:t>
      </w:r>
      <w:r>
        <w:rPr/>
        <w:t>1,560,000.00</w:t>
      </w:r>
      <w:r>
        <w:rPr/>
        <w:t>元</w:t>
      </w:r>
    </w:p>
    <w:p>
      <w:pPr>
        <w:pStyle w:val="null3"/>
        <w:outlineLvl w:val="3"/>
      </w:pPr>
      <w:r>
        <w:rPr>
          <w:sz w:val="24"/>
          <w:b/>
        </w:rPr>
        <w:t>2.项目内容及需求情况（采购项目技术规格、参数及要求）</w:t>
      </w:r>
    </w:p>
    <w:p>
      <w:pPr>
        <w:pStyle w:val="null3"/>
      </w:pPr>
      <w:r>
        <w:rPr/>
        <w:t>采购包1(中山市人民医院医院综合数据管理及智能分析系统建设项目):</w:t>
      </w:r>
    </w:p>
    <w:p>
      <w:pPr>
        <w:pStyle w:val="null3"/>
      </w:pPr>
      <w:r>
        <w:rPr/>
        <w:t>采购包预算金额：1,560,000.00元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中山市人民医院医院综合数据管理及智能分析系统建设项目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合同履行期限：合同签订后12个月内完成系统建设验收，验收完成后须提供本项目内容3年免费维保服务，其中维保期的第一年应提供至少2人驻场服务。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采购包1（中山市人民医院医院综合数据管理及智能分析系统建设项目）：</w:t>
      </w:r>
      <w:r>
        <w:rPr/>
        <w:t>1）本项目属于专门面向中小企业采购项目，供应商根据招标公告附件《中小企业划型标准规定》《广东省财政厅关于进一步规范政府采购活动中落实促进中小企业发展政策的通知》要求自行判定是否属于软件和信息技术服务业的中小微企业，符合中小微类型的方可参与本项目的投标； 2）本项目属于服务类项目，采购标的对应的中小企业划分标准所属行业为：软件和信息技术服务业；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采购包1（中山市人民医院医院综合数据管理及智能分析系统建设项目）：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中山市人民医院</w:t>
      </w:r>
    </w:p>
    <w:p>
      <w:pPr>
        <w:pStyle w:val="null3"/>
        <w:ind w:firstLine="480"/>
      </w:pPr>
      <w:r>
        <w:rPr/>
        <w:t xml:space="preserve"> 地址：</w:t>
      </w:r>
      <w:r>
        <w:rPr/>
        <w:t>孙文东路2号</w:t>
      </w:r>
    </w:p>
    <w:p>
      <w:pPr>
        <w:pStyle w:val="null3"/>
        <w:ind w:firstLine="480"/>
      </w:pPr>
      <w:r>
        <w:rPr/>
        <w:t xml:space="preserve"> 联系方式：</w:t>
      </w:r>
      <w:r>
        <w:rPr/>
        <w:t>0760-88824241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中山市人民医院医院综合数据管理及智能分析系统建设项目</w:t>
      </w:r>
    </w:p>
    <w:p>
      <w:pPr>
        <w:pStyle w:val="null3"/>
      </w:pPr>
      <w:r>
        <w:rPr>
          <w:sz w:val="22"/>
        </w:rPr>
        <w:t>2.采购计划编号：</w:t>
      </w:r>
      <w:r>
        <w:rPr>
          <w:sz w:val="22"/>
        </w:rPr>
        <w:t>442000-2025-03874</w:t>
      </w:r>
    </w:p>
    <w:p>
      <w:pPr>
        <w:pStyle w:val="null3"/>
      </w:pPr>
      <w:r>
        <w:rPr>
          <w:sz w:val="22"/>
        </w:rPr>
        <w:t>3.采购项目编号：</w:t>
      </w:r>
      <w:r>
        <w:rPr>
          <w:sz w:val="22"/>
        </w:rPr>
        <w:t>442000-2025-03874</w:t>
      </w:r>
    </w:p>
    <w:p>
      <w:pPr>
        <w:pStyle w:val="null3"/>
      </w:pPr>
      <w:r>
        <w:rPr>
          <w:sz w:val="22"/>
        </w:rPr>
        <w:t>4.采购方式：公开招标</w:t>
      </w:r>
    </w:p>
    <w:p>
      <w:pPr>
        <w:pStyle w:val="null3"/>
      </w:pPr>
      <w:r>
        <w:rPr>
          <w:sz w:val="22"/>
        </w:rPr>
        <w:t>5.项目预算金额：</w:t>
      </w:r>
      <w:r>
        <w:rPr>
          <w:sz w:val="22"/>
        </w:rPr>
        <w:t>1,560,000.00</w:t>
      </w:r>
      <w:r>
        <w:rPr>
          <w:sz w:val="22"/>
        </w:rPr>
        <w:t>元</w:t>
      </w:r>
    </w:p>
    <w:p>
      <w:pPr>
        <w:pStyle w:val="null3"/>
      </w:pPr>
      <w:r>
        <w:rPr>
          <w:sz w:val="22"/>
        </w:rPr>
        <w:t>6.项目背景：自《三级医院评审标准（2020年版）》发布后，要求医院统计指标建立数据目录清单，该清单应包含每个数据定义、数据源、采集方式、采集时间范畴、采集结果等要素，且对于计算所得的数据，应当有可追溯的原始数据。因此，医院需要对数据指标及其统计支持因素进行管理，以保证数据从抽取到形成指标整个过程透明、可控，从管理系统的角度保障数据的准确性。同时，随着医院管理的进一步发展，新的管理问题出现，医院需要实现病种管理、高精尖技术管理、运营管理测算、医院评审等管理场景的运营智能分析，从而加强运营管理与医疗质量控制，实现AI赋能医院管理，并为医院三甲复审、日常质控监测以及电子病历六级评审提供数据管理与分析抓手，拟采购医院综合数据管理及智能分析系统建设项目，具体要求见项目需求。</w:t>
      </w:r>
    </w:p>
    <w:p>
      <w:pPr>
        <w:pStyle w:val="null3"/>
      </w:pPr>
      <w:r>
        <w:rPr>
          <w:sz w:val="22"/>
        </w:rPr>
        <w:t>7.合同履行期限：合同签订后12个月内完成系统建设验收，验收完成后须提供本项目内容3年免费维保服务，其中维保期的第一年应提供至少2人驻场服务。</w:t>
      </w:r>
    </w:p>
    <w:p>
      <w:pPr>
        <w:pStyle w:val="null3"/>
      </w:pPr>
      <w:r>
        <w:rPr>
          <w:sz w:val="22"/>
        </w:rPr>
        <w:t>8.本项目属于专门面向中小企业采购项目，供应商根据招标公告附件《中小企业划型标准规定》《广东省财政厅关于进一步规范政府采购活动中落实促进中小企业发展政策的通知》要求自行判定是否属于软件和信息技术服务业的中小微企业，符合中小微类型的方可参与本项目的投标；</w:t>
      </w:r>
    </w:p>
    <w:p>
      <w:pPr>
        <w:pStyle w:val="null3"/>
      </w:pPr>
      <w:r>
        <w:rPr>
          <w:sz w:val="22"/>
        </w:rPr>
        <w:t xml:space="preserve">9.本项目属于服务类项目，采购标的对应的中小企业划分标准所属行业为：软件和信息技术服务业； </w:t>
      </w:r>
    </w:p>
    <w:p>
      <w:pPr>
        <w:pStyle w:val="null3"/>
      </w:pPr>
      <w:r>
        <w:rPr>
          <w:sz w:val="22"/>
        </w:rPr>
        <w:t>10《中小企业声明函》按招标公告附件《广东省财政厅关于进一步规范政府采购活动中落实促进中小企业发展政策的通知》要求进行填写，此项将作为资格审查的必要项，如未按要求提供将视为无效投标。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pPr>
      <w:r>
        <w:rPr>
          <w:sz w:val="22"/>
        </w:rPr>
        <w:t>11</w:t>
      </w:r>
      <w:r>
        <w:rPr>
          <w:sz w:val="22"/>
        </w:rPr>
        <w:t>.本项目不接受联合体投标。</w:t>
      </w:r>
    </w:p>
    <w:p>
      <w:pPr>
        <w:pStyle w:val="null3"/>
      </w:pPr>
      <w:r>
        <w:rPr>
          <w:sz w:val="22"/>
        </w:rPr>
        <w:t>1</w:t>
      </w:r>
      <w:r>
        <w:rPr>
          <w:sz w:val="22"/>
        </w:rPr>
        <w:t>2</w:t>
      </w:r>
      <w:r>
        <w:rPr>
          <w:sz w:val="22"/>
        </w:rPr>
        <w:t>.中标供应商不得以任何方式转包或分包本项目。</w:t>
      </w:r>
    </w:p>
    <w:p>
      <w:pPr>
        <w:pStyle w:val="null3"/>
      </w:pPr>
      <w:r>
        <w:rPr>
          <w:sz w:val="22"/>
        </w:rPr>
        <w:t>1</w:t>
      </w:r>
      <w:r>
        <w:rPr>
          <w:sz w:val="22"/>
        </w:rPr>
        <w:t>3</w:t>
      </w:r>
      <w:r>
        <w:rPr>
          <w:sz w:val="22"/>
        </w:rPr>
        <w:t>.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sz w:val="22"/>
        </w:rPr>
        <w:t>1</w:t>
      </w:r>
      <w:r>
        <w:rPr>
          <w:sz w:val="22"/>
        </w:rPr>
        <w:t>4</w:t>
      </w:r>
      <w:r>
        <w:rPr>
          <w:sz w:val="22"/>
        </w:rPr>
        <w:t>.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2"/>
        </w:rPr>
        <w:t>1</w:t>
      </w:r>
      <w:r>
        <w:rPr>
          <w:sz w:val="22"/>
        </w:rPr>
        <w:t>5</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2"/>
        </w:rPr>
        <w:t>1</w:t>
      </w:r>
      <w:r>
        <w:rPr>
          <w:sz w:val="22"/>
        </w:rPr>
        <w:t>6</w:t>
      </w:r>
      <w:r>
        <w:rPr>
          <w:sz w:val="22"/>
        </w:rPr>
        <w:t>.重要说明</w:t>
      </w:r>
    </w:p>
    <w:p>
      <w:pPr>
        <w:pStyle w:val="null3"/>
        <w:ind w:firstLine="440"/>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2"/>
          <w:shd w:fill="D9D9D9" w:val="clear"/>
        </w:rPr>
        <w:t>★1</w:t>
      </w:r>
      <w:r>
        <w:rPr>
          <w:sz w:val="22"/>
          <w:shd w:fill="D9D9D9" w:val="clear"/>
        </w:rPr>
        <w:t>7</w:t>
      </w:r>
      <w:r>
        <w:rPr>
          <w:sz w:val="22"/>
          <w:shd w:fill="D9D9D9" w:val="clear"/>
        </w:rPr>
        <w:t>.投标人需参照招标公告附件格式，在投标文件中出具《无围标、串标行为承诺书》。</w:t>
      </w:r>
    </w:p>
    <w:p>
      <w:pPr>
        <w:pStyle w:val="null3"/>
      </w:pPr>
      <w:r>
        <w:rPr>
          <w:sz w:val="22"/>
        </w:rPr>
        <w:t>18.</w:t>
      </w:r>
      <w:r>
        <w:rPr>
          <w:sz w:val="22"/>
        </w:rPr>
        <w:t>中标供应商必须对投标文件所提供的所有参数的真实性负责。采购人在合同签订前或合同履行期间，有权对中标供应商投标承诺内容进行验证，一旦发现供应商有提供虚假材料谋取中标、成交的情况，采购人将上报财政监管部门按照法律法规进行处罚和追责。</w:t>
      </w:r>
    </w:p>
    <w:p>
      <w:pPr>
        <w:pStyle w:val="null3"/>
      </w:pPr>
      <w:r>
        <w:rPr/>
        <w:t>采购包1（中山市人民医院医院综合数据管理及智能分析系统建设项目）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合同签订后12个月内完成系统建设验收，验收完成后须提供本项目内容3年免费维保服务，其中维保期的第一年应提供至少2人驻场服务。</w:t>
            </w:r>
          </w:p>
        </w:tc>
      </w:tr>
      <w:tr>
        <w:tc>
          <w:tcPr>
            <w:tcW w:type="dxa" w:w="4153"/>
          </w:tcPr>
          <w:p>
            <w:pPr>
              <w:pStyle w:val="null3"/>
            </w:pPr>
            <w:r>
              <w:rPr/>
              <w:t>标的提供的地点</w:t>
            </w:r>
          </w:p>
        </w:tc>
        <w:tc>
          <w:tcPr>
            <w:tcW w:type="dxa" w:w="4153"/>
          </w:tcPr>
          <w:p>
            <w:pPr>
              <w:pStyle w:val="null3"/>
            </w:pPr>
            <w:r>
              <w:rPr/>
              <w:t>中山市人民医院指定地点。</w:t>
            </w:r>
          </w:p>
        </w:tc>
      </w:tr>
      <w:tr>
        <w:tc>
          <w:tcPr>
            <w:tcW w:type="dxa" w:w="4153"/>
          </w:tcPr>
          <w:p>
            <w:pPr>
              <w:pStyle w:val="null3"/>
            </w:pPr>
            <w:r>
              <w:rPr/>
              <w:t>付款方式</w:t>
            </w:r>
          </w:p>
        </w:tc>
        <w:tc>
          <w:tcPr>
            <w:tcW w:type="dxa" w:w="4153"/>
          </w:tcPr>
          <w:p>
            <w:pPr>
              <w:pStyle w:val="null3"/>
            </w:pPr>
            <w:r>
              <w:rPr/>
              <w:t>1期：支付比例100%,1.按三阶段验收情况结算款项，采购人根据中标供应商完成的工作量情况按医院提供的10个建设模块的权重比例和建设进度计划分三阶段验收并支付合同款项；验收合格并交付使用后，中标供应商提供以下资料申请付款：（1）中标通知书；（2）合同；（3）符合采购人财务要求的等额发票；（4）经双方签字确认的验收报告。经采购人核实无误后，30个日历天内向中标供应商支付款项。2.采购人付款采用银行转帐或电汇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1期：1.中标供应商应提交详细项目建设方案以及进度计划表。 2.中标供应商负责到采购人指定地点实施项目。 3.中标供应商应提供项目详细的验收方案，包括但不限于验收项目、验收标准，验收实施办法等。 4.系统建设完成后由中标供应商和采购人共同验收，并出具验收报告，中标供应商须为验收提供必需的设备、工具及其他便利条件。 5.验收由采购人、中标供应商及相关人员依国家有关标准、合同及有关附件要求进行，中标供应商应提供完善的项目资料，包括但不限于验收报告、技术文档、可用于二次开发的源代码等。 6.验收完毕由采购人及中标供应商在验收报告上签名确认。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供应商须在签订合同后30天内向采购人缴交中标金额的5%作为本项目合同的履约保证金。履约保证金以由金融机构、担保机构出具的保函等非现金形式的方式提交，且必须向采购人递交原件。如遇项目延期，中标供应商必须配合延长保函的有效期。 2.本项目履约保证金作为中标供应商合同履约服务的保证，在中标供应商完全履行合同义务后，于合同期满后由采购人无息退还。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 4.如本项目履约保证金因受采购人的处置导致数额未达到本项目要求时，中标供应商须及时补足，如中标供应商经采购人书面告知后仍未及时补足履约保证金的，采购人有权单方终止合同。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1.本项目按总价报价，投标报价不得超出项目预算金额1,560,000.00元，否则作投标无效处理。 2.本项目的报价和结算支付均以人民币为货币单位。 3.投标报价应包含完成本项目所需的全部的费用，包括但不限于人工费、材料费、产品费、运输费、培训费、运维服务费、各种税务费及合同履行过程中可预见或不可预见的全部费用，采购人不额外支付其他任何费用。 4.投标人须提供系统各模块的分项报价。</w:t>
            </w:r>
          </w:p>
        </w:tc>
      </w:tr>
      <w:tr>
        <w:tc>
          <w:tcPr>
            <w:tcW w:type="dxa" w:w="2076"/>
          </w:tcPr>
          <w:p/>
        </w:tc>
        <w:tc>
          <w:tcPr>
            <w:tcW w:type="dxa" w:w="2076"/>
          </w:tcPr>
          <w:p>
            <w:pPr>
              <w:pStyle w:val="null3"/>
              <w:jc w:val="center"/>
            </w:pPr>
            <w:r>
              <w:rPr/>
              <w:t>2</w:t>
            </w:r>
          </w:p>
        </w:tc>
        <w:tc>
          <w:tcPr>
            <w:tcW w:type="dxa" w:w="2076"/>
          </w:tcPr>
          <w:p>
            <w:pPr>
              <w:pStyle w:val="null3"/>
              <w:jc w:val="left"/>
            </w:pPr>
            <w:r>
              <w:rPr/>
              <w:t>培训要求</w:t>
            </w:r>
          </w:p>
        </w:tc>
        <w:tc>
          <w:tcPr>
            <w:tcW w:type="dxa" w:w="2076"/>
          </w:tcPr>
          <w:p>
            <w:pPr>
              <w:pStyle w:val="null3"/>
              <w:jc w:val="left"/>
            </w:pPr>
            <w:r>
              <w:rPr/>
              <w:t>1.中标供应商须提供培训方案，包括但不限于培训教师资质、培训内容、培训教材等。 2.中标供应商应提供相关的应用软件技术和系统操作等方面的培训，培训课程应在系统上线前完成。中标供应商应提前将详细的培训课程以及时间表提交给采购人审核，按采购人审核确认的培训课程及时间组织培训。 3.中标供应商须派有相关工作经验和教学经验的教师及辅导人员授课培训。培训所使用的语言和教材必须是中文，非中文的，中标供应商应提供相应的中文版本。 4.技术人员培训形式为现场培训和集中培训。 5.培训内容包括但不限于： 5.1.在软件的安装调试、故障处理过程中，对系统使用人员进行实际的操作和故障处理培训； 5.2.在整套系统安装、调试完成后，对系统使用人员的操作培训应包含系统的安装、保养和注意事项，使系统使用人员能够尽快地熟悉软件的性能。</w:t>
            </w:r>
          </w:p>
        </w:tc>
      </w:tr>
      <w:tr>
        <w:tc>
          <w:tcPr>
            <w:tcW w:type="dxa" w:w="2076"/>
          </w:tcPr>
          <w:p/>
        </w:tc>
        <w:tc>
          <w:tcPr>
            <w:tcW w:type="dxa" w:w="2076"/>
          </w:tcPr>
          <w:p>
            <w:pPr>
              <w:pStyle w:val="null3"/>
              <w:jc w:val="center"/>
            </w:pPr>
            <w:r>
              <w:rPr/>
              <w:t>3</w:t>
            </w:r>
          </w:p>
        </w:tc>
        <w:tc>
          <w:tcPr>
            <w:tcW w:type="dxa" w:w="2076"/>
          </w:tcPr>
          <w:p>
            <w:pPr>
              <w:pStyle w:val="null3"/>
              <w:jc w:val="left"/>
            </w:pPr>
            <w:r>
              <w:rPr/>
              <w:t>运维服务要求</w:t>
            </w:r>
          </w:p>
        </w:tc>
        <w:tc>
          <w:tcPr>
            <w:tcW w:type="dxa" w:w="2076"/>
          </w:tcPr>
          <w:p>
            <w:pPr>
              <w:pStyle w:val="null3"/>
              <w:jc w:val="left"/>
            </w:pPr>
            <w:r>
              <w:rPr/>
              <w:t>一、运维服务期限：自项目建设完成正式验收之日起，中标供应商须提供至少3年的免费运行维护服务，其中第一年须提供至少2人驻场服务。 二、运维服务内容： （一）软件维护： 1.系统运维： 1.1.在不改变现有系统架构条件下，应满足采购人提出的系统功能完善和系统优化等需求（除第三方系统新接口，另行协商），并按约定时间限期完成修改更新。 1.2.根据采购人要求修改此项目系统现有报表或新增相近报表。 1.3.提供必要的系统相关培训等。 1.4.处理系统运行使用过程中出现的各类问题。 1.5.提供信息咨询服务，解答信息系统相关问题。 1.6.定期排查系统可能存在的问题，并反馈给采购人，在采购人知情并同意情况下解决问题。 1.7.系统BUG按约定时间限期完成修改更新。 1.8.安排专人保障周六日和重要节假日的系统安全与稳定运行。 2.第三方接口运维： 若运维期间发现第三方接口运行不畅现象，中标供应商需积极配合采购人查找原因，如是中标供应商提供的应用程序导致的，需提供解决方案并按约定时间限期调整完毕。 3.配合等级评审的系统改造： 中标供应商须配合医院的电子病历六级、安全等保三级、智慧服务三级、智慧管理三级、等级医院评审等的评级工作，并对系统进行对应的功能改造和升级。 （二）数据库维护： 1.定期每30日进行全面检查维护数据库，包括但不限于数据库可使用空间、数据库大小、索引、性能、作业执行情况、数据库占用资源情况等，并提供相应检查报告。 2.对于数据库故障应立即响应排查并解决问题。 3.根据采购人要求提供数据库迁移服务。 4.提供定期数据库优化服务。 5.提供数据转储服务。 6.配合医院实施数据库相关安全策略。 7.保障数据安全。 8.规范化数据库操作。 9.数据库数据归采购人所有，中标供应商未经采购人审批同意不能擅自外传数据，如发现擅自外传数据的，采购人根据相关国家法律法规处理。 （三）服务器维护： 1.定期每30日检查服务器上应用程序运行状况、服务器操作系统日志情况、服务器本身运行情况等并提供检查报告。 2.提供服务器上程序迁移服务。 3.保障服务器上数据库、中间层软件、接口软件等相关软件稳定运行，服务器上业务系统相关软件全年故障次数应不超过2次。 三、运维服务要求： 1.中标供应商应安排专职维护人员且维保期的第一年应提供至少2人驻场服务。 2.中标供应商须提供每周7×24小时电话支持、远程技术支持服务，日常问题响应时间不能超过1小时。 3.维护范围包含系统出现不能使用或严重影响使用故障，超过1小时以上无法远程解决的，中标供应商的技术人员需在2小时内到达现场解决。</w:t>
            </w:r>
          </w:p>
        </w:tc>
      </w:tr>
      <w:tr>
        <w:tc>
          <w:tcPr>
            <w:tcW w:type="dxa" w:w="2076"/>
          </w:tcPr>
          <w:p/>
        </w:tc>
        <w:tc>
          <w:tcPr>
            <w:tcW w:type="dxa" w:w="2076"/>
          </w:tcPr>
          <w:p>
            <w:pPr>
              <w:pStyle w:val="null3"/>
              <w:jc w:val="center"/>
            </w:pPr>
            <w:r>
              <w:rPr/>
              <w:t>4</w:t>
            </w:r>
          </w:p>
        </w:tc>
        <w:tc>
          <w:tcPr>
            <w:tcW w:type="dxa" w:w="2076"/>
          </w:tcPr>
          <w:p>
            <w:pPr>
              <w:pStyle w:val="null3"/>
              <w:jc w:val="left"/>
            </w:pPr>
            <w:r>
              <w:rPr/>
              <w:t>项目团队要求</w:t>
            </w:r>
          </w:p>
        </w:tc>
        <w:tc>
          <w:tcPr>
            <w:tcW w:type="dxa" w:w="2076"/>
          </w:tcPr>
          <w:p>
            <w:pPr>
              <w:pStyle w:val="null3"/>
              <w:jc w:val="left"/>
            </w:pPr>
            <w:r>
              <w:rPr/>
              <w:t>1.中标供应商应设置项目经理（限1人），负责项目实施的管理工作。 2.项目团队成员（含项目经理）中应具备至少2名具有医疗行业数据分析项目经验的实施工程师（提供承诺函并加盖公章，格式详见“第六章 投标文件格式与要求”格式十.承诺函）。</w:t>
            </w:r>
          </w:p>
        </w:tc>
      </w:tr>
      <w:tr>
        <w:tc>
          <w:tcPr>
            <w:tcW w:type="dxa" w:w="2076"/>
          </w:tcPr>
          <w:p/>
        </w:tc>
        <w:tc>
          <w:tcPr>
            <w:tcW w:type="dxa" w:w="2076"/>
          </w:tcPr>
          <w:p>
            <w:pPr>
              <w:pStyle w:val="null3"/>
              <w:jc w:val="center"/>
            </w:pPr>
            <w:r>
              <w:rPr/>
              <w:t>5</w:t>
            </w:r>
          </w:p>
        </w:tc>
        <w:tc>
          <w:tcPr>
            <w:tcW w:type="dxa" w:w="2076"/>
          </w:tcPr>
          <w:p>
            <w:pPr>
              <w:pStyle w:val="null3"/>
              <w:jc w:val="left"/>
            </w:pPr>
            <w:r>
              <w:rPr/>
              <w:t>行业数据分析能力</w:t>
            </w:r>
          </w:p>
        </w:tc>
        <w:tc>
          <w:tcPr>
            <w:tcW w:type="dxa" w:w="2076"/>
          </w:tcPr>
          <w:p>
            <w:pPr>
              <w:pStyle w:val="null3"/>
              <w:jc w:val="left"/>
            </w:pPr>
            <w:r>
              <w:rPr/>
              <w:t>1.提供指标开发平台的同类软件产品知识产权证明（提供相关证明材料并加盖公章）。 2.具备医疗行业丰富的数据分析经验和能力，提供医院等级评审、三级医院绩效考核、运营管理电子病历评审、运营管理和门诊分析等数据决策分析应用产品的知识产权证明（提供相关证明材料并加盖公章）。</w:t>
            </w:r>
          </w:p>
        </w:tc>
      </w:tr>
      <w:tr>
        <w:tc>
          <w:tcPr>
            <w:tcW w:type="dxa" w:w="2076"/>
          </w:tcPr>
          <w:p/>
        </w:tc>
        <w:tc>
          <w:tcPr>
            <w:tcW w:type="dxa" w:w="2076"/>
          </w:tcPr>
          <w:p>
            <w:pPr>
              <w:pStyle w:val="null3"/>
              <w:jc w:val="center"/>
            </w:pPr>
            <w:r>
              <w:rPr/>
              <w:t>6</w:t>
            </w:r>
          </w:p>
        </w:tc>
        <w:tc>
          <w:tcPr>
            <w:tcW w:type="dxa" w:w="2076"/>
          </w:tcPr>
          <w:p>
            <w:pPr>
              <w:pStyle w:val="null3"/>
              <w:jc w:val="left"/>
            </w:pPr>
            <w:r>
              <w:rPr/>
              <w:t>项目经验</w:t>
            </w:r>
          </w:p>
        </w:tc>
        <w:tc>
          <w:tcPr>
            <w:tcW w:type="dxa" w:w="2076"/>
          </w:tcPr>
          <w:p>
            <w:pPr>
              <w:pStyle w:val="null3"/>
              <w:jc w:val="left"/>
            </w:pPr>
            <w:r>
              <w:rPr/>
              <w:t>具有同类医疗行业数据分析项目经验。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中山市人民医院医院综合数据管理及智能分析系统建设项目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1,560,000.00</w:t>
            </w:r>
          </w:p>
        </w:tc>
        <w:tc>
          <w:tcPr>
            <w:tcW w:type="dxa" w:w="933"/>
          </w:tcPr>
          <w:p>
            <w:pPr>
              <w:pStyle w:val="null3"/>
              <w:jc w:val="right"/>
            </w:pPr>
            <w:r>
              <w:rPr/>
              <w:t>1,560,000.00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中山市人民医院医院综合数据管理及智能分析系统建设项目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软件功能及参数清单</w:t>
            </w:r>
          </w:p>
          <w:p>
            <w:pPr>
              <w:pStyle w:val="null3"/>
              <w:jc w:val="both"/>
            </w:pPr>
            <w:r>
              <w:rPr>
                <w:sz w:val="22"/>
                <w:b/>
              </w:rPr>
              <w:t>详见采购公告附件《具体技术（参数）要求》。</w:t>
            </w:r>
          </w:p>
        </w:tc>
      </w:tr>
      <w:tr>
        <w:tc>
          <w:tcPr>
            <w:tcW w:type="dxa" w:w="2076"/>
          </w:tcPr>
          <w:p/>
        </w:tc>
        <w:tc>
          <w:tcPr>
            <w:tcW w:type="dxa" w:w="415"/>
          </w:tcPr>
          <w:p>
            <w:pPr>
              <w:pStyle w:val="null3"/>
            </w:pPr>
            <w:r>
              <w:rPr/>
              <w:t>2</w:t>
            </w:r>
          </w:p>
        </w:tc>
        <w:tc>
          <w:tcPr>
            <w:tcW w:type="dxa" w:w="5814"/>
          </w:tcPr>
          <w:p>
            <w:pPr>
              <w:pStyle w:val="null3"/>
              <w:jc w:val="both"/>
            </w:pPr>
            <w:r>
              <w:rPr>
                <w:sz w:val="22"/>
                <w:b/>
              </w:rPr>
              <w:t>二、人员培训</w:t>
            </w:r>
          </w:p>
          <w:p>
            <w:pPr>
              <w:pStyle w:val="null3"/>
              <w:jc w:val="both"/>
            </w:pPr>
            <w:r>
              <w:rPr>
                <w:sz w:val="22"/>
              </w:rPr>
              <w:t>1为医院使用人员提供系统使用与开发培训，为医院培训1～2名具备利用平台进行数据开发能力的人员。</w:t>
            </w:r>
          </w:p>
          <w:p>
            <w:pPr>
              <w:pStyle w:val="null3"/>
              <w:jc w:val="both"/>
            </w:pPr>
            <w:r>
              <w:rPr>
                <w:sz w:val="22"/>
              </w:rPr>
              <w:t>2.为医院指定的1～2名人员（如技术骨干）进行培训，该人员可以全程参与项目实施，以掌握软件开发全周期技能。中标供应商应重点培养其进行二次开发和系统设计能力，使该技术人员具备解决系统突发故障和进行二次开发的能力。</w:t>
            </w:r>
          </w:p>
        </w:tc>
      </w:tr>
      <w:tr>
        <w:tc>
          <w:tcPr>
            <w:tcW w:type="dxa" w:w="2076"/>
          </w:tcPr>
          <w:p/>
        </w:tc>
        <w:tc>
          <w:tcPr>
            <w:tcW w:type="dxa" w:w="415"/>
          </w:tcPr>
          <w:p>
            <w:pPr>
              <w:pStyle w:val="null3"/>
            </w:pPr>
            <w:r>
              <w:rPr/>
              <w:t>3</w:t>
            </w:r>
          </w:p>
        </w:tc>
        <w:tc>
          <w:tcPr>
            <w:tcW w:type="dxa" w:w="5814"/>
          </w:tcPr>
          <w:p>
            <w:pPr>
              <w:pStyle w:val="null3"/>
              <w:jc w:val="both"/>
            </w:pPr>
            <w:r>
              <w:rPr>
                <w:sz w:val="22"/>
              </w:rPr>
              <w:t>三</w:t>
            </w:r>
            <w:r>
              <w:rPr>
                <w:sz w:val="22"/>
                <w:b/>
              </w:rPr>
              <w:t>、实施要求</w:t>
            </w:r>
          </w:p>
          <w:p>
            <w:pPr>
              <w:pStyle w:val="null3"/>
              <w:jc w:val="both"/>
            </w:pPr>
            <w:r>
              <w:rPr>
                <w:sz w:val="22"/>
              </w:rPr>
              <w:t>1.中标供应商应完成本项目各模块所需的系统数据采集、逻辑设计开发、数据模型设计开发和报表设计开发工作。</w:t>
            </w:r>
          </w:p>
          <w:p>
            <w:pPr>
              <w:pStyle w:val="null3"/>
              <w:jc w:val="both"/>
            </w:pPr>
            <w:r>
              <w:rPr>
                <w:sz w:val="22"/>
              </w:rPr>
              <w:t>2.提供详细的项目实施和维护管理方案，提供完善的质量保证措施和风险管理措施。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857号）及《关于进一步放开建设项目专业服务价格的通知》（发改价格〔2015〕299号）标准的80%收取招标代理服务费。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二、需落实的政府采购政策，1）《政府采购促进中小企业发展管理办法》（财库〔2020〕46号）；2）《关于政府采购支持监狱企业发展有关问题》（财库〔2014〕68号）；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人民医院医院综合数据管理及智能分析系统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采购包1（中山市人民医院医院综合数据管理及智能分析系统建设项目）：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采购包1（中山市人民医院医院综合数据管理及智能分析系统建设项目）：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广东省财政厅关于进一步规范政府采购活动中落实促进中小企业发展政策的通知》要求自行判定是否属于软件和信息技术服务业的中小微企业，符合中小微类型的方可参与本项目的投标； 2）本项目属于服务类项目，采购标的对应的中小企业划分标准所属行业为：软件和信息技术服务业；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采购包1（中山市人民医院医院综合数据管理及智能分析系统建设项目）：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投标报价是固定且是唯一的，报价要求及报价形式符合招标文件要求，未超过本项目采购预算总金额，或符合其他异常低价评审不通过情形。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采购包1(中山市人民医院医院综合数据管理及智能分析系统建设项目):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技术部分72.0分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对招标文件第二章《采购需求》中的“具体技术(参数)要求”条款的响应情况 (28.0分)</w:t>
            </w:r>
          </w:p>
        </w:tc>
        <w:tc>
          <w:tcPr>
            <w:tcW w:type="dxa" w:w="5076"/>
          </w:tcPr>
          <w:p>
            <w:pPr>
              <w:pStyle w:val="null3"/>
              <w:jc w:val="left"/>
            </w:pPr>
            <w:r>
              <w:rPr/>
              <w:t>考核投标人对招标文件第二章《采购需求》中具体技术(参数)要求“一、软件功能及参数清单”（★号条款除外，条款详见采购公告附件《具体技术（参数）要求》）”中所有条款的响应程度（每条条款最小一级序号均以一项计算）： 1.完全响应技术要求的，得28分； 2.本项目“▲”条款参数共34条。按量化指标，评审分数按以下公式进行计算： 优于或完全响应的参数数量/“▲”条款参数总数量*10分=“▲”条款参数得分（得分按四舍五入保留两位小数）；本小项共10分； 3.本项目非“▲”条款参数共416条。按量化指标，评审分数按以下公式进行计算： 优于或完全响应的参数数量/非“▲”条款参数总数量*18分=非“▲”条款参数得分（得分按四舍五入保留两位小数）。本小项共18分。 注：（1）评审依据以投标人投标文件中响应表填写内容为准，未填写的视为负偏离； （2）以上“▲”条款参数均需要提供系统截图等具体证明资料并加盖公章，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根据项目采购需求情况，对投标人提供的总体实施方案（包括但不限于进度计划、安装调试、培训计划等）进行评审： 1.方案内容详细，有明确详细的计划和步骤，有合理可行的进度计划，培训计划合理可行，优于采购需求的，得10分； 2.方案内容较详细，有较详细的计划和步骤，有较合理可行的进度计划，培训计划较可行，满足采购需求的，得5.5分； 3.方案内容基本详细，有简单的计划和步骤，有进度计划，培训计划基本可行，不能满足采购需求的，得1分； 4.未提供方案或方案不符合要求的，得0分。</w:t>
            </w:r>
          </w:p>
        </w:tc>
      </w:tr>
      <w:tr>
        <w:tc>
          <w:tcPr>
            <w:tcW w:type="dxa" w:w="922"/>
            <w:gridSpan w:val="2"/>
            <w:vMerge/>
          </w:tcPr>
          <w:p/>
        </w:tc>
        <w:tc>
          <w:tcPr>
            <w:tcW w:type="dxa" w:w="2307"/>
          </w:tcPr>
          <w:p>
            <w:pPr>
              <w:pStyle w:val="null3"/>
              <w:jc w:val="left"/>
            </w:pPr>
            <w:r>
              <w:rPr/>
              <w:t>系统整体设计方案及应用案例实力 (10.0分)</w:t>
            </w:r>
          </w:p>
        </w:tc>
        <w:tc>
          <w:tcPr>
            <w:tcW w:type="dxa" w:w="5076"/>
          </w:tcPr>
          <w:p>
            <w:pPr>
              <w:pStyle w:val="null3"/>
              <w:jc w:val="left"/>
            </w:pPr>
            <w:r>
              <w:rPr/>
              <w:t>根据投标人提供的系统整体设计方案是否针对本项目的建设思路和需要解决的问题详细分析，并做出详细的方案说明、投标人过往应用案例介绍等进行综合评审： 1.系统整体设计方案完整、条理清晰、图文结合、可读性强，架构先进、合理，功能模块完整，软件细节功能均满足需求，提供的系统成功实施案例能体现其经验实力非常强，得10分； 2.系统整体设计方案较完整、条理较清晰、图文结合、具有可读性，架构较先进、合理，功能模块较完整，软件细节功能基本满足需求，提供的系统成功实施案例体现其经验实力比较强，得5.5分； 3.系统整体设计方案缺少完整性、条理不清晰，可读性、架构一般，功能模块缺少完整性，软件细节功不能满足需求，提供的系统成功实施案例体现其经验实力比较弱，得1分； 4.未提供方案和案例介绍的，不得分。</w:t>
            </w:r>
          </w:p>
        </w:tc>
      </w:tr>
      <w:tr>
        <w:tc>
          <w:tcPr>
            <w:tcW w:type="dxa" w:w="922"/>
            <w:gridSpan w:val="2"/>
            <w:vMerge/>
          </w:tcPr>
          <w:p/>
        </w:tc>
        <w:tc>
          <w:tcPr>
            <w:tcW w:type="dxa" w:w="2307"/>
          </w:tcPr>
          <w:p>
            <w:pPr>
              <w:pStyle w:val="null3"/>
              <w:jc w:val="left"/>
            </w:pPr>
            <w:r>
              <w:rPr/>
              <w:t>维保服务方案 (8.0分)</w:t>
            </w:r>
          </w:p>
        </w:tc>
        <w:tc>
          <w:tcPr>
            <w:tcW w:type="dxa" w:w="5076"/>
          </w:tcPr>
          <w:p>
            <w:pPr>
              <w:pStyle w:val="null3"/>
              <w:jc w:val="left"/>
            </w:pPr>
            <w:r>
              <w:rPr/>
              <w:t>根据投标人针对本项目制定的维保服务方案（包括但不限于维保工作计划、软件检测（查）方案、服务响应时间等）进行评审： 1.投标人提供的维保工作计划详细具体，软件检测（查）方案全面完善，服务响应时间快，契合本项目服务要求，优于项目采购需求的，得8分； 2.投标人提供的维保工作计划较为详细具体，软件检测（查）方案较为完善，服务响应时间较快，较为契合本项目服务要求，满足项目采购需求的，得4.5分； 3.投标人提供的维保工作计划简易，软件检测（查）方案内容欠缺，服务响应时间慢，部分契合本项目服务要求，不能满足项目采购需求的，得1分； 4.未提供方案或方案不符合要求的，得0 分。</w:t>
            </w:r>
          </w:p>
        </w:tc>
      </w:tr>
      <w:tr>
        <w:tc>
          <w:tcPr>
            <w:tcW w:type="dxa" w:w="922"/>
            <w:gridSpan w:val="2"/>
            <w:vMerge/>
          </w:tcPr>
          <w:p/>
        </w:tc>
        <w:tc>
          <w:tcPr>
            <w:tcW w:type="dxa" w:w="2307"/>
          </w:tcPr>
          <w:p>
            <w:pPr>
              <w:pStyle w:val="null3"/>
              <w:jc w:val="left"/>
            </w:pPr>
            <w:r>
              <w:rPr/>
              <w:t>质量保障方案 (8.0分)</w:t>
            </w:r>
          </w:p>
        </w:tc>
        <w:tc>
          <w:tcPr>
            <w:tcW w:type="dxa" w:w="5076"/>
          </w:tcPr>
          <w:p>
            <w:pPr>
              <w:pStyle w:val="null3"/>
              <w:jc w:val="left"/>
            </w:pPr>
            <w:r>
              <w:rPr/>
              <w:t>根据投标人针对本项目提供的质量保障方案（包括但不限于质量管理目标、质量管理的风险预防和应对措施等）进行评审： 1.投标人提供的质量保障方案详细具体，质量管理目标明确，质量管理的风险预防和应对措施全面完善，可行性强，得8分； 2.投标人提供的质量保障方案较为详细具体，质量管理目标较为明确，质量管理的风险预防和应对措施较为全面完善，可行性较强，得4.5分； 3.投标人提供的质量保障方案较为简易，质量管理目标不明确，质量管理的风险预防和应对措施可行性较弱，得1分； 4.未提供方案或方案不符合要求的，得0分。</w:t>
            </w:r>
          </w:p>
        </w:tc>
      </w:tr>
      <w:tr>
        <w:tc>
          <w:tcPr>
            <w:tcW w:type="dxa" w:w="922"/>
            <w:gridSpan w:val="2"/>
            <w:vMerge/>
          </w:tcPr>
          <w:p/>
        </w:tc>
        <w:tc>
          <w:tcPr>
            <w:tcW w:type="dxa" w:w="2307"/>
          </w:tcPr>
          <w:p>
            <w:pPr>
              <w:pStyle w:val="null3"/>
              <w:jc w:val="left"/>
            </w:pPr>
            <w:r>
              <w:rPr/>
              <w:t>应急处理方案 (8.0分)</w:t>
            </w:r>
          </w:p>
        </w:tc>
        <w:tc>
          <w:tcPr>
            <w:tcW w:type="dxa" w:w="5076"/>
          </w:tcPr>
          <w:p>
            <w:pPr>
              <w:pStyle w:val="null3"/>
              <w:jc w:val="left"/>
            </w:pPr>
            <w:r>
              <w:rPr/>
              <w:t>根据投标人针对本项目提供的应急处理服务方案（包括但不限于人员调配、问题诊断、故障解决等）进行评审： 1.对项目发生突发事件的处理原则、流程、方法等制定有针对性强和可操作性高的应急处理预案，得8分； 2.对项目发生突发事件的处理原则、流程、方法等制定有针对性一般和可操作性中等的应急处理预案，得4.5分； 3.对项目发生突发事件的处理原则、流程、方法等无制定有针对性弱和可操作性低的应急处理预案，得1分； 4.未提供方案或方案不符合要求的，得0分。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评标委员会应根据投标人提供的同类项目业绩情况进行评审：2022年1月1日以来（以合同（协议）签订日期或合同（协议）约定生效日期或履约期限为准）投标人承接的同类项目业绩，按以下要求提供1个同类项目业绩得2分，最多得8分。 注：（1）投标文件中提供相应的业绩证明材料复印件，业绩证明材料须清晰体现与本项目用户需求采购标的内容同类业绩要求，如评标委员会无法从所提供的材料中判断是否符合要求的，视为不符合；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根据投标人上述有效“同类项目业绩”情况，每提供一项评价结果为“优”或“满意”或同等级别的评价证明材料，得1分，本项最高得4分。 注：（1）提供对应项目的服务评价证明材料复印件（或扫描件）或扫描件（证明文件应有客户单位章，客户单位名称与合同一致）逐一附在以上业绩合同后作为评审依据。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拟投入项目团队情况 (2.0分)</w:t>
            </w:r>
          </w:p>
        </w:tc>
        <w:tc>
          <w:tcPr>
            <w:tcW w:type="dxa" w:w="5076"/>
          </w:tcPr>
          <w:p>
            <w:pPr>
              <w:pStyle w:val="null3"/>
              <w:jc w:val="left"/>
            </w:pPr>
            <w:r>
              <w:rPr/>
              <w:t>根据投标人提供的拟投入项目团队情况进行评审： 拟投入本项目项目团队人员（含项目经理）： 1.具有10年（含10年）以上医疗行业数据分析项目经验的，且具有数据治理类证书的，每提供1人得1分； 2.具有5年（含5年）以上10年以下医疗行业数据分析项目经验的，且具有数据治理类证书的，每提供1人得0.65分； 3.具有5年以下医疗行业数据分析项目经验的，且具有数据治理类证书的，每提供1人得0.3分； 4.本小项最高得2分。 注：（1）提供上述人员证书复印件和人员配置清单并加盖投标人公章； （2）提供人员工作经验承诺函（格式详见“第六章 投标文件格式与要求”格式十.承诺函，并加盖公章），不提供或不按要求递交承诺函的不得分。中标后采购人有权对人员承诺内容的真实性进行核实，如真实信息与承诺函信息不相符，则视为放弃中标资格； （3）投标人需提供以上人员的投标截止日前12个月内任意一个月在投标人单位的社保参保证明材料并加盖投标人公章； （4）若投标人未能提供以上人员社保参保证明的，可以在投标文件中提供相关承诺（承诺原件须盖公章，格式自行编制，承诺书内容包括但不限于以下内容：若我单位中标，合同签订时保证按投标文件中所承诺投入本项目的人员全部配备到位并提供所有人员的社保参保证明或劳动合同，否则视为我单位放弃中标资格）； （5）未提供或未按要求提供的，不得分。</w:t>
            </w:r>
          </w:p>
        </w:tc>
      </w:tr>
      <w:tr>
        <w:tc>
          <w:tcPr>
            <w:tcW w:type="dxa" w:w="922"/>
            <w:gridSpan w:val="2"/>
            <w:vMerge/>
          </w:tcPr>
          <w:p/>
        </w:tc>
        <w:tc>
          <w:tcPr>
            <w:tcW w:type="dxa" w:w="2307"/>
          </w:tcPr>
          <w:p>
            <w:pPr>
              <w:pStyle w:val="null3"/>
              <w:jc w:val="left"/>
            </w:pPr>
            <w:r>
              <w:rPr/>
              <w:t>软件研发能力 (4.0分)</w:t>
            </w:r>
          </w:p>
        </w:tc>
        <w:tc>
          <w:tcPr>
            <w:tcW w:type="dxa" w:w="5076"/>
          </w:tcPr>
          <w:p>
            <w:pPr>
              <w:pStyle w:val="null3"/>
              <w:jc w:val="left"/>
            </w:pPr>
            <w:r>
              <w:rPr/>
              <w:t>投标人或厂商具有与本项目建设内容相关的知识产权证书，包括：“医院等级评审、三级医院绩效考核、运营管理电子病历评审、运营管理和门诊分析”等数据决策分析类知识产权证书，每提供一个证书得1分，本项最高4分。 注:需提供有效期内的、包含以上字样或同等含义或内容的知识产权证书复印件，并加盖投标人的公章。未按要求提供的不得分。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150" w:after="150"/>
        <w:ind w:left="0" w:right="0"/>
        <w:jc w:val="both"/>
      </w:pPr>
      <w:r>
        <w:rPr>
          <w:sz w:val="27"/>
          <w:color w:val="222222"/>
        </w:rPr>
        <w:t xml:space="preserve"> </w:t>
      </w:r>
    </w:p>
    <w:p>
      <w:pPr>
        <w:pStyle w:val="null3"/>
        <w:jc w:val="center"/>
      </w:pPr>
      <w:r>
        <w:rPr>
          <w:sz w:val="52"/>
          <w:b/>
        </w:rPr>
        <w:t>中山市人民医院</w:t>
      </w:r>
    </w:p>
    <w:p>
      <w:pPr>
        <w:pStyle w:val="null3"/>
        <w:jc w:val="center"/>
      </w:pPr>
      <w:r>
        <w:rPr/>
        <w:t xml:space="preserve"> </w:t>
      </w:r>
    </w:p>
    <w:p>
      <w:pPr>
        <w:pStyle w:val="null3"/>
        <w:jc w:val="center"/>
      </w:pPr>
      <w:r>
        <w:rPr>
          <w:sz w:val="52"/>
          <w:b/>
        </w:rPr>
        <w:t>技术开发（委托）合同</w:t>
      </w:r>
    </w:p>
    <w:p>
      <w:pPr>
        <w:pStyle w:val="null3"/>
        <w:spacing w:before="0" w:after="0"/>
        <w:ind w:left="0" w:right="0"/>
        <w:jc w:val="center"/>
      </w:pPr>
      <w:r>
        <w:br/>
      </w:r>
    </w:p>
    <w:p>
      <w:pPr>
        <w:pStyle w:val="null3"/>
        <w:spacing w:before="0" w:after="0"/>
        <w:ind w:left="0" w:right="0"/>
        <w:jc w:val="center"/>
      </w:pPr>
      <w:r>
        <w:rPr>
          <w:sz w:val="24"/>
          <w:b/>
        </w:rPr>
        <w:t>(</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rPr>
          <w:sz w:val="27"/>
          <w:color w:val="222222"/>
        </w:rPr>
        <w:t xml:space="preserve"> </w:t>
      </w:r>
    </w:p>
    <w:p>
      <w:pPr>
        <w:pStyle w:val="null3"/>
        <w:spacing w:before="0" w:after="0"/>
        <w:ind w:left="0" w:right="0"/>
        <w:jc w:val="center"/>
        <w:outlineLvl w:val="0"/>
      </w:pPr>
      <w:r>
        <w:rPr>
          <w:sz w:val="32"/>
          <w:b/>
        </w:rPr>
        <w:t>采购项目：</w:t>
      </w:r>
      <w:r>
        <w:rPr>
          <w:sz w:val="32"/>
          <w:b/>
        </w:rPr>
        <w:t>${项目名称}</w:t>
      </w:r>
    </w:p>
    <w:p>
      <w:pPr>
        <w:pStyle w:val="null3"/>
        <w:spacing w:before="345" w:after="330"/>
        <w:jc w:val="left"/>
        <w:outlineLvl w:val="0"/>
      </w:pPr>
      <w:r>
        <w:rPr>
          <w:sz w:val="32"/>
          <w:b/>
        </w:rPr>
        <w:t>甲方：中山市人民医院</w:t>
      </w:r>
    </w:p>
    <w:p>
      <w:pPr>
        <w:pStyle w:val="null3"/>
        <w:spacing w:before="345" w:after="330"/>
        <w:jc w:val="left"/>
        <w:outlineLvl w:val="0"/>
      </w:pPr>
      <w:r>
        <w:rPr>
          <w:sz w:val="32"/>
          <w:b/>
        </w:rPr>
        <w:t>乙方：</w:t>
      </w:r>
      <w:r>
        <w:rPr>
          <w:sz w:val="32"/>
          <w:b/>
        </w:rPr>
        <w:t>${乙方全称}</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jc w:val="center"/>
        <w:outlineLvl w:val="0"/>
      </w:pPr>
      <w:r>
        <w:rPr>
          <w:sz w:val="44"/>
          <w:b/>
        </w:rPr>
        <w:t>技术开发（委托）合同</w:t>
      </w:r>
    </w:p>
    <w:p>
      <w:pPr>
        <w:pStyle w:val="null3"/>
        <w:jc w:val="both"/>
      </w:pPr>
      <w:r>
        <w:rPr>
          <w:sz w:val="30"/>
          <w:b/>
        </w:rPr>
        <w:t>甲方：</w:t>
      </w:r>
      <w:r>
        <w:rPr>
          <w:sz w:val="30"/>
          <w:b/>
        </w:rPr>
        <w:t>中山市人民医院</w:t>
      </w:r>
      <w:r>
        <w:rPr>
          <w:sz w:val="30"/>
          <w:b/>
        </w:rPr>
        <w:t xml:space="preserve">           </w:t>
      </w:r>
      <w:r>
        <w:rPr>
          <w:sz w:val="30"/>
          <w:b/>
        </w:rPr>
        <w:t>签订地：</w:t>
      </w:r>
      <w:r>
        <w:rPr>
          <w:sz w:val="30"/>
          <w:b/>
        </w:rPr>
        <w:t xml:space="preserve">${合同签订地}                 </w:t>
      </w:r>
    </w:p>
    <w:p>
      <w:pPr>
        <w:pStyle w:val="null3"/>
        <w:jc w:val="both"/>
      </w:pPr>
      <w:r>
        <w:rPr>
          <w:sz w:val="30"/>
          <w:b/>
        </w:rPr>
        <w:t>乙方：</w:t>
      </w:r>
      <w:r>
        <w:rPr>
          <w:sz w:val="30"/>
          <w:b/>
        </w:rPr>
        <w:t xml:space="preserve">${乙方全称}                 </w:t>
      </w:r>
    </w:p>
    <w:p>
      <w:pPr>
        <w:pStyle w:val="null3"/>
        <w:ind w:firstLine="480"/>
        <w:jc w:val="both"/>
      </w:pPr>
      <w:r>
        <w:rPr>
          <w:sz w:val="24"/>
        </w:rPr>
        <w:t>本合同甲方采购乙方</w:t>
      </w:r>
      <w:r>
        <w:rPr>
          <w:sz w:val="24"/>
        </w:rPr>
        <w:t>“</w:t>
      </w:r>
      <w:r>
        <w:rPr>
          <w:sz w:val="24"/>
          <w:u w:val="single"/>
        </w:rPr>
        <w:t>中山市人民医院医院综合数据管理及智能分析系统建设项目</w:t>
      </w:r>
      <w:r>
        <w:rPr>
          <w:sz w:val="24"/>
        </w:rPr>
        <w:t>”，甲方委托乙方开展中山市人民医院</w:t>
      </w:r>
      <w:r>
        <w:rPr>
          <w:sz w:val="24"/>
          <w:u w:val="single"/>
        </w:rPr>
        <w:t>医院综合数据管理及智能分析系统建设项目</w:t>
      </w:r>
      <w:r>
        <w:rPr>
          <w:sz w:val="24"/>
        </w:rPr>
        <w:t>的开发和实施，并支付软件产品费用，开发实施费用和报酬，乙方接受委托并进行此项实施工作。双方经过平等协商，在真实、充分地表达各自意愿的基础上，根据《中华人民共和国民法典》</w:t>
      </w:r>
      <w:r>
        <w:rPr>
          <w:sz w:val="24"/>
          <w:color w:val="000000"/>
        </w:rPr>
        <w:t>《中华人民共和国政府采购法》等相关法律、法规</w:t>
      </w:r>
      <w:r>
        <w:rPr>
          <w:sz w:val="24"/>
        </w:rPr>
        <w:t>的规定，达成如下协议，并由双方共同恪守。</w:t>
      </w:r>
    </w:p>
    <w:p>
      <w:pPr>
        <w:pStyle w:val="null3"/>
        <w:ind w:left="480"/>
        <w:jc w:val="both"/>
      </w:pPr>
      <w:r>
        <w:rPr>
          <w:sz w:val="24"/>
          <w:b/>
        </w:rPr>
        <w:t>第一条</w:t>
      </w:r>
      <w:r>
        <w:rPr>
          <w:sz w:val="24"/>
          <w:b/>
        </w:rPr>
        <w:t>建设内容</w:t>
      </w:r>
    </w:p>
    <w:p>
      <w:pPr>
        <w:pStyle w:val="null3"/>
        <w:ind w:firstLine="472"/>
        <w:jc w:val="both"/>
      </w:pPr>
      <w:r>
        <w:rPr>
          <w:sz w:val="24"/>
          <w:b/>
        </w:rPr>
        <w:t>1.项目范围</w:t>
      </w:r>
    </w:p>
    <w:p>
      <w:pPr>
        <w:pStyle w:val="null3"/>
        <w:ind w:firstLine="480"/>
        <w:jc w:val="both"/>
      </w:pPr>
      <w:r>
        <w:rPr>
          <w:sz w:val="24"/>
        </w:rPr>
        <w:t>本合同所界定的项目建设是指中山市人民医院</w:t>
      </w:r>
      <w:r>
        <w:rPr>
          <w:sz w:val="24"/>
          <w:u w:val="single"/>
        </w:rPr>
        <w:t xml:space="preserve"> </w:t>
      </w:r>
      <w:r>
        <w:rPr>
          <w:sz w:val="24"/>
          <w:u w:val="single"/>
        </w:rPr>
        <w:t>医院综合数据管理及智能分析系统建设项目</w:t>
      </w:r>
      <w:r>
        <w:rPr>
          <w:sz w:val="24"/>
        </w:rPr>
        <w:t>开发的设计安装、调试、免费培训、技术支持、客户化开发及验收合格之日起为期</w:t>
      </w:r>
      <w:r>
        <w:rPr>
          <w:sz w:val="21"/>
          <w:u w:val="single"/>
        </w:rPr>
        <w:t xml:space="preserve">     </w:t>
      </w:r>
      <w:r>
        <w:rPr>
          <w:sz w:val="24"/>
        </w:rPr>
        <w:t>年的免费维护服务（包括远程维护、电话指导、现场维护等）和终身有偿维护服务。</w:t>
      </w:r>
    </w:p>
    <w:p>
      <w:pPr>
        <w:pStyle w:val="null3"/>
        <w:ind w:firstLine="480"/>
        <w:jc w:val="both"/>
      </w:pPr>
      <w:r>
        <w:rPr>
          <w:sz w:val="24"/>
        </w:rPr>
        <w:t>项目建设范围：</w:t>
      </w:r>
      <w:r>
        <w:rPr>
          <w:sz w:val="24"/>
          <w:color w:val="000000"/>
          <w:u w:val="single"/>
        </w:rPr>
        <w:t xml:space="preserve"> </w:t>
      </w:r>
      <w:r>
        <w:rPr>
          <w:sz w:val="24"/>
          <w:color w:val="000000"/>
          <w:u w:val="single"/>
        </w:rPr>
        <w:t>详见附件</w:t>
      </w:r>
      <w:r>
        <w:rPr>
          <w:sz w:val="24"/>
          <w:color w:val="000000"/>
          <w:u w:val="single"/>
        </w:rPr>
        <w:t xml:space="preserve">1 </w:t>
      </w:r>
      <w:r>
        <w:rPr>
          <w:sz w:val="24"/>
        </w:rPr>
        <w:t>。系统与第三方公司对接接口无需另外支付费用，但不包括第三方收取的接口费用。</w:t>
      </w:r>
    </w:p>
    <w:p>
      <w:pPr>
        <w:pStyle w:val="null3"/>
        <w:ind w:firstLine="480"/>
        <w:jc w:val="both"/>
      </w:pPr>
      <w:r>
        <w:rPr>
          <w:sz w:val="24"/>
        </w:rPr>
        <w:t>产品实施范围包含：</w:t>
      </w:r>
      <w:r>
        <w:rPr>
          <w:sz w:val="21"/>
          <w:u w:val="single"/>
        </w:rPr>
        <w:t xml:space="preserve"> </w:t>
      </w:r>
      <w:r>
        <w:rPr>
          <w:sz w:val="24"/>
          <w:color w:val="000000"/>
          <w:u w:val="single"/>
        </w:rPr>
        <w:t>详见附件</w:t>
      </w:r>
      <w:r>
        <w:rPr>
          <w:sz w:val="24"/>
          <w:color w:val="000000"/>
          <w:u w:val="single"/>
        </w:rPr>
        <w:t>1</w:t>
      </w:r>
      <w:r>
        <w:rPr>
          <w:sz w:val="21"/>
          <w:u w:val="single"/>
        </w:rPr>
        <w:t xml:space="preserve"> </w:t>
      </w:r>
      <w:r>
        <w:rPr>
          <w:sz w:val="24"/>
        </w:rPr>
        <w:t>。如果当前产品与医院实际情况和要求有不一致地方，在产品招标所列功能范围内乙方安排研发团队为医院定制研发产品，保质保量按期限完成验收。</w:t>
      </w:r>
    </w:p>
    <w:p>
      <w:pPr>
        <w:pStyle w:val="null3"/>
        <w:ind w:firstLine="480"/>
        <w:jc w:val="both"/>
      </w:pPr>
      <w:r>
        <w:rPr>
          <w:sz w:val="24"/>
        </w:rPr>
        <w:t>接口对接项目和要求：本项目费用包含且不限于全面与大数据平台（集成平台）的标准对接，以及开放接口给其它有需要的系统调用。</w:t>
      </w:r>
    </w:p>
    <w:p>
      <w:pPr>
        <w:pStyle w:val="null3"/>
        <w:ind w:firstLine="480"/>
        <w:jc w:val="both"/>
      </w:pPr>
      <w:r>
        <w:rPr>
          <w:sz w:val="24"/>
        </w:rPr>
        <w:t>项目建设范围，建设内容，建设要求详细见招标文件，以招标文件为准。</w:t>
      </w:r>
    </w:p>
    <w:p>
      <w:pPr>
        <w:pStyle w:val="null3"/>
        <w:ind w:firstLine="480"/>
        <w:jc w:val="both"/>
      </w:pPr>
      <w:r>
        <w:rPr>
          <w:sz w:val="24"/>
          <w:b/>
        </w:rPr>
        <w:t>2.项目管理</w:t>
      </w:r>
    </w:p>
    <w:p>
      <w:pPr>
        <w:pStyle w:val="null3"/>
        <w:ind w:firstLine="480"/>
        <w:jc w:val="both"/>
      </w:pPr>
      <w:r>
        <w:rPr>
          <w:sz w:val="24"/>
        </w:rPr>
        <w:t>双方</w:t>
      </w:r>
      <w:r>
        <w:rPr>
          <w:sz w:val="24"/>
        </w:rPr>
        <w:t>指派代表组成本</w:t>
      </w:r>
      <w:r>
        <w:rPr>
          <w:sz w:val="24"/>
        </w:rPr>
        <w:t>项目</w:t>
      </w:r>
      <w:r>
        <w:rPr>
          <w:sz w:val="24"/>
        </w:rPr>
        <w:t>管理小组，管理本</w:t>
      </w:r>
      <w:r>
        <w:rPr>
          <w:sz w:val="24"/>
        </w:rPr>
        <w:t>项目</w:t>
      </w:r>
      <w:r>
        <w:rPr>
          <w:sz w:val="24"/>
        </w:rPr>
        <w:t>的开发</w:t>
      </w:r>
      <w:r>
        <w:rPr>
          <w:sz w:val="24"/>
        </w:rPr>
        <w:t>和实施</w:t>
      </w:r>
      <w:r>
        <w:rPr>
          <w:sz w:val="24"/>
        </w:rPr>
        <w:t>。</w:t>
      </w:r>
      <w:r>
        <w:rPr>
          <w:sz w:val="24"/>
        </w:rPr>
        <w:t>双方</w:t>
      </w:r>
      <w:r>
        <w:rPr>
          <w:sz w:val="24"/>
        </w:rPr>
        <w:t>可以根据具体情况重新指定本方的管理小组的成员，但应当以书面方式通知另一方；如</w:t>
      </w:r>
      <w:r>
        <w:rPr>
          <w:sz w:val="24"/>
        </w:rPr>
        <w:t>乙方</w:t>
      </w:r>
      <w:r>
        <w:rPr>
          <w:sz w:val="24"/>
        </w:rPr>
        <w:t>重新指定的小组成员涉及到本项目的重要方面，</w:t>
      </w:r>
      <w:r>
        <w:rPr>
          <w:sz w:val="24"/>
        </w:rPr>
        <w:t>乙</w:t>
      </w:r>
      <w:r>
        <w:rPr>
          <w:sz w:val="24"/>
        </w:rPr>
        <w:t>方应事先征得</w:t>
      </w:r>
      <w:r>
        <w:rPr>
          <w:sz w:val="24"/>
        </w:rPr>
        <w:t>甲方</w:t>
      </w:r>
      <w:r>
        <w:rPr>
          <w:sz w:val="24"/>
        </w:rPr>
        <w:t>的书面同意。</w:t>
      </w:r>
      <w:r>
        <w:rPr>
          <w:sz w:val="24"/>
        </w:rPr>
        <w:t>若甲方认为乙方管理小组的成员无法实现合同条款义务的，有权以书面方式通知乙方更换指定成员。</w:t>
      </w:r>
    </w:p>
    <w:p>
      <w:pPr>
        <w:pStyle w:val="null3"/>
        <w:ind w:firstLine="480"/>
        <w:jc w:val="both"/>
      </w:pPr>
      <w:r>
        <w:rPr>
          <w:sz w:val="24"/>
          <w:b/>
        </w:rPr>
        <w:t>3.项目实施</w:t>
      </w:r>
    </w:p>
    <w:p>
      <w:pPr>
        <w:pStyle w:val="null3"/>
        <w:ind w:firstLine="480"/>
        <w:jc w:val="both"/>
      </w:pPr>
      <w:r>
        <w:rPr>
          <w:sz w:val="24"/>
        </w:rPr>
        <w:t>本合同签订、项目进场后，乙方根据项目需求和甲方实际情况，</w:t>
      </w:r>
      <w:r>
        <w:rPr>
          <w:sz w:val="24"/>
          <w:u w:val="single"/>
        </w:rPr>
        <w:t xml:space="preserve">${项目实施计划工作日} </w:t>
      </w:r>
      <w:r>
        <w:rPr>
          <w:sz w:val="24"/>
        </w:rPr>
        <w:t>个工作日内编制具体的项目实施计划书提交甲方，甲方应在</w:t>
      </w:r>
      <w:r>
        <w:rPr>
          <w:sz w:val="24"/>
          <w:u w:val="single"/>
        </w:rPr>
        <w:t xml:space="preserve"> </w:t>
      </w:r>
      <w:r>
        <w:rPr>
          <w:sz w:val="24"/>
          <w:u w:val="single"/>
        </w:rPr>
        <w:t xml:space="preserve">${确认或修改的回复时间} </w:t>
      </w:r>
      <w:r>
        <w:rPr>
          <w:sz w:val="24"/>
        </w:rPr>
        <w:t>个工作日内予以书面确认或提出书面修改意见。该项目实施计划书由甲、乙双方书面确认后作为项目实施文件，由甲、乙双方项目经理各自保存。</w:t>
      </w:r>
    </w:p>
    <w:p>
      <w:pPr>
        <w:pStyle w:val="null3"/>
        <w:ind w:firstLine="480"/>
        <w:jc w:val="both"/>
      </w:pPr>
      <w:r>
        <w:rPr>
          <w:sz w:val="24"/>
        </w:rPr>
        <w:t>乙方在实施过程中，应按照软件工程、信息系统项目管理的标准方式，提供操作文档和系统说明，使整个软件项目工程实施过程标准可控</w:t>
      </w:r>
      <w:r>
        <w:rPr>
          <w:sz w:val="24"/>
        </w:rPr>
        <w:t>。</w:t>
      </w:r>
    </w:p>
    <w:p>
      <w:pPr>
        <w:pStyle w:val="null3"/>
        <w:ind w:firstLine="480"/>
        <w:jc w:val="both"/>
      </w:pPr>
      <w:r>
        <w:rPr>
          <w:sz w:val="24"/>
          <w:b/>
        </w:rPr>
        <w:t>4.建设工期</w:t>
      </w:r>
    </w:p>
    <w:p>
      <w:pPr>
        <w:pStyle w:val="null3"/>
        <w:ind w:firstLine="470"/>
        <w:jc w:val="both"/>
      </w:pPr>
      <w:r>
        <w:rPr>
          <w:sz w:val="24"/>
        </w:rPr>
        <w:t>项目需要在合同签订后，</w:t>
      </w:r>
      <w:r>
        <w:rPr>
          <w:sz w:val="24"/>
          <w:u w:val="single"/>
        </w:rPr>
        <w:t>12</w:t>
      </w:r>
      <w:r>
        <w:rPr>
          <w:sz w:val="24"/>
        </w:rPr>
        <w:t>个月内完成系统开发、测试、运行等全部工作。乙方应提供详尽的系统实施计划和方案。如遇下列情况，工期应相应顺延：</w:t>
      </w:r>
    </w:p>
    <w:p>
      <w:pPr>
        <w:pStyle w:val="null3"/>
        <w:ind w:firstLine="480"/>
        <w:jc w:val="both"/>
      </w:pPr>
      <w:r>
        <w:rPr>
          <w:sz w:val="24"/>
        </w:rPr>
        <w:t>（</w:t>
      </w:r>
      <w:r>
        <w:rPr>
          <w:sz w:val="24"/>
        </w:rPr>
        <w:t>1）由于甲方或最终用户方原因（包括甲方未按合同规定付款，甲方或最终用户方未能按要求和工程进度安排配合乙方完成人员培训、基础数据准备工作，未能按时完成场地环境和硬件网络环境的准备等，未能及时确认应用软件系统的客户化需求或针对同一问题反复提出客户化需求，未能及时、有效的协调第三方软件公司配合乙方接口开发工作等）而造成的工期延误。</w:t>
      </w:r>
    </w:p>
    <w:p>
      <w:pPr>
        <w:pStyle w:val="null3"/>
        <w:ind w:firstLine="480"/>
        <w:jc w:val="both"/>
      </w:pPr>
      <w:r>
        <w:rPr>
          <w:sz w:val="24"/>
        </w:rPr>
        <w:t>（</w:t>
      </w:r>
      <w:r>
        <w:rPr>
          <w:sz w:val="24"/>
        </w:rPr>
        <w:t>2）人力不可抗拒的因素而延误工期。</w:t>
      </w:r>
    </w:p>
    <w:p>
      <w:pPr>
        <w:pStyle w:val="null3"/>
        <w:ind w:firstLine="480"/>
        <w:jc w:val="both"/>
      </w:pPr>
      <w:r>
        <w:rPr>
          <w:sz w:val="24"/>
        </w:rPr>
        <w:t>（</w:t>
      </w:r>
      <w:r>
        <w:rPr>
          <w:sz w:val="24"/>
        </w:rPr>
        <w:t>3）双方协商认可的工程延期，双方可另行协商工期。</w:t>
      </w:r>
    </w:p>
    <w:p>
      <w:pPr>
        <w:pStyle w:val="null3"/>
        <w:ind w:firstLine="480"/>
        <w:jc w:val="both"/>
      </w:pPr>
      <w:r>
        <w:rPr>
          <w:sz w:val="24"/>
          <w:b/>
        </w:rPr>
        <w:t>第二条</w:t>
      </w:r>
      <w:r>
        <w:rPr>
          <w:sz w:val="24"/>
          <w:b/>
        </w:rPr>
        <w:t>合同价格</w:t>
      </w:r>
    </w:p>
    <w:p>
      <w:pPr>
        <w:pStyle w:val="null3"/>
        <w:ind w:firstLine="480"/>
        <w:jc w:val="both"/>
      </w:pPr>
      <w:r>
        <w:rPr>
          <w:sz w:val="24"/>
        </w:rPr>
        <w:t>本合同总价为（大写）人</w:t>
      </w:r>
      <w:r>
        <w:rPr>
          <w:sz w:val="24"/>
          <w:color w:val="000000"/>
        </w:rPr>
        <w:t>民币</w:t>
      </w:r>
      <w:r>
        <w:rPr>
          <w:sz w:val="24"/>
          <w:color w:val="000000"/>
          <w:u w:val="single"/>
        </w:rPr>
        <w:t>${总价金额大写}</w:t>
      </w:r>
      <w:r>
        <w:rPr>
          <w:sz w:val="24"/>
          <w:color w:val="000000"/>
        </w:rPr>
        <w:t>（小写：</w:t>
      </w:r>
      <w:r>
        <w:rPr>
          <w:sz w:val="24"/>
          <w:color w:val="000000"/>
          <w:u w:val="single"/>
        </w:rPr>
        <w:t>￥</w:t>
      </w:r>
      <w:r>
        <w:rPr>
          <w:sz w:val="24"/>
          <w:color w:val="000000"/>
          <w:u w:val="single"/>
        </w:rPr>
        <w:t>${总价金额小写}）</w:t>
      </w:r>
      <w:r>
        <w:rPr>
          <w:sz w:val="24"/>
          <w:color w:val="000000"/>
        </w:rPr>
        <w:t>。合同总价为含税的全包费用，</w:t>
      </w:r>
      <w:r>
        <w:rPr>
          <w:sz w:val="24"/>
        </w:rPr>
        <w:t>在合同执行期间，合同总金额不变。</w:t>
      </w:r>
    </w:p>
    <w:p>
      <w:pPr>
        <w:pStyle w:val="null3"/>
        <w:ind w:firstLine="482"/>
        <w:jc w:val="both"/>
      </w:pPr>
      <w:r>
        <w:rPr>
          <w:sz w:val="24"/>
          <w:b/>
        </w:rPr>
        <w:t>第三条</w:t>
      </w:r>
      <w:r>
        <w:rPr>
          <w:sz w:val="24"/>
          <w:b/>
        </w:rPr>
        <w:t>付款条款</w:t>
      </w:r>
    </w:p>
    <w:p>
      <w:pPr>
        <w:pStyle w:val="null3"/>
        <w:ind w:firstLine="480"/>
        <w:jc w:val="both"/>
      </w:pPr>
      <w:r>
        <w:rPr>
          <w:sz w:val="24"/>
        </w:rPr>
        <w:t>1.按三阶段验收情况结算款项，甲方根据乙方完成的工作量情况按医院提供的1</w:t>
      </w:r>
      <w:r>
        <w:rPr>
          <w:sz w:val="24"/>
        </w:rPr>
        <w:t>0</w:t>
      </w:r>
      <w:r>
        <w:rPr>
          <w:sz w:val="24"/>
        </w:rPr>
        <w:t>个建设模块的权重比例和建设进度计划分三阶段验收并支付合同款项；验收合格并交付使用后，乙方提供以下资料申请付款：（</w:t>
      </w:r>
      <w:r>
        <w:rPr>
          <w:sz w:val="24"/>
        </w:rPr>
        <w:t>1）中标通知书；（2）合同；（3）符合甲方财务要求的等额发票；（4）经双方签字确认的验收报告。经甲方核实无误后，30个日历天内向乙方支付款项。</w:t>
      </w:r>
    </w:p>
    <w:p>
      <w:pPr>
        <w:pStyle w:val="null3"/>
        <w:ind w:firstLine="480"/>
        <w:jc w:val="both"/>
      </w:pPr>
      <w:r>
        <w:rPr>
          <w:sz w:val="24"/>
        </w:rPr>
        <w:t>2.甲方付款采用银行转帐或电汇方式。</w:t>
      </w:r>
    </w:p>
    <w:p>
      <w:pPr>
        <w:pStyle w:val="null3"/>
        <w:jc w:val="both"/>
      </w:pPr>
      <w:r>
        <w:rPr>
          <w:sz w:val="24"/>
          <w:b/>
        </w:rPr>
        <w:t>第四条</w:t>
      </w:r>
      <w:r>
        <w:rPr>
          <w:sz w:val="24"/>
          <w:b/>
        </w:rPr>
        <w:t>责任义务</w:t>
      </w:r>
    </w:p>
    <w:p>
      <w:pPr>
        <w:pStyle w:val="null3"/>
        <w:ind w:firstLine="472"/>
        <w:jc w:val="both"/>
      </w:pPr>
      <w:r>
        <w:rPr>
          <w:sz w:val="24"/>
          <w:b/>
        </w:rPr>
        <w:t>1.甲方义务</w:t>
      </w:r>
    </w:p>
    <w:p>
      <w:pPr>
        <w:pStyle w:val="null3"/>
        <w:ind w:firstLine="470"/>
        <w:jc w:val="both"/>
      </w:pPr>
      <w:r>
        <w:rPr>
          <w:sz w:val="24"/>
        </w:rPr>
        <w:t>（</w:t>
      </w:r>
      <w:r>
        <w:rPr>
          <w:sz w:val="24"/>
        </w:rPr>
        <w:t>1）</w:t>
      </w:r>
      <w:r>
        <w:rPr>
          <w:sz w:val="24"/>
        </w:rPr>
        <w:t>成立项目工作组</w:t>
      </w:r>
      <w:r>
        <w:rPr>
          <w:sz w:val="24"/>
        </w:rPr>
        <w:t>，</w:t>
      </w:r>
      <w:r>
        <w:rPr>
          <w:sz w:val="24"/>
        </w:rPr>
        <w:t>指定</w:t>
      </w:r>
      <w:r>
        <w:rPr>
          <w:sz w:val="24"/>
        </w:rPr>
        <w:t>1</w:t>
      </w:r>
      <w:r>
        <w:rPr>
          <w:sz w:val="24"/>
        </w:rPr>
        <w:t>名项目负责人，负责项目实施过程</w:t>
      </w:r>
      <w:r>
        <w:rPr>
          <w:sz w:val="24"/>
        </w:rPr>
        <w:t>中</w:t>
      </w:r>
      <w:r>
        <w:rPr>
          <w:sz w:val="24"/>
        </w:rPr>
        <w:t>与</w:t>
      </w:r>
      <w:r>
        <w:rPr>
          <w:sz w:val="24"/>
        </w:rPr>
        <w:t>本</w:t>
      </w:r>
      <w:r>
        <w:rPr>
          <w:sz w:val="24"/>
        </w:rPr>
        <w:t>方内部各部门及乙方</w:t>
      </w:r>
      <w:r>
        <w:rPr>
          <w:sz w:val="24"/>
        </w:rPr>
        <w:t>的</w:t>
      </w:r>
      <w:r>
        <w:rPr>
          <w:sz w:val="24"/>
        </w:rPr>
        <w:t>协调工作，及时准备和到位项目实施所需要的人员、</w:t>
      </w:r>
      <w:r>
        <w:rPr>
          <w:sz w:val="24"/>
        </w:rPr>
        <w:t>设备</w:t>
      </w:r>
      <w:r>
        <w:rPr>
          <w:sz w:val="24"/>
        </w:rPr>
        <w:t>、场地、</w:t>
      </w:r>
      <w:r>
        <w:rPr>
          <w:sz w:val="24"/>
        </w:rPr>
        <w:t>各进度工程款</w:t>
      </w:r>
      <w:r>
        <w:rPr>
          <w:sz w:val="24"/>
        </w:rPr>
        <w:t>等</w:t>
      </w:r>
      <w:r>
        <w:rPr>
          <w:sz w:val="24"/>
        </w:rPr>
        <w:t>；</w:t>
      </w:r>
      <w:r>
        <w:rPr>
          <w:sz w:val="24"/>
        </w:rPr>
        <w:t>当有意见分歧时，应督促有关方面尽快达成一致，</w:t>
      </w:r>
      <w:r>
        <w:rPr>
          <w:sz w:val="24"/>
        </w:rPr>
        <w:t>并</w:t>
      </w:r>
      <w:r>
        <w:rPr>
          <w:sz w:val="24"/>
        </w:rPr>
        <w:t>及时确认需要甲方认定的各项事项</w:t>
      </w:r>
      <w:r>
        <w:rPr>
          <w:sz w:val="24"/>
        </w:rPr>
        <w:t>。</w:t>
      </w:r>
    </w:p>
    <w:p>
      <w:pPr>
        <w:pStyle w:val="null3"/>
        <w:ind w:firstLine="480"/>
        <w:jc w:val="both"/>
      </w:pPr>
      <w:r>
        <w:rPr>
          <w:sz w:val="24"/>
        </w:rPr>
        <w:t>（</w:t>
      </w:r>
      <w:r>
        <w:rPr>
          <w:sz w:val="24"/>
        </w:rPr>
        <w:t>2）</w:t>
      </w:r>
      <w:r>
        <w:rPr>
          <w:sz w:val="24"/>
        </w:rPr>
        <w:t>为乙方提供必要的</w:t>
      </w:r>
      <w:r>
        <w:rPr>
          <w:sz w:val="24"/>
        </w:rPr>
        <w:t>办公条件。</w:t>
      </w:r>
    </w:p>
    <w:p>
      <w:pPr>
        <w:pStyle w:val="null3"/>
        <w:ind w:firstLine="480"/>
        <w:jc w:val="both"/>
      </w:pPr>
      <w:r>
        <w:rPr>
          <w:sz w:val="24"/>
        </w:rPr>
        <w:t>（</w:t>
      </w:r>
      <w:r>
        <w:rPr>
          <w:sz w:val="24"/>
        </w:rPr>
        <w:t>3）负责</w:t>
      </w:r>
      <w:r>
        <w:rPr>
          <w:sz w:val="24"/>
        </w:rPr>
        <w:t>提供培训场地及设施，</w:t>
      </w:r>
      <w:r>
        <w:rPr>
          <w:sz w:val="24"/>
        </w:rPr>
        <w:t>按要求及时</w:t>
      </w:r>
      <w:r>
        <w:rPr>
          <w:sz w:val="24"/>
        </w:rPr>
        <w:t>安排操作人员</w:t>
      </w:r>
      <w:r>
        <w:rPr>
          <w:sz w:val="24"/>
        </w:rPr>
        <w:t>和工程师</w:t>
      </w:r>
      <w:r>
        <w:rPr>
          <w:sz w:val="24"/>
        </w:rPr>
        <w:t>参加</w:t>
      </w:r>
      <w:r>
        <w:rPr>
          <w:sz w:val="24"/>
        </w:rPr>
        <w:t>相关</w:t>
      </w:r>
      <w:r>
        <w:rPr>
          <w:sz w:val="24"/>
        </w:rPr>
        <w:t>培训。</w:t>
      </w:r>
    </w:p>
    <w:p>
      <w:pPr>
        <w:pStyle w:val="null3"/>
        <w:ind w:firstLine="480"/>
        <w:jc w:val="both"/>
      </w:pPr>
      <w:r>
        <w:rPr>
          <w:sz w:val="24"/>
        </w:rPr>
        <w:t>（</w:t>
      </w:r>
      <w:r>
        <w:rPr>
          <w:sz w:val="24"/>
        </w:rPr>
        <w:t>4）指定具有相关资格的人员操作和管理本应用软件系统，并保证遵守有关的操作和管理原则。</w:t>
      </w:r>
    </w:p>
    <w:p>
      <w:pPr>
        <w:pStyle w:val="null3"/>
        <w:ind w:firstLine="480"/>
        <w:jc w:val="both"/>
      </w:pPr>
      <w:r>
        <w:rPr>
          <w:sz w:val="24"/>
        </w:rPr>
        <w:t>（</w:t>
      </w:r>
      <w:r>
        <w:rPr>
          <w:sz w:val="24"/>
        </w:rPr>
        <w:t>5）在乙方开发、调试、安装本应用软件系统与第三方软件接口工作中，甲方应积极协调。</w:t>
      </w:r>
    </w:p>
    <w:p>
      <w:pPr>
        <w:pStyle w:val="null3"/>
        <w:ind w:firstLine="480"/>
        <w:jc w:val="both"/>
      </w:pPr>
      <w:r>
        <w:rPr>
          <w:sz w:val="24"/>
        </w:rPr>
        <w:t>（</w:t>
      </w:r>
      <w:r>
        <w:rPr>
          <w:sz w:val="24"/>
        </w:rPr>
        <w:t>6）根据乙方的验收申请，在规定时间内组织并做好阶段验收和终验等验收工作。</w:t>
      </w:r>
    </w:p>
    <w:p>
      <w:pPr>
        <w:pStyle w:val="null3"/>
        <w:ind w:firstLine="480"/>
        <w:jc w:val="both"/>
      </w:pPr>
      <w:r>
        <w:rPr>
          <w:sz w:val="24"/>
        </w:rPr>
        <w:t>（</w:t>
      </w:r>
      <w:r>
        <w:rPr>
          <w:sz w:val="24"/>
        </w:rPr>
        <w:t>7）甲方对乙方的相关技术资料负有保密责任，未经乙方许可不得将乙方相关技术资料外泄。</w:t>
      </w:r>
    </w:p>
    <w:p>
      <w:pPr>
        <w:pStyle w:val="null3"/>
        <w:ind w:firstLine="480"/>
        <w:jc w:val="both"/>
      </w:pPr>
      <w:r>
        <w:rPr>
          <w:sz w:val="24"/>
        </w:rPr>
        <w:t>（</w:t>
      </w:r>
      <w:r>
        <w:rPr>
          <w:sz w:val="24"/>
        </w:rPr>
        <w:t>8）甲方有权对乙方的整个实施过程所有细节（包含且不限于文档、需求等管理）执行检查和管理，并可以提出整改要求，乙方必须无条件积极配合。如果甲方不满意该驻场人员，可以不解释任何理由要求乙方更换人员。</w:t>
      </w:r>
    </w:p>
    <w:p>
      <w:pPr>
        <w:pStyle w:val="null3"/>
        <w:ind w:firstLine="480"/>
        <w:jc w:val="both"/>
      </w:pPr>
      <w:r>
        <w:rPr>
          <w:sz w:val="24"/>
          <w:b/>
        </w:rPr>
        <w:t>2.乙方义务</w:t>
      </w:r>
    </w:p>
    <w:p>
      <w:pPr>
        <w:pStyle w:val="null3"/>
        <w:ind w:firstLine="480"/>
        <w:jc w:val="both"/>
      </w:pPr>
      <w:r>
        <w:rPr>
          <w:sz w:val="24"/>
        </w:rPr>
        <w:t>（</w:t>
      </w:r>
      <w:r>
        <w:rPr>
          <w:sz w:val="24"/>
        </w:rPr>
        <w:t>1）自本合同生效起，乙方保证甲方</w:t>
      </w:r>
      <w:r>
        <w:rPr>
          <w:sz w:val="24"/>
        </w:rPr>
        <w:t>在</w:t>
      </w:r>
      <w:r>
        <w:rPr>
          <w:sz w:val="24"/>
        </w:rPr>
        <w:t>合同项下应用软件系统</w:t>
      </w:r>
      <w:r>
        <w:rPr>
          <w:sz w:val="24"/>
        </w:rPr>
        <w:t>的服务范围内获得必要的技术指导</w:t>
      </w:r>
      <w:r>
        <w:rPr>
          <w:sz w:val="24"/>
        </w:rPr>
        <w:t>、</w:t>
      </w:r>
      <w:r>
        <w:rPr>
          <w:sz w:val="24"/>
        </w:rPr>
        <w:t>操作培训、热线咨询和现场维护</w:t>
      </w:r>
      <w:r>
        <w:rPr>
          <w:sz w:val="24"/>
        </w:rPr>
        <w:t>等服务。</w:t>
      </w:r>
    </w:p>
    <w:p>
      <w:pPr>
        <w:pStyle w:val="null3"/>
        <w:ind w:firstLine="480"/>
        <w:jc w:val="both"/>
      </w:pPr>
      <w:r>
        <w:rPr>
          <w:sz w:val="24"/>
        </w:rPr>
        <w:t>（</w:t>
      </w:r>
      <w:r>
        <w:rPr>
          <w:sz w:val="24"/>
        </w:rPr>
        <w:t>2）</w:t>
      </w:r>
      <w:r>
        <w:rPr>
          <w:sz w:val="24"/>
        </w:rPr>
        <w:t>成立项目工作组，指定</w:t>
      </w:r>
      <w:r>
        <w:rPr>
          <w:sz w:val="24"/>
        </w:rPr>
        <w:t>1名</w:t>
      </w:r>
      <w:r>
        <w:rPr>
          <w:sz w:val="24"/>
        </w:rPr>
        <w:t>项目负责人，负责项目实施过程</w:t>
      </w:r>
      <w:r>
        <w:rPr>
          <w:sz w:val="24"/>
        </w:rPr>
        <w:t>中</w:t>
      </w:r>
      <w:r>
        <w:rPr>
          <w:sz w:val="24"/>
        </w:rPr>
        <w:t>与甲方的协调工作，及时确认需要乙方认定的各项事项。</w:t>
      </w:r>
      <w:r>
        <w:rPr>
          <w:sz w:val="24"/>
        </w:rPr>
        <w:t>未经甲方同意，驻场项目组人员不能调离此项目。</w:t>
      </w:r>
    </w:p>
    <w:p>
      <w:pPr>
        <w:pStyle w:val="null3"/>
        <w:ind w:firstLine="480"/>
        <w:jc w:val="both"/>
      </w:pPr>
      <w:r>
        <w:rPr>
          <w:sz w:val="24"/>
        </w:rPr>
        <w:t>（</w:t>
      </w:r>
      <w:r>
        <w:rPr>
          <w:sz w:val="24"/>
        </w:rPr>
        <w:t>3）自进场实施开始，乙方允许甲方指定的工程师一起参与系统的安装、测试、诊断及相关问题的解释等各项工作，促进和提高甲方的系统管理与维护水平。</w:t>
      </w:r>
    </w:p>
    <w:p>
      <w:pPr>
        <w:pStyle w:val="null3"/>
        <w:ind w:firstLine="480"/>
        <w:jc w:val="both"/>
      </w:pPr>
      <w:r>
        <w:rPr>
          <w:sz w:val="24"/>
        </w:rPr>
        <w:t>（</w:t>
      </w:r>
      <w:r>
        <w:rPr>
          <w:sz w:val="24"/>
        </w:rPr>
        <w:t>4）在不改变本应用软件系统根本性业务功能的情况下，对甲方内部统一意见后提出的且经过双方书面确认的客户化需求，乙方需及时、准确地完成开发、安装及调试工作及适应性修改工作。</w:t>
      </w:r>
    </w:p>
    <w:p>
      <w:pPr>
        <w:pStyle w:val="null3"/>
        <w:ind w:firstLine="480"/>
        <w:jc w:val="left"/>
      </w:pPr>
      <w:r>
        <w:rPr>
          <w:sz w:val="24"/>
        </w:rPr>
        <w:t>（</w:t>
      </w:r>
      <w:r>
        <w:rPr>
          <w:sz w:val="24"/>
        </w:rPr>
        <w:t>5）</w:t>
      </w:r>
      <w:r>
        <w:rPr>
          <w:sz w:val="24"/>
        </w:rPr>
        <w:t>及时完成对甲方</w:t>
      </w:r>
      <w:r>
        <w:rPr>
          <w:sz w:val="24"/>
        </w:rPr>
        <w:t>工程师和操作人员的</w:t>
      </w:r>
      <w:r>
        <w:rPr>
          <w:sz w:val="24"/>
        </w:rPr>
        <w:t>培训工作。</w:t>
      </w:r>
    </w:p>
    <w:p>
      <w:pPr>
        <w:pStyle w:val="null3"/>
        <w:ind w:firstLine="480"/>
        <w:jc w:val="left"/>
      </w:pPr>
      <w:r>
        <w:rPr>
          <w:sz w:val="24"/>
        </w:rPr>
        <w:t>（</w:t>
      </w:r>
      <w:r>
        <w:rPr>
          <w:sz w:val="24"/>
        </w:rPr>
        <w:t>6）保证提供给甲方的应用软件系统是由乙方自行设计开发或有厂商授权，不侵犯他人的知识产权。</w:t>
      </w:r>
    </w:p>
    <w:p>
      <w:pPr>
        <w:pStyle w:val="null3"/>
        <w:ind w:firstLine="480"/>
        <w:jc w:val="both"/>
      </w:pPr>
      <w:r>
        <w:rPr>
          <w:sz w:val="24"/>
        </w:rPr>
        <w:t>（</w:t>
      </w:r>
      <w:r>
        <w:rPr>
          <w:sz w:val="24"/>
        </w:rPr>
        <w:t>7）遵守</w:t>
      </w:r>
      <w:r>
        <w:rPr>
          <w:sz w:val="24"/>
        </w:rPr>
        <w:t>甲方管理制度，合理使用甲方提供的各种</w:t>
      </w:r>
      <w:r>
        <w:rPr>
          <w:sz w:val="24"/>
        </w:rPr>
        <w:t>设施和</w:t>
      </w:r>
      <w:r>
        <w:rPr>
          <w:sz w:val="24"/>
        </w:rPr>
        <w:t>资源。</w:t>
      </w:r>
    </w:p>
    <w:p>
      <w:pPr>
        <w:pStyle w:val="null3"/>
        <w:ind w:firstLine="480"/>
        <w:jc w:val="both"/>
      </w:pPr>
      <w:r>
        <w:rPr>
          <w:sz w:val="24"/>
        </w:rPr>
        <w:t>（</w:t>
      </w:r>
      <w:r>
        <w:rPr>
          <w:sz w:val="24"/>
        </w:rPr>
        <w:t>8）本项目阶段实施或整体实施完成后，在规定时间内向甲方申请验收，并配合甲方做好验收工作。</w:t>
      </w:r>
    </w:p>
    <w:p>
      <w:pPr>
        <w:pStyle w:val="null3"/>
        <w:ind w:firstLine="480"/>
        <w:jc w:val="both"/>
      </w:pPr>
      <w:r>
        <w:rPr>
          <w:sz w:val="24"/>
        </w:rPr>
        <w:t>（</w:t>
      </w:r>
      <w:r>
        <w:rPr>
          <w:sz w:val="24"/>
        </w:rPr>
        <w:t>9）乙方对甲方的相关业务数据负有保密责任，未经甲方许可不得将甲方相关业务数据外泄。</w:t>
      </w:r>
    </w:p>
    <w:p>
      <w:pPr>
        <w:pStyle w:val="null3"/>
        <w:ind w:firstLine="480"/>
        <w:jc w:val="both"/>
      </w:pPr>
      <w:r>
        <w:rPr>
          <w:sz w:val="24"/>
        </w:rPr>
        <w:t>（</w:t>
      </w:r>
      <w:r>
        <w:rPr>
          <w:sz w:val="24"/>
        </w:rPr>
        <w:t>10</w:t>
      </w:r>
      <w:r>
        <w:rPr>
          <w:sz w:val="24"/>
        </w:rPr>
        <w:t>）乙方保证其严格遵守数据安全相关法律法规及甲方制定的与数据安全相关法律法规有关的内部制度与流程。</w:t>
      </w:r>
    </w:p>
    <w:p>
      <w:pPr>
        <w:pStyle w:val="null3"/>
        <w:ind w:firstLine="480"/>
        <w:jc w:val="both"/>
      </w:pPr>
      <w:r>
        <w:rPr>
          <w:sz w:val="24"/>
        </w:rPr>
        <w:t>（</w:t>
      </w:r>
      <w:r>
        <w:rPr>
          <w:sz w:val="24"/>
        </w:rPr>
        <w:t>11</w:t>
      </w:r>
      <w:r>
        <w:rPr>
          <w:sz w:val="24"/>
        </w:rPr>
        <w:t>）乙方保证严格在甲方的指定的范围内并基于本协议项下的目的处理相关数据。</w:t>
      </w:r>
    </w:p>
    <w:p>
      <w:pPr>
        <w:pStyle w:val="null3"/>
        <w:ind w:firstLine="480"/>
        <w:jc w:val="both"/>
      </w:pPr>
      <w:r>
        <w:rPr>
          <w:sz w:val="24"/>
        </w:rPr>
        <w:t>（</w:t>
      </w:r>
      <w:r>
        <w:rPr>
          <w:sz w:val="24"/>
        </w:rPr>
        <w:t>12</w:t>
      </w:r>
      <w:r>
        <w:rPr>
          <w:sz w:val="24"/>
        </w:rPr>
        <w:t>）未经甲方事先书面同意，乙方不得允许非乙方员工访问来源于甲方的数据。</w:t>
      </w:r>
    </w:p>
    <w:p>
      <w:pPr>
        <w:pStyle w:val="null3"/>
        <w:ind w:firstLine="480"/>
        <w:jc w:val="both"/>
      </w:pPr>
      <w:r>
        <w:rPr>
          <w:sz w:val="24"/>
        </w:rPr>
        <w:t>（</w:t>
      </w:r>
      <w:r>
        <w:rPr>
          <w:sz w:val="24"/>
        </w:rPr>
        <w:t>13</w:t>
      </w:r>
      <w:r>
        <w:rPr>
          <w:sz w:val="24"/>
        </w:rPr>
        <w:t>）乙方确保实施合理且必要的技术和保护措施以保证数据的安全性，包括但不限于使之免受非法破坏、意外丢失（包括删除）、更改（包括损坏）、未经授权的披露、使用或访问以及其他非法形式的处理。</w:t>
      </w:r>
    </w:p>
    <w:p>
      <w:pPr>
        <w:pStyle w:val="null3"/>
        <w:ind w:firstLine="480"/>
        <w:jc w:val="both"/>
      </w:pPr>
      <w:r>
        <w:rPr>
          <w:sz w:val="24"/>
        </w:rPr>
        <w:t>（</w:t>
      </w:r>
      <w:r>
        <w:rPr>
          <w:sz w:val="24"/>
        </w:rPr>
        <w:t>14</w:t>
      </w:r>
      <w:r>
        <w:rPr>
          <w:sz w:val="24"/>
        </w:rPr>
        <w:t>）如乙方为实现本协议项下目的，需委托或雇用第三方履行其在本协议下的部分义务或由第三方向乙方提供与项目相关的服务，且有可能触及甲方数据的，应事先获得甲方书面同意。如甲方认为必要，甲方可单独与该等第三方签订具有法律约束力的数据保护及授权协议。</w:t>
      </w:r>
      <w:r>
        <w:rPr>
          <w:sz w:val="24"/>
        </w:rPr>
        <w:t xml:space="preserve">  </w:t>
      </w:r>
    </w:p>
    <w:p>
      <w:pPr>
        <w:pStyle w:val="null3"/>
        <w:ind w:firstLine="480"/>
        <w:jc w:val="both"/>
      </w:pPr>
      <w:r>
        <w:rPr>
          <w:sz w:val="24"/>
        </w:rPr>
        <w:t>（</w:t>
      </w:r>
      <w:r>
        <w:rPr>
          <w:sz w:val="24"/>
        </w:rPr>
        <w:t>15</w:t>
      </w:r>
      <w:r>
        <w:rPr>
          <w:sz w:val="24"/>
        </w:rPr>
        <w:t>）</w:t>
      </w:r>
      <w:r>
        <w:rPr>
          <w:sz w:val="24"/>
        </w:rPr>
        <w:t>在本协议履行期间内，乙方应在获悉任何信息安全事件后，立即通过合理措施调查事因，并对安全事件导致的结果进行补救。上述情形下，乙方应尽快通知甲方，且甲方应提供必要的协助。为避免疑义，本协议项下的信息安全事件包括但不限于甲方提供范围内的数据，发生了任何实际或可引起合理怀疑的丢失、销毁、更改、访问、使用、披露、毁坏或损坏情况。若数据主体或其他第三方利用乙方应用产品进行违法犯罪活动而产生纠纷，甲乙双方应相互合作，并积极配合有权机构（如法院、人民银行、公安等）查明原因以妥善解决；由此产生的损失与乙方无关。若数据主体或其他第三方虽未构成违法犯罪，因其自身误操作所产生的损失与乙方无关。</w:t>
      </w:r>
    </w:p>
    <w:p>
      <w:pPr>
        <w:pStyle w:val="null3"/>
        <w:ind w:firstLine="480"/>
        <w:jc w:val="both"/>
      </w:pPr>
      <w:r>
        <w:rPr>
          <w:sz w:val="24"/>
        </w:rPr>
        <w:t>（</w:t>
      </w:r>
      <w:r>
        <w:rPr>
          <w:sz w:val="24"/>
        </w:rPr>
        <w:t>16</w:t>
      </w:r>
      <w:r>
        <w:rPr>
          <w:sz w:val="24"/>
        </w:rPr>
        <w:t>）如本协议终止或履行完毕或经甲方要求，乙方应于合理时间内销毁与甲方基于本协议提供的所有数据，并要求其委托或雇用的第三方进行同等处理（由甲方单独授权的第三方除外），法律法规另有规定或主管机关另有安排的情况除外。</w:t>
      </w:r>
    </w:p>
    <w:p>
      <w:pPr>
        <w:pStyle w:val="null3"/>
        <w:ind w:firstLine="964"/>
        <w:jc w:val="both"/>
      </w:pPr>
      <w:r>
        <w:rPr>
          <w:sz w:val="24"/>
          <w:b/>
        </w:rPr>
        <w:t>第五条</w:t>
      </w:r>
      <w:r>
        <w:rPr>
          <w:sz w:val="24"/>
          <w:b/>
        </w:rPr>
        <w:t>项目验收</w:t>
      </w:r>
    </w:p>
    <w:p>
      <w:pPr>
        <w:pStyle w:val="null3"/>
        <w:ind w:firstLine="470"/>
        <w:jc w:val="both"/>
      </w:pPr>
      <w:r>
        <w:rPr>
          <w:sz w:val="24"/>
        </w:rPr>
        <w:t>本项目应用软件系统</w:t>
      </w:r>
      <w:r>
        <w:rPr>
          <w:sz w:val="24"/>
        </w:rPr>
        <w:t>的</w:t>
      </w:r>
      <w:r>
        <w:rPr>
          <w:sz w:val="24"/>
        </w:rPr>
        <w:t>实施和验收按如下方式开展：</w:t>
      </w:r>
    </w:p>
    <w:p>
      <w:pPr>
        <w:pStyle w:val="null3"/>
        <w:ind w:firstLine="480"/>
        <w:jc w:val="both"/>
      </w:pPr>
      <w:r>
        <w:rPr>
          <w:sz w:val="24"/>
        </w:rPr>
        <w:t>1.验收方法：按建设内容的完成进度验收。验收工作由乙方提出，甲方组织相关人员组成评审组进行验收。</w:t>
      </w:r>
    </w:p>
    <w:p>
      <w:pPr>
        <w:pStyle w:val="null3"/>
        <w:ind w:firstLine="480"/>
        <w:jc w:val="both"/>
      </w:pPr>
      <w:r>
        <w:rPr>
          <w:sz w:val="24"/>
        </w:rPr>
        <w:t>2.</w:t>
      </w:r>
      <w:r>
        <w:rPr>
          <w:sz w:val="24"/>
        </w:rPr>
        <w:t>验收时间：</w:t>
      </w:r>
      <w:r>
        <w:rPr>
          <w:sz w:val="24"/>
        </w:rPr>
        <w:t>配套系统应用软件安装、调试完毕，并稳定运行一个月后，由乙方提出书面验收申请，甲方应</w:t>
      </w:r>
      <w:r>
        <w:rPr>
          <w:sz w:val="24"/>
        </w:rPr>
        <w:t>于</w:t>
      </w:r>
      <w:r>
        <w:rPr>
          <w:sz w:val="24"/>
        </w:rPr>
        <w:t>乙方</w:t>
      </w:r>
      <w:r>
        <w:rPr>
          <w:sz w:val="24"/>
        </w:rPr>
        <w:t>提出验收申请后</w:t>
      </w:r>
      <w:r>
        <w:rPr>
          <w:sz w:val="24"/>
        </w:rPr>
        <w:t>十个</w:t>
      </w:r>
      <w:r>
        <w:rPr>
          <w:sz w:val="24"/>
        </w:rPr>
        <w:t>工作日内组织验收。</w:t>
      </w:r>
      <w:r>
        <w:rPr>
          <w:sz w:val="24"/>
        </w:rPr>
        <w:t>甲方</w:t>
      </w:r>
      <w:r>
        <w:rPr>
          <w:sz w:val="24"/>
        </w:rPr>
        <w:t>验收合格后</w:t>
      </w:r>
      <w:r>
        <w:rPr>
          <w:sz w:val="24"/>
        </w:rPr>
        <w:t>在验收报告签名同意验收</w:t>
      </w:r>
      <w:r>
        <w:rPr>
          <w:sz w:val="24"/>
        </w:rPr>
        <w:t>。</w:t>
      </w:r>
    </w:p>
    <w:p>
      <w:pPr>
        <w:pStyle w:val="null3"/>
        <w:ind w:firstLine="480"/>
        <w:jc w:val="both"/>
      </w:pPr>
      <w:r>
        <w:rPr>
          <w:sz w:val="24"/>
        </w:rPr>
        <w:t>3.验收标准：</w:t>
      </w:r>
    </w:p>
    <w:p>
      <w:pPr>
        <w:pStyle w:val="null3"/>
        <w:ind w:firstLine="480"/>
        <w:jc w:val="both"/>
      </w:pPr>
      <w:r>
        <w:rPr>
          <w:sz w:val="24"/>
        </w:rPr>
        <w:t>（</w:t>
      </w:r>
      <w:r>
        <w:rPr>
          <w:sz w:val="24"/>
        </w:rPr>
        <w:t>1）产品</w:t>
      </w:r>
      <w:r>
        <w:rPr>
          <w:sz w:val="24"/>
        </w:rPr>
        <w:t>所有技术性能规格及参数</w:t>
      </w:r>
      <w:r>
        <w:rPr>
          <w:sz w:val="24"/>
        </w:rPr>
        <w:t>：应符合招标</w:t>
      </w:r>
      <w:r>
        <w:rPr>
          <w:sz w:val="24"/>
        </w:rPr>
        <w:t>文件</w:t>
      </w:r>
      <w:r>
        <w:rPr>
          <w:sz w:val="24"/>
        </w:rPr>
        <w:t>、投标</w:t>
      </w:r>
      <w:r>
        <w:rPr>
          <w:sz w:val="24"/>
        </w:rPr>
        <w:t>文件</w:t>
      </w:r>
      <w:r>
        <w:rPr>
          <w:sz w:val="24"/>
        </w:rPr>
        <w:t>和合同</w:t>
      </w:r>
      <w:r>
        <w:rPr>
          <w:sz w:val="24"/>
        </w:rPr>
        <w:t>所要求的技术标准</w:t>
      </w:r>
      <w:r>
        <w:rPr>
          <w:sz w:val="24"/>
        </w:rPr>
        <w:t>及服务标准。</w:t>
      </w:r>
    </w:p>
    <w:p>
      <w:pPr>
        <w:pStyle w:val="null3"/>
        <w:ind w:firstLine="480"/>
        <w:jc w:val="both"/>
      </w:pPr>
      <w:r>
        <w:rPr>
          <w:sz w:val="24"/>
        </w:rPr>
        <w:t>（</w:t>
      </w:r>
      <w:r>
        <w:rPr>
          <w:sz w:val="24"/>
        </w:rPr>
        <w:t>2）验收工作由甲方和乙方共同进行。在验收时，乙方应向甲方提供的相关资料。系统运行稳定，无故障，数据无错误，软件质量无问题,资料齐全，甲方派委派的负责人签名验收。</w:t>
      </w:r>
    </w:p>
    <w:p>
      <w:pPr>
        <w:pStyle w:val="null3"/>
        <w:ind w:firstLine="480"/>
        <w:jc w:val="both"/>
      </w:pPr>
      <w:r>
        <w:rPr>
          <w:sz w:val="24"/>
        </w:rPr>
        <w:t>4.验收文件的签署：由乙方撰写竣工报告，由甲方委派的负责人在审核后签署。</w:t>
      </w:r>
    </w:p>
    <w:p>
      <w:pPr>
        <w:pStyle w:val="null3"/>
        <w:ind w:firstLine="480"/>
        <w:jc w:val="both"/>
      </w:pPr>
      <w:r>
        <w:rPr>
          <w:sz w:val="24"/>
        </w:rPr>
        <w:t>5.软件项目（不含维保）验收应提交的资料，包括但不限于以下：</w:t>
      </w:r>
    </w:p>
    <w:p>
      <w:pPr>
        <w:pStyle w:val="null3"/>
        <w:ind w:firstLine="480"/>
        <w:jc w:val="both"/>
      </w:pPr>
      <w:r>
        <w:rPr>
          <w:sz w:val="24"/>
        </w:rPr>
        <w:t>（</w:t>
      </w:r>
      <w:r>
        <w:rPr>
          <w:sz w:val="24"/>
        </w:rPr>
        <w:t>1）系统设计相关文档，如代码资料文档、数据库表结构、接口文档；</w:t>
      </w:r>
    </w:p>
    <w:p>
      <w:pPr>
        <w:pStyle w:val="null3"/>
        <w:ind w:firstLine="480"/>
        <w:jc w:val="both"/>
      </w:pPr>
      <w:r>
        <w:rPr>
          <w:sz w:val="24"/>
        </w:rPr>
        <w:t>（</w:t>
      </w:r>
      <w:r>
        <w:rPr>
          <w:sz w:val="24"/>
        </w:rPr>
        <w:t>2）培训资料和用户手册；</w:t>
      </w:r>
    </w:p>
    <w:p>
      <w:pPr>
        <w:pStyle w:val="null3"/>
        <w:ind w:firstLine="480"/>
        <w:jc w:val="both"/>
      </w:pPr>
      <w:r>
        <w:rPr>
          <w:sz w:val="24"/>
        </w:rPr>
        <w:t>（</w:t>
      </w:r>
      <w:r>
        <w:rPr>
          <w:sz w:val="24"/>
        </w:rPr>
        <w:t>3）系统运维资料。数据库的数据不得加密，确因安全管理需要加密，也需要文档详细告诉甲方如何解密,并且上传到甲方指定的SVN资料库。</w:t>
      </w:r>
    </w:p>
    <w:p>
      <w:pPr>
        <w:pStyle w:val="null3"/>
        <w:jc w:val="both"/>
      </w:pPr>
      <w:r>
        <w:rPr>
          <w:sz w:val="21"/>
          <w:b/>
        </w:rPr>
        <w:t xml:space="preserve">    </w:t>
      </w:r>
    </w:p>
    <w:p>
      <w:pPr>
        <w:pStyle w:val="null3"/>
        <w:ind w:firstLine="472"/>
        <w:jc w:val="both"/>
      </w:pPr>
      <w:r>
        <w:rPr>
          <w:sz w:val="24"/>
          <w:b/>
        </w:rPr>
        <w:t>第六条</w:t>
      </w:r>
      <w:r>
        <w:rPr>
          <w:sz w:val="24"/>
          <w:b/>
        </w:rPr>
        <w:t>售后服务：</w:t>
      </w:r>
    </w:p>
    <w:p>
      <w:pPr>
        <w:pStyle w:val="null3"/>
        <w:ind w:firstLine="480"/>
        <w:jc w:val="both"/>
      </w:pPr>
      <w:r>
        <w:rPr>
          <w:sz w:val="24"/>
        </w:rPr>
        <w:t>1.乙方应为本项目配备专门的技术服务团队，并验收完成后提供</w:t>
      </w:r>
      <w:r>
        <w:rPr>
          <w:sz w:val="24"/>
          <w:u w:val="single"/>
        </w:rPr>
        <w:t xml:space="preserve"> </w:t>
      </w:r>
      <w:r>
        <w:rPr>
          <w:sz w:val="24"/>
          <w:u w:val="single"/>
        </w:rPr>
        <w:t xml:space="preserve">${免费年数}  </w:t>
      </w:r>
      <w:r>
        <w:rPr>
          <w:sz w:val="24"/>
        </w:rPr>
        <w:t>年免费维保服务和承诺永久技术支持，包括各种突发事件采取应急措施等。</w:t>
      </w:r>
    </w:p>
    <w:p>
      <w:pPr>
        <w:pStyle w:val="null3"/>
        <w:ind w:firstLine="480"/>
        <w:jc w:val="both"/>
      </w:pPr>
      <w:r>
        <w:rPr>
          <w:sz w:val="24"/>
          <w:color w:val="000000"/>
        </w:rPr>
        <w:t>2.免费维护期（</w:t>
      </w:r>
      <w:r>
        <w:rPr>
          <w:sz w:val="24"/>
        </w:rPr>
        <w:t>质保期</w:t>
      </w:r>
      <w:r>
        <w:rPr>
          <w:sz w:val="24"/>
          <w:color w:val="000000"/>
        </w:rPr>
        <w:t>）内，乙方应免费维护和正常保养，质保期内各类维护费用等均由乙方自行承担。</w:t>
      </w:r>
    </w:p>
    <w:p>
      <w:pPr>
        <w:pStyle w:val="null3"/>
        <w:ind w:firstLine="480"/>
        <w:jc w:val="both"/>
      </w:pPr>
      <w:r>
        <w:rPr>
          <w:sz w:val="24"/>
          <w:color w:val="000000"/>
        </w:rPr>
        <w:t>3.质保期内，乙方必须最少提供</w:t>
      </w:r>
      <w:r>
        <w:rPr>
          <w:sz w:val="24"/>
          <w:color w:val="000000"/>
          <w:u w:val="single"/>
        </w:rPr>
        <w:t xml:space="preserve">${提供人员数量} </w:t>
      </w:r>
      <w:r>
        <w:rPr>
          <w:sz w:val="24"/>
          <w:color w:val="000000"/>
        </w:rPr>
        <w:t>名富有</w:t>
      </w:r>
      <w:r>
        <w:rPr>
          <w:sz w:val="24"/>
          <w:color w:val="000000"/>
          <w:u w:val="single"/>
        </w:rPr>
        <w:t>${工作经验年}</w:t>
      </w:r>
      <w:r>
        <w:rPr>
          <w:sz w:val="24"/>
          <w:color w:val="000000"/>
        </w:rPr>
        <w:t>年工作经验的工程师长期专职为医院服务。售后服务人员须在接到维修电话后</w:t>
      </w:r>
      <w:r>
        <w:rPr>
          <w:sz w:val="24"/>
          <w:color w:val="000000"/>
          <w:u w:val="single"/>
        </w:rPr>
        <w:t xml:space="preserve"> </w:t>
      </w:r>
      <w:r>
        <w:rPr>
          <w:sz w:val="24"/>
          <w:color w:val="000000"/>
          <w:u w:val="single"/>
        </w:rPr>
        <w:t xml:space="preserve">${响应分钟}  </w:t>
      </w:r>
      <w:r>
        <w:rPr>
          <w:sz w:val="24"/>
          <w:color w:val="000000"/>
        </w:rPr>
        <w:t>分钟内进行技术响应，</w:t>
      </w:r>
      <w:r>
        <w:rPr>
          <w:sz w:val="24"/>
          <w:color w:val="000000"/>
          <w:u w:val="single"/>
        </w:rPr>
        <w:t xml:space="preserve"> </w:t>
      </w:r>
      <w:r>
        <w:rPr>
          <w:sz w:val="24"/>
          <w:color w:val="000000"/>
          <w:u w:val="single"/>
        </w:rPr>
        <w:t xml:space="preserve">${到达维修现场小时}  </w:t>
      </w:r>
      <w:r>
        <w:rPr>
          <w:sz w:val="24"/>
          <w:color w:val="000000"/>
        </w:rPr>
        <w:t>小时内到达维修现场。</w:t>
      </w:r>
    </w:p>
    <w:p>
      <w:pPr>
        <w:pStyle w:val="null3"/>
        <w:ind w:firstLine="480"/>
        <w:jc w:val="both"/>
      </w:pPr>
      <w:r>
        <w:rPr>
          <w:sz w:val="24"/>
          <w:color w:val="000000"/>
        </w:rPr>
        <w:t>4.在项目建设过程中和质保期内，甲方可以视情况向乙方的维护人员提交维护和建设的需求文档，乙方必须按文档要求的时间和质量要求完成，否则甲方有权扣除累计不超过合同金额10%的款项。</w:t>
      </w:r>
    </w:p>
    <w:p>
      <w:pPr>
        <w:pStyle w:val="null3"/>
        <w:ind w:firstLine="480"/>
        <w:jc w:val="both"/>
      </w:pPr>
      <w:r>
        <w:rPr>
          <w:sz w:val="24"/>
          <w:color w:val="000000"/>
        </w:rPr>
        <w:t>5.在质保期满时，乙方的工程师和甲方对所有产品</w:t>
      </w:r>
      <w:r>
        <w:rPr>
          <w:sz w:val="24"/>
        </w:rPr>
        <w:t>进行一次全面测试</w:t>
      </w:r>
      <w:r>
        <w:rPr>
          <w:sz w:val="24"/>
          <w:color w:val="000000"/>
        </w:rPr>
        <w:t>，任何故障须由乙方自费解决并取得甲方的认可。</w:t>
      </w:r>
    </w:p>
    <w:p>
      <w:pPr>
        <w:pStyle w:val="null3"/>
        <w:ind w:firstLine="480"/>
        <w:jc w:val="both"/>
      </w:pPr>
      <w:r>
        <w:rPr>
          <w:sz w:val="24"/>
          <w:color w:val="000000"/>
        </w:rPr>
        <w:t>6.乙方须在甲方指定的地点提供操作及维护培训。</w:t>
      </w:r>
    </w:p>
    <w:p>
      <w:pPr>
        <w:pStyle w:val="null3"/>
        <w:jc w:val="both"/>
      </w:pPr>
      <w:r>
        <w:rPr>
          <w:sz w:val="24"/>
          <w:b/>
        </w:rPr>
        <w:t>第七条</w:t>
      </w:r>
      <w:r>
        <w:rPr>
          <w:sz w:val="24"/>
          <w:b/>
        </w:rPr>
        <w:t>知识产权</w:t>
      </w:r>
    </w:p>
    <w:p>
      <w:pPr>
        <w:pStyle w:val="null3"/>
        <w:ind w:firstLine="480"/>
        <w:jc w:val="both"/>
      </w:pPr>
      <w:r>
        <w:rPr>
          <w:sz w:val="24"/>
        </w:rPr>
        <w:t>本应用软件系统采集之所有数据，所有权归甲方所有，未经甲方书面许可，乙方不得对外发布或挪做他用。</w:t>
      </w:r>
    </w:p>
    <w:p>
      <w:pPr>
        <w:pStyle w:val="null3"/>
        <w:jc w:val="both"/>
      </w:pPr>
      <w:r>
        <w:rPr>
          <w:sz w:val="24"/>
          <w:b/>
        </w:rPr>
        <w:t>第八条</w:t>
      </w:r>
      <w:r>
        <w:rPr>
          <w:sz w:val="24"/>
          <w:b/>
        </w:rPr>
        <w:t>保密原则</w:t>
      </w:r>
    </w:p>
    <w:p>
      <w:pPr>
        <w:pStyle w:val="null3"/>
        <w:ind w:firstLine="480"/>
        <w:jc w:val="both"/>
      </w:pPr>
      <w:r>
        <w:rPr>
          <w:sz w:val="24"/>
        </w:rPr>
        <w:t>1.项目中所涉及的双方的技术资料、内部资料、数据和其他商业信息，未经信息拥有方的许可，信息获得方不得以任何形式用于合同之外的目的，不得以任何形式向第三方泄露。</w:t>
      </w:r>
    </w:p>
    <w:p>
      <w:pPr>
        <w:pStyle w:val="null3"/>
        <w:ind w:firstLine="480"/>
        <w:jc w:val="both"/>
      </w:pPr>
      <w:r>
        <w:rPr>
          <w:sz w:val="24"/>
        </w:rPr>
        <w:t>2.乙方不得在应用软件系统中留有任何可能导致甲方数据泄密的软件“后门”。如果因此</w:t>
      </w:r>
      <w:r>
        <w:rPr>
          <w:sz w:val="24"/>
        </w:rPr>
        <w:t>发生数据泄露、信息安全事件，乙方应该承担相关的法律责任和处罚</w:t>
      </w:r>
      <w:r>
        <w:rPr>
          <w:sz w:val="24"/>
        </w:rPr>
        <w:t>。</w:t>
      </w:r>
    </w:p>
    <w:p>
      <w:pPr>
        <w:pStyle w:val="null3"/>
        <w:ind w:firstLine="480"/>
        <w:jc w:val="both"/>
      </w:pPr>
      <w:r>
        <w:rPr>
          <w:sz w:val="24"/>
        </w:rPr>
        <w:t>3.发生泄密事件，信息拥有方有权追究泄密方的经济和法律责任。</w:t>
      </w:r>
    </w:p>
    <w:p>
      <w:pPr>
        <w:pStyle w:val="null3"/>
        <w:ind w:firstLine="480"/>
        <w:jc w:val="both"/>
      </w:pPr>
      <w:r>
        <w:rPr>
          <w:sz w:val="24"/>
        </w:rPr>
        <w:t>4.保密规定为永久有效，不因合同终止而结束。</w:t>
      </w:r>
    </w:p>
    <w:p>
      <w:pPr>
        <w:pStyle w:val="null3"/>
        <w:numPr>
          <w:ilvl w:val="0"/>
          <w:numId w:val="1"/>
        </w:numPr>
        <w:ind w:firstLine="482"/>
        <w:jc w:val="both"/>
      </w:pPr>
      <w:r>
        <w:rPr>
          <w:sz w:val="24"/>
          <w:b/>
        </w:rPr>
        <w:t>违约责任</w:t>
      </w:r>
    </w:p>
    <w:p>
      <w:pPr>
        <w:pStyle w:val="null3"/>
        <w:ind w:firstLine="480"/>
        <w:jc w:val="both"/>
      </w:pPr>
      <w:r>
        <w:rPr>
          <w:sz w:val="24"/>
        </w:rPr>
        <w:t>1.如乙方延期交货或甲方延期付款，每逾期一日，违约方应按合同金额</w:t>
      </w:r>
      <w:r>
        <w:rPr>
          <w:sz w:val="24"/>
          <w:u w:val="single"/>
        </w:rPr>
        <w:t xml:space="preserve">${乙方违约金额比例} </w:t>
      </w:r>
      <w:r>
        <w:rPr>
          <w:sz w:val="24"/>
        </w:rPr>
        <w:t>%向对方支付违约金，但该违约金累计不超过合同金额的</w:t>
      </w:r>
      <w:r>
        <w:rPr>
          <w:sz w:val="24"/>
          <w:u w:val="single"/>
        </w:rPr>
        <w:t xml:space="preserve"> </w:t>
      </w:r>
      <w:r>
        <w:rPr>
          <w:sz w:val="24"/>
          <w:u w:val="single"/>
        </w:rPr>
        <w:t xml:space="preserve">${乙方金额比例}  </w:t>
      </w:r>
      <w:r>
        <w:rPr>
          <w:sz w:val="24"/>
        </w:rPr>
        <w:t>%，逾期超过</w:t>
      </w:r>
      <w:r>
        <w:rPr>
          <w:sz w:val="24"/>
          <w:u w:val="single"/>
        </w:rPr>
        <w:t xml:space="preserve"> </w:t>
      </w:r>
      <w:r>
        <w:rPr>
          <w:sz w:val="24"/>
          <w:u w:val="single"/>
        </w:rPr>
        <w:t xml:space="preserve">${乙方逾期日数}  </w:t>
      </w:r>
      <w:r>
        <w:rPr>
          <w:sz w:val="24"/>
        </w:rPr>
        <w:t>日，守约方有权解除合同，并要求违约方赔偿由此造成的损失。</w:t>
      </w:r>
    </w:p>
    <w:p>
      <w:pPr>
        <w:pStyle w:val="null3"/>
        <w:ind w:firstLine="480"/>
        <w:jc w:val="both"/>
      </w:pPr>
      <w:r>
        <w:rPr>
          <w:sz w:val="24"/>
        </w:rPr>
        <w:t>2.如任何一方无故解除合同或有其他违约行为，应向对方支付合同金额</w:t>
      </w:r>
      <w:r>
        <w:rPr>
          <w:sz w:val="24"/>
          <w:u w:val="single"/>
        </w:rPr>
        <w:t xml:space="preserve"> </w:t>
      </w:r>
      <w:r>
        <w:rPr>
          <w:sz w:val="24"/>
          <w:u w:val="single"/>
        </w:rPr>
        <w:t xml:space="preserve">${违约金额比例}  </w:t>
      </w:r>
      <w:r>
        <w:rPr>
          <w:sz w:val="24"/>
        </w:rPr>
        <w:t>%的违约金。</w:t>
      </w:r>
    </w:p>
    <w:p>
      <w:pPr>
        <w:pStyle w:val="null3"/>
        <w:ind w:firstLine="480"/>
        <w:jc w:val="both"/>
      </w:pPr>
      <w:r>
        <w:rPr>
          <w:sz w:val="24"/>
          <w:b/>
        </w:rPr>
        <w:t>第十条</w:t>
      </w:r>
      <w:r>
        <w:rPr>
          <w:sz w:val="24"/>
          <w:b/>
        </w:rPr>
        <w:t>合同终止</w:t>
      </w:r>
    </w:p>
    <w:p>
      <w:pPr>
        <w:pStyle w:val="null3"/>
        <w:ind w:firstLine="480"/>
        <w:jc w:val="both"/>
      </w:pPr>
      <w:r>
        <w:rPr>
          <w:sz w:val="24"/>
          <w:color w:val="000000"/>
        </w:rPr>
        <w:t>1.如乙方无正当理由而拖延服务或存在产品质量问题或服务态度问题的，甲方有权解除合同并追究乙方的违约责任。</w:t>
      </w:r>
    </w:p>
    <w:p>
      <w:pPr>
        <w:pStyle w:val="null3"/>
        <w:ind w:firstLine="480"/>
        <w:jc w:val="both"/>
      </w:pPr>
      <w:r>
        <w:rPr>
          <w:sz w:val="24"/>
          <w:color w:val="000000"/>
        </w:rPr>
        <w:t>2.在履行合同过程中，如果乙方遇到妨碍按时提供服务的情况时，应及时以书面形式将拖延的事实、可能拖延的期限和理由通知甲方。甲方在收到乙方通知后，应尽快对情况进行评价，并确定是否同意延期提供服务。</w:t>
      </w:r>
    </w:p>
    <w:p>
      <w:pPr>
        <w:pStyle w:val="null3"/>
        <w:ind w:firstLine="480"/>
        <w:jc w:val="both"/>
      </w:pPr>
      <w:r>
        <w:rPr>
          <w:sz w:val="24"/>
          <w:color w:val="000000"/>
        </w:rPr>
        <w:t>3.合同各方应通过友好协商在合理的时间内达成进一步履行合同的协议。</w:t>
      </w:r>
    </w:p>
    <w:p>
      <w:pPr>
        <w:pStyle w:val="null3"/>
        <w:ind w:firstLine="480"/>
        <w:jc w:val="both"/>
      </w:pPr>
      <w:r>
        <w:rPr>
          <w:sz w:val="24"/>
          <w:color w:val="000000"/>
        </w:rPr>
        <w:t>4.在甲方对乙方违约而采取的任何补救措施不受影响的情况下，甲方可在下列情况下向乙方发出书面通知书，提出终止部分或全部合同。</w:t>
      </w:r>
    </w:p>
    <w:p>
      <w:pPr>
        <w:pStyle w:val="null3"/>
        <w:ind w:firstLine="480"/>
        <w:jc w:val="both"/>
      </w:pPr>
      <w:r>
        <w:rPr>
          <w:sz w:val="24"/>
          <w:color w:val="000000"/>
        </w:rPr>
        <w:t>（</w:t>
      </w:r>
      <w:r>
        <w:rPr>
          <w:sz w:val="24"/>
          <w:color w:val="000000"/>
        </w:rPr>
        <w:t>1）如果乙方未能在合同规定的期限或甲方同意延长的期限内提供部分或全部服务。</w:t>
      </w:r>
    </w:p>
    <w:p>
      <w:pPr>
        <w:pStyle w:val="null3"/>
        <w:ind w:firstLine="480"/>
        <w:jc w:val="both"/>
      </w:pPr>
      <w:r>
        <w:rPr>
          <w:sz w:val="24"/>
          <w:color w:val="000000"/>
        </w:rPr>
        <w:t>（</w:t>
      </w:r>
      <w:r>
        <w:rPr>
          <w:sz w:val="24"/>
          <w:color w:val="000000"/>
        </w:rPr>
        <w:t>2）如果乙方未能履行合同规定的其它义务。</w:t>
      </w:r>
    </w:p>
    <w:p>
      <w:pPr>
        <w:pStyle w:val="null3"/>
        <w:ind w:firstLine="480"/>
        <w:jc w:val="both"/>
      </w:pPr>
      <w:r>
        <w:rPr>
          <w:sz w:val="24"/>
          <w:color w:val="000000"/>
        </w:rPr>
        <w:t>5.如果乙方不能按本合同规定向甲方提供服务，甲方有权在发出书面通知后解除合同，并停止支付合同款项或者按比例减少支付服务合同款项，若因乙方问题导致甲方造成损失，可向乙方追究赔偿。</w:t>
      </w:r>
    </w:p>
    <w:p>
      <w:pPr>
        <w:pStyle w:val="null3"/>
        <w:ind w:firstLine="480"/>
        <w:jc w:val="both"/>
      </w:pPr>
      <w:r>
        <w:rPr>
          <w:sz w:val="24"/>
          <w:color w:val="000000"/>
        </w:rPr>
        <w:t>6.如果乙方在履行合同过程中有不正当竞争行为，甲方有权解除合同，并追究其法律责任。</w:t>
      </w:r>
    </w:p>
    <w:p>
      <w:pPr>
        <w:pStyle w:val="null3"/>
        <w:ind w:firstLine="480"/>
        <w:jc w:val="both"/>
      </w:pPr>
      <w:r>
        <w:rPr>
          <w:sz w:val="24"/>
          <w:color w:val="000000"/>
        </w:rPr>
        <w:t>7.如果甲方不能按本合同规定完成相应职责，并在乙方指出后不予整改，拖延时间超过</w:t>
      </w:r>
      <w:r>
        <w:rPr>
          <w:sz w:val="24"/>
          <w:color w:val="000000"/>
          <w:u w:val="single"/>
        </w:rPr>
        <w:t xml:space="preserve"> </w:t>
      </w:r>
      <w:r>
        <w:rPr>
          <w:sz w:val="24"/>
          <w:color w:val="000000"/>
          <w:u w:val="single"/>
        </w:rPr>
        <w:t xml:space="preserve">${超过天数}   </w:t>
      </w:r>
      <w:r>
        <w:rPr>
          <w:sz w:val="24"/>
          <w:color w:val="000000"/>
        </w:rPr>
        <w:t>以上，乙方有权在发出书面通知后选择解除合同。</w:t>
      </w:r>
    </w:p>
    <w:p>
      <w:pPr>
        <w:pStyle w:val="null3"/>
        <w:ind w:firstLine="480"/>
        <w:jc w:val="both"/>
      </w:pPr>
      <w:r>
        <w:rPr>
          <w:sz w:val="24"/>
          <w:color w:val="000000"/>
        </w:rPr>
        <w:t>8.如果因上述各种原因终止合同，乙方应将所有的源代码资料文档等全部完整交接给甲方。</w:t>
      </w:r>
    </w:p>
    <w:p>
      <w:pPr>
        <w:pStyle w:val="null3"/>
        <w:ind w:firstLine="480"/>
        <w:jc w:val="both"/>
      </w:pPr>
      <w:r>
        <w:rPr>
          <w:sz w:val="24"/>
          <w:color w:val="000000"/>
        </w:rPr>
        <w:t>9.如果乙方丧失履约能力或被宣告破产，甲方可在任何时候以书面形式通知乙方终止合同而不给乙方补偿。该终止合同将不损害或影响甲方已经采取或将要采取任何行动或补救措施的权利。</w:t>
      </w:r>
    </w:p>
    <w:p>
      <w:pPr>
        <w:pStyle w:val="null3"/>
        <w:ind w:firstLine="487"/>
        <w:jc w:val="both"/>
      </w:pPr>
      <w:r>
        <w:rPr>
          <w:sz w:val="24"/>
          <w:b/>
          <w:color w:val="000000"/>
        </w:rPr>
        <w:t>第十一条</w:t>
      </w:r>
      <w:r>
        <w:rPr>
          <w:sz w:val="24"/>
          <w:b/>
          <w:color w:val="000000"/>
        </w:rPr>
        <w:t>争议解决</w:t>
      </w:r>
    </w:p>
    <w:p>
      <w:pPr>
        <w:pStyle w:val="null3"/>
        <w:ind w:firstLine="484"/>
        <w:jc w:val="both"/>
      </w:pPr>
      <w:r>
        <w:rPr>
          <w:sz w:val="24"/>
        </w:rPr>
        <w:t>如因履行本协议或与本协议有关的任何争议，双方应通过友好协商的方式加以解决。协商不成的，任何一方有权向甲方所在地有管辖权的人民法院提起诉讼。</w:t>
      </w:r>
      <w:r>
        <w:rPr>
          <w:sz w:val="24"/>
        </w:rPr>
        <w:t>除本合同及相关文件中另有约定外，按照不可抗力对履行本合同影响的程度，由各方协商决定是否解除本合同，或者部分免除履行本合同的责任，或者延期履行本合同。</w:t>
      </w:r>
    </w:p>
    <w:p>
      <w:pPr>
        <w:pStyle w:val="null3"/>
        <w:jc w:val="both"/>
      </w:pPr>
      <w:r>
        <w:rPr>
          <w:sz w:val="24"/>
          <w:b/>
          <w:color w:val="000000"/>
        </w:rPr>
        <w:t>第十二条</w:t>
      </w:r>
      <w:r>
        <w:rPr>
          <w:sz w:val="24"/>
          <w:b/>
          <w:color w:val="000000"/>
        </w:rPr>
        <w:t>不可抗力</w:t>
      </w:r>
    </w:p>
    <w:p>
      <w:pPr>
        <w:pStyle w:val="null3"/>
        <w:ind w:firstLine="480"/>
        <w:jc w:val="both"/>
      </w:pPr>
      <w:r>
        <w:rPr>
          <w:sz w:val="24"/>
          <w:color w:val="000000"/>
        </w:rPr>
        <w:t>1.如果合同各方因不可抗力而导致合同实施延误或不能履行合同义务的话，视情况可以不承担误期赔偿或不能履行合同义务的责任，但须要提供相关部门出示的证明。</w:t>
      </w:r>
    </w:p>
    <w:p>
      <w:pPr>
        <w:pStyle w:val="null3"/>
        <w:ind w:firstLine="480"/>
        <w:jc w:val="both"/>
      </w:pPr>
      <w:r>
        <w:rPr>
          <w:sz w:val="24"/>
          <w:color w:val="000000"/>
        </w:rPr>
        <w:t>2.本条所述的“不可抗力”系指那些双方不可预见、不可避免、不可克服的事件，但不包括双方的违约或疏忽。这些事件包括但不限于：战争、严重火灾、洪水、台风、地震、国家政策的重大变化，以及双方商定的其他事件。</w:t>
      </w:r>
    </w:p>
    <w:p>
      <w:pPr>
        <w:pStyle w:val="null3"/>
        <w:ind w:firstLine="480"/>
        <w:jc w:val="both"/>
      </w:pPr>
      <w:r>
        <w:rPr>
          <w:sz w:val="24"/>
          <w:color w:val="000000"/>
        </w:rPr>
        <w:t>3.在不可抗力事件发生后，当事方应尽快以书面形式将不可抗力的情况和原因通知对方。合同各方应尽可能继续履行合同义务，并积极寻求采取合理的措施履行不受不可抗力影响的其他事项。</w:t>
      </w:r>
    </w:p>
    <w:p>
      <w:pPr>
        <w:pStyle w:val="null3"/>
        <w:ind w:firstLine="480"/>
        <w:jc w:val="both"/>
      </w:pPr>
      <w:r>
        <w:rPr>
          <w:sz w:val="24"/>
          <w:color w:val="000000"/>
        </w:rPr>
        <w:t>4.合同各方应通过友好协商在合理的时间内达成进一步履行合同的协议。</w:t>
      </w:r>
      <w:r>
        <w:rPr>
          <w:sz w:val="24"/>
        </w:rPr>
        <w:t>除本合同及相关文件中另有约定外，按照不可抗力对履行本合同影响的程度，由各</w:t>
      </w:r>
      <w:r>
        <w:rPr>
          <w:sz w:val="24"/>
        </w:rPr>
        <w:t>方协商决定是否解除本合同，或者部分免除履行本合同的责任，或者延期履行本合同。</w:t>
      </w:r>
    </w:p>
    <w:p>
      <w:pPr>
        <w:pStyle w:val="null3"/>
        <w:jc w:val="both"/>
      </w:pPr>
      <w:r>
        <w:rPr>
          <w:sz w:val="24"/>
          <w:b/>
        </w:rPr>
        <w:t>第十三条</w:t>
      </w:r>
      <w:r>
        <w:rPr>
          <w:sz w:val="24"/>
          <w:b/>
        </w:rPr>
        <w:t>其它</w:t>
      </w:r>
    </w:p>
    <w:p>
      <w:pPr>
        <w:pStyle w:val="null3"/>
        <w:ind w:firstLine="470"/>
        <w:jc w:val="both"/>
      </w:pPr>
      <w:r>
        <w:rPr>
          <w:sz w:val="24"/>
        </w:rPr>
        <w:t>1.详细价格、技术说明及其它有关合同设备的特定信息由合同附件说明。所有附件及本项目的招投标文件、会议纪要、协议等均为本合同不可分割之一部分。</w:t>
      </w:r>
    </w:p>
    <w:p>
      <w:pPr>
        <w:pStyle w:val="null3"/>
        <w:ind w:firstLine="470"/>
        <w:jc w:val="both"/>
      </w:pPr>
      <w:r>
        <w:rPr>
          <w:sz w:val="24"/>
        </w:rPr>
        <w:t>2.本合同书壹式</w:t>
      </w:r>
      <w:r>
        <w:rPr>
          <w:sz w:val="24"/>
          <w:u w:val="single"/>
        </w:rPr>
        <w:t xml:space="preserve"> </w:t>
      </w:r>
      <w:r>
        <w:rPr>
          <w:sz w:val="24"/>
          <w:u w:val="single"/>
        </w:rPr>
        <w:t xml:space="preserve">${总合同份数}  </w:t>
      </w:r>
      <w:r>
        <w:rPr>
          <w:sz w:val="24"/>
        </w:rPr>
        <w:t>份，甲方</w:t>
      </w:r>
      <w:r>
        <w:rPr>
          <w:sz w:val="24"/>
          <w:u w:val="single"/>
        </w:rPr>
        <w:t xml:space="preserve"> </w:t>
      </w:r>
      <w:r>
        <w:rPr>
          <w:sz w:val="24"/>
          <w:u w:val="single"/>
        </w:rPr>
        <w:t xml:space="preserve">${甲方份数}  </w:t>
      </w:r>
      <w:r>
        <w:rPr>
          <w:sz w:val="24"/>
        </w:rPr>
        <w:t>份，乙方</w:t>
      </w:r>
      <w:r>
        <w:rPr>
          <w:sz w:val="24"/>
          <w:u w:val="single"/>
        </w:rPr>
        <w:t xml:space="preserve"> </w:t>
      </w:r>
      <w:r>
        <w:rPr>
          <w:sz w:val="24"/>
          <w:u w:val="single"/>
        </w:rPr>
        <w:t xml:space="preserve">${乙方份数}  </w:t>
      </w:r>
      <w:r>
        <w:rPr>
          <w:sz w:val="24"/>
        </w:rPr>
        <w:t>份，具有同等法律效力。</w:t>
      </w:r>
    </w:p>
    <w:p>
      <w:pPr>
        <w:pStyle w:val="null3"/>
        <w:ind w:firstLine="470"/>
        <w:jc w:val="both"/>
      </w:pPr>
      <w:r>
        <w:rPr>
          <w:sz w:val="24"/>
        </w:rPr>
        <w:t>3.本合同自双方法定代表人或其委托代理人签字，加盖双方公章或合同章即生效。</w:t>
      </w:r>
    </w:p>
    <w:p>
      <w:pPr>
        <w:pStyle w:val="null3"/>
        <w:ind w:firstLine="480"/>
        <w:jc w:val="both"/>
      </w:pPr>
      <w:r>
        <w:rPr>
          <w:sz w:val="24"/>
        </w:rPr>
        <w:t>4.未尽事宜，双方将协商解决，并就具体问题签署补充协议或备忘录。</w:t>
      </w:r>
    </w:p>
    <w:p>
      <w:pPr>
        <w:pStyle w:val="null3"/>
        <w:ind w:firstLine="472"/>
        <w:jc w:val="both"/>
      </w:pPr>
      <w:r>
        <w:rPr>
          <w:sz w:val="24"/>
          <w:b/>
        </w:rPr>
        <w:t>第十四条</w:t>
      </w:r>
      <w:r>
        <w:rPr>
          <w:sz w:val="24"/>
          <w:b/>
        </w:rPr>
        <w:t>补充条款</w:t>
      </w:r>
    </w:p>
    <w:p>
      <w:pPr>
        <w:pStyle w:val="null3"/>
        <w:ind w:firstLine="465"/>
        <w:jc w:val="left"/>
      </w:pPr>
      <w:r>
        <w:rPr>
          <w:sz w:val="24"/>
        </w:rPr>
        <w:t>经双方协商一致，补充以下条款：</w:t>
      </w:r>
    </w:p>
    <w:p>
      <w:pPr>
        <w:pStyle w:val="null3"/>
        <w:ind w:firstLine="465"/>
        <w:jc w:val="left"/>
      </w:pPr>
      <w:r>
        <w:rPr>
          <w:sz w:val="21"/>
          <w:u w:val="single"/>
        </w:rPr>
        <w:t xml:space="preserve"> </w:t>
      </w:r>
      <w:r>
        <w:rPr>
          <w:sz w:val="24"/>
          <w:color w:val="000000"/>
          <w:u w:val="single"/>
        </w:rPr>
        <w:t>${双方需要另外补充说明的其他事项}</w:t>
      </w:r>
      <w:r>
        <w:rPr>
          <w:sz w:val="21"/>
          <w:u w:val="single"/>
        </w:rPr>
        <w:t xml:space="preserve"> </w:t>
      </w:r>
      <w:r>
        <w:rPr>
          <w:sz w:val="24"/>
        </w:rPr>
        <w:t>。</w:t>
      </w:r>
    </w:p>
    <w:p>
      <w:pPr>
        <w:pStyle w:val="null3"/>
        <w:ind w:firstLine="465"/>
        <w:jc w:val="left"/>
      </w:pPr>
      <w:r>
        <w:rPr>
          <w:sz w:val="24"/>
        </w:rPr>
        <w:t xml:space="preserve">    </w:t>
      </w: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6"/>
        <w:gridCol w:w="4190"/>
      </w:tblGrid>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甲方</w:t>
            </w:r>
            <w:r>
              <w:rPr>
                <w:sz w:val="24"/>
              </w:rPr>
              <w:t>：中山市人民医院</w:t>
            </w:r>
          </w:p>
          <w:p>
            <w:pPr>
              <w:pStyle w:val="null3"/>
              <w:ind w:firstLine="200"/>
              <w:jc w:val="both"/>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r>
              <w:rPr>
                <w:sz w:val="24"/>
              </w:rPr>
              <w:t>：</w:t>
            </w:r>
            <w:r>
              <w:rPr>
                <w:sz w:val="24"/>
              </w:rPr>
              <w:t>${乙方全称}</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法定代表人或授权委托人</w:t>
            </w:r>
            <w:r>
              <w:rPr>
                <w:sz w:val="24"/>
              </w:rPr>
              <w:t>：</w:t>
            </w:r>
          </w:p>
          <w:p>
            <w:pPr>
              <w:pStyle w:val="null3"/>
              <w:ind w:firstLine="200"/>
              <w:jc w:val="both"/>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法定代表人或授权委托人</w:t>
            </w:r>
            <w:r>
              <w:rPr>
                <w:sz w:val="24"/>
              </w:rPr>
              <w:t>：</w:t>
            </w:r>
            <w:r>
              <w:rPr>
                <w:sz w:val="24"/>
              </w:rPr>
              <w:t xml:space="preserve">  </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地址</w:t>
            </w:r>
            <w:r>
              <w:rPr>
                <w:sz w:val="24"/>
              </w:rPr>
              <w:t>：中山市石岐区孙文东路</w:t>
            </w:r>
            <w:r>
              <w:rPr>
                <w:sz w:val="24"/>
              </w:rPr>
              <w:t>2号</w:t>
            </w:r>
          </w:p>
          <w:p>
            <w:pPr>
              <w:pStyle w:val="null3"/>
              <w:ind w:firstLine="200"/>
              <w:jc w:val="both"/>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r>
              <w:rPr>
                <w:sz w:val="24"/>
              </w:rPr>
              <w:t>：</w:t>
            </w:r>
            <w:r>
              <w:rPr>
                <w:sz w:val="24"/>
              </w:rPr>
              <w:t>${乙方地址}</w:t>
            </w:r>
          </w:p>
          <w:p>
            <w:pPr>
              <w:pStyle w:val="null3"/>
              <w:ind w:firstLine="200"/>
              <w:jc w:val="both"/>
            </w:pP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r>
              <w:rPr>
                <w:sz w:val="24"/>
              </w:rPr>
              <w:t>：</w:t>
            </w:r>
            <w:r>
              <w:rPr>
                <w:sz w:val="24"/>
              </w:rPr>
              <w:t>0760-88823566</w:t>
            </w:r>
          </w:p>
          <w:p>
            <w:pPr>
              <w:pStyle w:val="null3"/>
              <w:ind w:firstLine="200"/>
              <w:jc w:val="both"/>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r>
              <w:rPr>
                <w:sz w:val="24"/>
              </w:rPr>
              <w:t>：</w:t>
            </w:r>
            <w:r>
              <w:rPr>
                <w:sz w:val="24"/>
              </w:rPr>
              <w:t>${乙方电话}</w:t>
            </w:r>
          </w:p>
          <w:p>
            <w:pPr>
              <w:pStyle w:val="null3"/>
              <w:ind w:firstLine="200"/>
              <w:jc w:val="both"/>
            </w:pP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开户名称：中山市人民医院</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开户名称：</w:t>
            </w:r>
            <w:r>
              <w:rPr>
                <w:sz w:val="24"/>
              </w:rPr>
              <w:t>${乙方开户名称}</w:t>
            </w:r>
          </w:p>
          <w:p>
            <w:pPr>
              <w:pStyle w:val="null3"/>
              <w:ind w:firstLine="200"/>
              <w:jc w:val="both"/>
            </w:pP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银行账户：</w:t>
            </w:r>
            <w:r>
              <w:rPr>
                <w:sz w:val="24"/>
              </w:rPr>
              <w:t>1380 2151 6010 0082 27</w:t>
            </w:r>
          </w:p>
          <w:p>
            <w:pPr>
              <w:pStyle w:val="null3"/>
              <w:ind w:firstLine="200"/>
              <w:jc w:val="both"/>
            </w:pP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w:t>
            </w:r>
            <w:r>
              <w:rPr>
                <w:sz w:val="24"/>
              </w:rPr>
              <w:t>账号：</w:t>
            </w:r>
            <w:r>
              <w:rPr>
                <w:sz w:val="24"/>
              </w:rPr>
              <w:t>${乙方银行账号}</w:t>
            </w: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开户银行：广发银行股份有限公司中山分行</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jc w:val="both"/>
            </w:pPr>
            <w:r>
              <w:rPr>
                <w:sz w:val="24"/>
              </w:rPr>
              <w:t>开户银行：</w:t>
            </w:r>
            <w:r>
              <w:rPr>
                <w:sz w:val="24"/>
              </w:rPr>
              <w:t>$</w:t>
            </w:r>
            <w:r>
              <w:rPr>
                <w:sz w:val="24"/>
              </w:rPr>
              <w:t>{</w:t>
            </w:r>
            <w:r>
              <w:rPr>
                <w:sz w:val="24"/>
              </w:rPr>
              <w:t>乙方开户银行</w:t>
            </w:r>
            <w:r>
              <w:rPr>
                <w:sz w:val="24"/>
              </w:rPr>
              <w:t>}</w:t>
            </w:r>
          </w:p>
          <w:p>
            <w:pPr>
              <w:pStyle w:val="null3"/>
              <w:jc w:val="both"/>
            </w:pPr>
            <w:r>
              <w:rPr>
                <w:sz w:val="24"/>
              </w:rPr>
              <w:t>联行号：</w:t>
            </w:r>
            <w:r>
              <w:rPr>
                <w:sz w:val="22"/>
              </w:rPr>
              <w:t>${</w:t>
            </w:r>
            <w:r>
              <w:rPr>
                <w:sz w:val="24"/>
              </w:rPr>
              <w:t>乙方联行号</w:t>
            </w:r>
            <w:r>
              <w:rPr>
                <w:sz w:val="22"/>
              </w:rPr>
              <w:t>}</w:t>
            </w:r>
          </w:p>
          <w:p>
            <w:pPr>
              <w:pStyle w:val="null3"/>
              <w:jc w:val="both"/>
            </w:pPr>
          </w:p>
        </w:tc>
      </w:tr>
      <w:tr>
        <w:tc>
          <w:tcPr>
            <w:tcW w:type="dxa" w:w="4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200"/>
              <w:jc w:val="both"/>
            </w:pPr>
          </w:p>
        </w:tc>
      </w:tr>
    </w:tbl>
    <w:p>
      <w:pPr>
        <w:pStyle w:val="null3"/>
        <w:jc w:val="both"/>
      </w:pPr>
      <w:r>
        <w:rPr>
          <w:b/>
        </w:rPr>
        <w:t xml:space="preserve"> </w:t>
      </w:r>
      <w:r>
        <w:rPr>
          <w:sz w:val="22"/>
          <w:b/>
        </w:rPr>
        <w:t>附件</w:t>
      </w:r>
      <w:r>
        <w:rPr>
          <w:sz w:val="22"/>
          <w:b/>
        </w:rPr>
        <w:t>1 项目详细服务内容</w:t>
      </w:r>
    </w:p>
    <w:p>
      <w:pPr>
        <w:pStyle w:val="null3"/>
        <w:jc w:val="both"/>
      </w:pPr>
      <w:r>
        <w:rPr>
          <w:sz w:val="22"/>
          <w:b/>
        </w:rPr>
        <w:t>一、</w:t>
      </w:r>
      <w:r>
        <w:rPr>
          <w:sz w:val="22"/>
          <w:b/>
        </w:rPr>
        <w:t>软件功能及参数清单</w:t>
      </w:r>
    </w:p>
    <w:p>
      <w:pPr>
        <w:pStyle w:val="null3"/>
        <w:jc w:val="both"/>
      </w:pPr>
      <w:r>
        <w:rPr>
          <w:sz w:val="22"/>
          <w:b/>
        </w:rPr>
        <w:t>（一）</w:t>
      </w:r>
      <w:r>
        <w:rPr>
          <w:sz w:val="22"/>
          <w:b/>
        </w:rPr>
        <w:t>软件总体要求</w:t>
      </w:r>
    </w:p>
    <w:tbl>
      <w:tblPr>
        <w:tblW w:w="0" w:type="auto"/>
        <w:tblBorders>
          <w:top w:val="none" w:color="000000" w:sz="4"/>
          <w:left w:val="none" w:color="000000" w:sz="4"/>
          <w:bottom w:val="none" w:color="000000" w:sz="4"/>
          <w:right w:val="none" w:color="000000" w:sz="4"/>
          <w:insideH w:val="none"/>
          <w:insideV w:val="none"/>
        </w:tblBorders>
      </w:tblPr>
      <w:tblGrid>
        <w:gridCol w:w="675"/>
        <w:gridCol w:w="975"/>
        <w:gridCol w:w="6225"/>
      </w:tblGrid>
      <w:tr>
        <w:tc>
          <w:tcPr>
            <w:tcW w:type="dxa" w:w="67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rPr>
              <w:t>序号</w:t>
            </w:r>
          </w:p>
        </w:tc>
        <w:tc>
          <w:tcPr>
            <w:tcW w:type="dxa" w:w="97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rPr>
              <w:t>项目</w:t>
            </w:r>
          </w:p>
        </w:tc>
        <w:tc>
          <w:tcPr>
            <w:tcW w:type="dxa" w:w="622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rPr>
              <w:t>要求</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标准化</w:t>
            </w:r>
          </w:p>
        </w:tc>
        <w:tc>
          <w:tcPr>
            <w:tcW w:type="dxa" w:w="6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系统须遵循</w:t>
            </w:r>
            <w:r>
              <w:rPr>
                <w:sz w:val="22"/>
              </w:rPr>
              <w:t>HL7、RIM、CDA、FHIR数据交换、ICD-9、ICD-10、SNOMED-CT、IHE等规范和标准，以及其他卫生信息相关的国家标准和规范；实现与信息平台、HIS 系统、电子病历系统、归档系统等信息系统按医院的接口要求集成，系统要按医院要求提供规范化的数据接口。</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高可用</w:t>
            </w:r>
          </w:p>
        </w:tc>
        <w:tc>
          <w:tcPr>
            <w:tcW w:type="dxa" w:w="6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整个项目系统要求每周</w:t>
            </w:r>
            <w:r>
              <w:rPr>
                <w:sz w:val="22"/>
              </w:rPr>
              <w:t>7</w:t>
            </w:r>
            <w:r>
              <w:rPr>
                <w:sz w:val="21"/>
                <w:color w:val="000000"/>
              </w:rPr>
              <w:t>×</w:t>
            </w:r>
            <w:r>
              <w:rPr>
                <w:sz w:val="22"/>
              </w:rPr>
              <w:t>24小时运行，全年持续运行故障停运时间累计不得超过1小时。必须具备高稳定性和完整的应急切换方案。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高性能</w:t>
            </w:r>
          </w:p>
        </w:tc>
        <w:tc>
          <w:tcPr>
            <w:tcW w:type="dxa" w:w="6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除高级处理功能外，能够满足全院所有终端在线使用，响应时间不高于</w:t>
            </w:r>
            <w:r>
              <w:rPr>
                <w:sz w:val="22"/>
              </w:rPr>
              <w:t>3秒。</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安全性</w:t>
            </w:r>
          </w:p>
        </w:tc>
        <w:tc>
          <w:tcPr>
            <w:tcW w:type="dxa" w:w="6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符合信息安全等级保护</w:t>
            </w:r>
            <w:r>
              <w:rPr>
                <w:sz w:val="22"/>
              </w:rPr>
              <w:t>2.0 三级测评要求。满足医院组织的第三方安全测评的全部要求。若有不满足，需要立即整改且不收取额外的费用。系统永久授权甲方使用，数据库数据须没有加密，如有加密的，须向甲方提供解密技术。</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集成</w:t>
            </w:r>
          </w:p>
          <w:p>
            <w:pPr>
              <w:pStyle w:val="null3"/>
              <w:jc w:val="center"/>
            </w:pPr>
            <w:r>
              <w:rPr>
                <w:sz w:val="22"/>
              </w:rPr>
              <w:t>服务</w:t>
            </w:r>
          </w:p>
        </w:tc>
        <w:tc>
          <w:tcPr>
            <w:tcW w:type="dxa" w:w="6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系统应与医院现有的相关信息系统（包括但不限于</w:t>
            </w:r>
            <w:r>
              <w:rPr>
                <w:sz w:val="22"/>
              </w:rPr>
              <w:t>HIS 系统、PACS 系统、EMR 系统、LIS 系统、集成平台、数据中心、影像中心、归档系统、危急值系统、数据字典、CA签名系统、体检系统、医保系统、省厅病案系统、供应室系统、合理用药、阳光用药系统等所有业务需要的相关系统）对接，乙方不得收取与第三方系统对接产生的费用，实现各应用系统数据互联互通。</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系统</w:t>
            </w:r>
          </w:p>
          <w:p>
            <w:pPr>
              <w:pStyle w:val="null3"/>
              <w:jc w:val="center"/>
            </w:pPr>
            <w:r>
              <w:rPr>
                <w:sz w:val="22"/>
              </w:rPr>
              <w:t>设计</w:t>
            </w:r>
          </w:p>
        </w:tc>
        <w:tc>
          <w:tcPr>
            <w:tcW w:type="dxa" w:w="6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乙方须根据中山市人民医院信息化系统及业务需求开展，深入调研，形成需求规格说明书及项目实施方案，确保能满足建设工程项目建设要求，符合三级综合医院评审标准、</w:t>
            </w:r>
            <w:r>
              <w:rPr>
                <w:sz w:val="22"/>
              </w:rPr>
              <w:t>HQMS 质量体系、智慧服务、智慧管理等相关标准规范，乙方须提供详细的深化设计方案。</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代码</w:t>
            </w:r>
          </w:p>
          <w:p>
            <w:pPr>
              <w:pStyle w:val="null3"/>
              <w:jc w:val="center"/>
            </w:pPr>
            <w:r>
              <w:rPr>
                <w:sz w:val="22"/>
              </w:rPr>
              <w:t>规范</w:t>
            </w:r>
          </w:p>
        </w:tc>
        <w:tc>
          <w:tcPr>
            <w:tcW w:type="dxa" w:w="6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乙方的程序开发须严格遵照相关的国际、国内及行业标准，确保系统软件开发的规范化，要有统一的命名规范、编码风格、代码布局格式及详尽的程序注解等，对软件开发的各个阶段均应进行质量评审，并提供评审报告。</w:t>
            </w:r>
          </w:p>
        </w:tc>
      </w:tr>
    </w:tbl>
    <w:p>
      <w:pPr>
        <w:pStyle w:val="null3"/>
        <w:jc w:val="both"/>
      </w:pPr>
      <w:r>
        <w:rPr>
          <w:sz w:val="22"/>
          <w:b/>
        </w:rPr>
        <w:t>（二）软件功能配置清单（包括但不限于）：</w:t>
      </w:r>
    </w:p>
    <w:tbl>
      <w:tblPr>
        <w:tblW w:w="0" w:type="auto"/>
        <w:tblBorders>
          <w:top w:val="none" w:color="000000" w:sz="4"/>
          <w:left w:val="none" w:color="000000" w:sz="4"/>
          <w:bottom w:val="none" w:color="000000" w:sz="4"/>
          <w:right w:val="none" w:color="000000" w:sz="4"/>
          <w:insideH w:val="none"/>
          <w:insideV w:val="none"/>
        </w:tblBorders>
      </w:tblPr>
      <w:tblGrid>
        <w:gridCol w:w="766"/>
        <w:gridCol w:w="4418"/>
        <w:gridCol w:w="781"/>
        <w:gridCol w:w="781"/>
        <w:gridCol w:w="781"/>
        <w:gridCol w:w="781"/>
      </w:tblGrid>
      <w:tr>
        <w:tc>
          <w:tcPr>
            <w:tcW w:type="dxa" w:w="766"/>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color w:val="000000"/>
              </w:rPr>
              <w:t>序号</w:t>
            </w:r>
          </w:p>
        </w:tc>
        <w:tc>
          <w:tcPr>
            <w:tcW w:type="dxa" w:w="4418"/>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color w:val="000000"/>
              </w:rPr>
              <w:t>功能名称</w:t>
            </w:r>
          </w:p>
        </w:tc>
        <w:tc>
          <w:tcPr>
            <w:tcW w:type="dxa" w:w="781"/>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color w:val="000000"/>
              </w:rPr>
              <w:t>数量</w:t>
            </w:r>
          </w:p>
        </w:tc>
        <w:tc>
          <w:tcPr>
            <w:tcW w:type="dxa" w:w="781"/>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color w:val="000000"/>
              </w:rPr>
              <w:t>单位</w:t>
            </w:r>
          </w:p>
        </w:tc>
        <w:tc>
          <w:tcPr>
            <w:tcW w:type="dxa" w:w="781"/>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color w:val="000000"/>
              </w:rPr>
              <w:t>权重（</w:t>
            </w:r>
            <w:r>
              <w:rPr>
                <w:sz w:val="22"/>
                <w:b/>
                <w:color w:val="000000"/>
              </w:rPr>
              <w:t>%</w:t>
            </w:r>
            <w:r>
              <w:rPr>
                <w:sz w:val="22"/>
                <w:b/>
                <w:color w:val="000000"/>
              </w:rPr>
              <w:t>）</w:t>
            </w:r>
          </w:p>
        </w:tc>
        <w:tc>
          <w:tcPr>
            <w:tcW w:type="dxa" w:w="781"/>
            <w:tcBorders>
              <w:top w:val="single" w:color="000000" w:sz="4"/>
              <w:left w:val="none" w:color="000000" w:sz="4"/>
              <w:bottom w:val="single" w:color="000000" w:sz="4"/>
              <w:right w:val="single" w:color="000000" w:sz="4"/>
            </w:tcBorders>
            <w:shd w:fill="D8D8D8"/>
            <w:tcMar>
              <w:top w:type="dxa" w:w="0"/>
              <w:left w:type="dxa" w:w="105"/>
              <w:bottom w:type="dxa" w:w="0"/>
              <w:right w:type="dxa" w:w="105"/>
            </w:tcMar>
            <w:vAlign w:val="top"/>
          </w:tcPr>
          <w:p>
            <w:pPr>
              <w:pStyle w:val="null3"/>
              <w:jc w:val="center"/>
            </w:pPr>
            <w:r>
              <w:rPr>
                <w:sz w:val="22"/>
                <w:b/>
                <w:color w:val="000000"/>
              </w:rPr>
              <w:t>进度（月）</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医院指标统一管理模块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0</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运营标准指标库的建设</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5</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.5</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智慧报表系统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r>
              <w:rPr>
                <w:sz w:val="22"/>
                <w:color w:val="000000"/>
              </w:rPr>
              <w:t>.5</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病种管理评价分析模型</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r>
              <w:rPr>
                <w:sz w:val="22"/>
                <w:color w:val="000000"/>
              </w:rPr>
              <w:t>.75</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高精尖技术运行指标监测</w:t>
            </w:r>
            <w:r>
              <w:rPr>
                <w:sz w:val="22"/>
              </w:rPr>
              <w:t>模块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r>
              <w:rPr>
                <w:sz w:val="22"/>
                <w:color w:val="000000"/>
              </w:rPr>
              <w:t>.75</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运营管理测算分析模块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重点监测指标看板和自定义指标监测看板</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r>
              <w:rPr>
                <w:sz w:val="22"/>
                <w:color w:val="000000"/>
              </w:rPr>
              <w:t>.5</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医疗服务能力与质量安全监测数据分析系统</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r>
              <w:rPr>
                <w:sz w:val="22"/>
                <w:color w:val="000000"/>
              </w:rPr>
              <w:t>5</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收入成本核算模块</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2</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.5</w:t>
            </w:r>
          </w:p>
        </w:tc>
      </w:tr>
      <w:tr>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4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人员培训</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w:t>
            </w:r>
            <w:r>
              <w:rPr>
                <w:sz w:val="22"/>
                <w:color w:val="000000"/>
              </w:rPr>
              <w:t>.5</w:t>
            </w:r>
          </w:p>
        </w:tc>
      </w:tr>
    </w:tbl>
    <w:p>
      <w:pPr>
        <w:pStyle w:val="null3"/>
        <w:jc w:val="both"/>
      </w:pPr>
      <w:r>
        <w:rPr>
          <w:sz w:val="22"/>
          <w:b/>
        </w:rPr>
        <w:t>（三）软件功能详细要求</w:t>
      </w:r>
    </w:p>
    <w:p>
      <w:pPr>
        <w:pStyle w:val="null3"/>
        <w:jc w:val="both"/>
      </w:pPr>
      <w:r>
        <w:rPr>
          <w:sz w:val="22"/>
          <w:b/>
        </w:rPr>
        <w:t>1.医院指标统一管理模块</w:t>
      </w:r>
      <w:r>
        <w:rPr>
          <w:sz w:val="22"/>
          <w:b/>
        </w:rPr>
        <w:t>要求</w:t>
      </w:r>
    </w:p>
    <w:p>
      <w:pPr>
        <w:pStyle w:val="null3"/>
        <w:ind w:firstLine="440"/>
        <w:jc w:val="both"/>
      </w:pPr>
      <w:r>
        <w:rPr>
          <w:sz w:val="22"/>
        </w:rPr>
        <w:t>1.1.</w:t>
      </w:r>
      <w:r>
        <w:rPr>
          <w:sz w:val="22"/>
        </w:rPr>
        <w:t>实现对指标数据进行集中管理，</w:t>
      </w:r>
      <w:r>
        <w:rPr>
          <w:sz w:val="22"/>
        </w:rPr>
        <w:t>包括但不限于</w:t>
      </w:r>
      <w:r>
        <w:rPr>
          <w:sz w:val="22"/>
        </w:rPr>
        <w:t>集成数据管理、指标口径管理、数据字典表管理、经验算法管理、数据权限管理和上报数据管理的功能</w:t>
      </w:r>
      <w:r>
        <w:rPr>
          <w:sz w:val="22"/>
        </w:rPr>
        <w:t>等</w:t>
      </w:r>
      <w:r>
        <w:rPr>
          <w:sz w:val="22"/>
        </w:rPr>
        <w:t>。</w:t>
      </w:r>
    </w:p>
    <w:p>
      <w:pPr>
        <w:pStyle w:val="null3"/>
        <w:ind w:firstLine="440"/>
        <w:jc w:val="both"/>
      </w:pPr>
      <w:r>
        <w:rPr>
          <w:sz w:val="22"/>
        </w:rPr>
        <w:t>1.2.</w:t>
      </w:r>
      <w:r>
        <w:rPr>
          <w:sz w:val="22"/>
        </w:rPr>
        <w:t>通过集成数据管理，可以查询抽取的数据系统来源、数据表、数据抽取频率、数据更新时间等信息，用于原始数据溯源。</w:t>
      </w:r>
    </w:p>
    <w:p>
      <w:pPr>
        <w:pStyle w:val="null3"/>
        <w:ind w:firstLine="440"/>
        <w:jc w:val="both"/>
      </w:pPr>
      <w:r>
        <w:rPr>
          <w:sz w:val="22"/>
        </w:rPr>
        <w:t>1.3.</w:t>
      </w:r>
      <w:r>
        <w:rPr>
          <w:sz w:val="22"/>
        </w:rPr>
        <w:t>通过指标口径管理，可以维护和查询各指标的代码、名称、构成、数据来源、逻辑计算方法、管理导向等内容，一方面实现指标的标准化管理，另一方面在全院范围内实现指标口径知识共享。</w:t>
      </w:r>
    </w:p>
    <w:p>
      <w:pPr>
        <w:pStyle w:val="null3"/>
        <w:ind w:firstLine="440"/>
        <w:jc w:val="both"/>
      </w:pPr>
      <w:r>
        <w:rPr>
          <w:sz w:val="22"/>
        </w:rPr>
        <w:t>1.4.</w:t>
      </w:r>
      <w:r>
        <w:rPr>
          <w:sz w:val="22"/>
        </w:rPr>
        <w:t>通过字典表管理，实现系统相关字典表的统一管理和动态维护。</w:t>
      </w:r>
    </w:p>
    <w:p>
      <w:pPr>
        <w:pStyle w:val="null3"/>
        <w:ind w:firstLine="440"/>
        <w:jc w:val="both"/>
      </w:pPr>
      <w:r>
        <w:rPr>
          <w:sz w:val="22"/>
        </w:rPr>
        <w:t>1.5.</w:t>
      </w:r>
      <w:r>
        <w:rPr>
          <w:sz w:val="22"/>
        </w:rPr>
        <w:t>通过经验算法管理，对指标实施过程中的一些逻辑形成固定的知识沉淀在系统中，实现逻辑的复用和动态维护。</w:t>
      </w:r>
    </w:p>
    <w:p>
      <w:pPr>
        <w:pStyle w:val="null3"/>
        <w:ind w:firstLine="440"/>
        <w:jc w:val="both"/>
      </w:pPr>
      <w:r>
        <w:rPr>
          <w:sz w:val="22"/>
        </w:rPr>
        <w:t>1.6.</w:t>
      </w:r>
      <w:r>
        <w:rPr>
          <w:sz w:val="22"/>
        </w:rPr>
        <w:t>改造后的数据权限管理将实现各个用户组群最小颗粒度的数据控制，从技术上解决权限管理分散、复杂的问题。</w:t>
      </w:r>
    </w:p>
    <w:p>
      <w:pPr>
        <w:pStyle w:val="null3"/>
        <w:ind w:firstLine="440"/>
        <w:jc w:val="both"/>
      </w:pPr>
      <w:r>
        <w:rPr>
          <w:sz w:val="22"/>
        </w:rPr>
        <w:t>1.7.</w:t>
      </w:r>
      <w:r>
        <w:rPr>
          <w:sz w:val="22"/>
        </w:rPr>
        <w:t>通过上报数据管理，动态查看每个统计期间数据上报情况。</w:t>
      </w:r>
    </w:p>
    <w:p>
      <w:pPr>
        <w:pStyle w:val="null3"/>
        <w:ind w:firstLine="440"/>
        <w:jc w:val="both"/>
      </w:pPr>
      <w:r>
        <w:rPr>
          <w:sz w:val="22"/>
        </w:rPr>
        <w:t>1.8.</w:t>
      </w:r>
      <w:r>
        <w:rPr>
          <w:sz w:val="22"/>
        </w:rPr>
        <w:t>对接</w:t>
      </w:r>
      <w:r>
        <w:rPr>
          <w:sz w:val="22"/>
        </w:rPr>
        <w:t>AI大模型赋能医院管理。</w:t>
      </w:r>
    </w:p>
    <w:p>
      <w:pPr>
        <w:pStyle w:val="null3"/>
        <w:ind w:firstLine="440"/>
        <w:jc w:val="both"/>
      </w:pPr>
      <w:r>
        <w:rPr>
          <w:sz w:val="22"/>
        </w:rPr>
        <w:t>1.9.技术参数要求</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718"/>
        <w:gridCol w:w="968"/>
        <w:gridCol w:w="865"/>
        <w:gridCol w:w="5439"/>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模块</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功能</w:t>
            </w:r>
          </w:p>
          <w:p>
            <w:pPr>
              <w:pStyle w:val="null3"/>
              <w:jc w:val="center"/>
            </w:pPr>
            <w:r>
              <w:rPr>
                <w:sz w:val="22"/>
                <w:b/>
                <w:color w:val="000000"/>
              </w:rPr>
              <w:t>名称</w:t>
            </w:r>
          </w:p>
        </w:tc>
        <w:tc>
          <w:tcPr>
            <w:tcW w:type="dxa" w:w="5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参数说明</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集成开发管理功能</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集成</w:t>
            </w:r>
          </w:p>
          <w:p>
            <w:pPr>
              <w:pStyle w:val="null3"/>
              <w:jc w:val="center"/>
            </w:pPr>
            <w:r>
              <w:rPr>
                <w:sz w:val="22"/>
                <w:color w:val="000000"/>
              </w:rPr>
              <w:t>开发</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具备从数据采集处理、数据建模、指标管理和门户展现的统一开发和脚本管理功能。</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集成</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采集</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提供数据集成服务，系统具备与医院病案、</w:t>
            </w:r>
            <w:r>
              <w:rPr>
                <w:sz w:val="22"/>
                <w:color w:val="000000"/>
              </w:rPr>
              <w:t>HIS、手麻、LIS、输血、院感、电子病历、不良事件和PACS等业务系统或医院数据集成平台进行对接，采集相关数据的能力。</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图形化开发</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提供图形化开发界面，数据处理功能模块化，支持拖放操作，采用数据流方式开发。</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自动化抽取</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对抽取的数据进行明确定义，包括但不限于表定义、数据源、取值频率（按天、按月或实时）和取值方法（整表抽取或增量抽取等）等。</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数据集</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根据患者就诊场景建立门诊收费、门诊挂号、病人出入院、住院收费、住院手术和门诊住院检查等各类数据集，数据集里包含患者就诊过程的明细信息。</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患者画像标签</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建立患者画像标签。根据患者就诊信息建立其病种、并发症和手术级别等多元化标签，提供聚类分析基础。</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数据立方体模型</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构建</w:t>
            </w:r>
          </w:p>
          <w:p>
            <w:pPr>
              <w:pStyle w:val="null3"/>
              <w:jc w:val="center"/>
            </w:pPr>
            <w:r>
              <w:rPr>
                <w:sz w:val="22"/>
                <w:color w:val="000000"/>
              </w:rPr>
              <w:t>模型</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根据分析主题构建数据立方体模型，在构建过程中所有的计算得到预先完成，可保存细节数据和聚合后的数据，即所有相关数据结果（统计数据与明细数据）都可直接加载到数据模型里，在查询时可以直接访问这些预计算的结果，避免实时计算的开销。</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模型</w:t>
            </w:r>
          </w:p>
          <w:p>
            <w:pPr>
              <w:pStyle w:val="null3"/>
              <w:jc w:val="center"/>
            </w:pPr>
            <w:r>
              <w:rPr>
                <w:sz w:val="22"/>
                <w:color w:val="000000"/>
              </w:rPr>
              <w:t>存储</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数据立方体模型以聚合后的加密文件方式存储，不用依赖于传统数据库进行存储。</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溯源</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通过数据立方体模型可以从指标统计结果溯源数据明细（如患者清单、费用明细、药品明细等）。</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跨模型分析</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跨数据模型分析。利用相同主键把多个数据立方体模型进行关联，构建虚拟数据立方体模型，实现逻辑支持下的跨数据模型关联合并，进行跨数据主题的关联数据分析，便捷扩展主题分析的内容。</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共享</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共享</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数据立方体模型具备可通过</w:t>
            </w:r>
            <w:r>
              <w:rPr>
                <w:sz w:val="22"/>
                <w:color w:val="000000"/>
              </w:rPr>
              <w:t>ODBC接口把数据开放共享给第三方平台/工具调用。</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9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标准指标库</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原子指标管理</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基于数据集的患者画像标签、医嘱信息、病案信息、手术信息等定义基础原子指标数据计算逻辑。</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指标库管理功能</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支持将复合指标进行分解管理，详细拆分指标的分子、分母等，可对每个指标进行详细的配置与管理，包括但不限于指标说明、格式、导向、数据来源、计算公式等属性。</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指标血缘图谱</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以查看指标组合血缘拓扑图，从而直观查看影响指标的子指标因素。同时，支持查看任意指标的引用关系图谱，从而确认该指标口径变更时将造成的影响范围，并支持跳转到下级指标分析（指标数值、指标趋势和科室分析等）。</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w:t>
            </w:r>
          </w:p>
          <w:p>
            <w:pPr>
              <w:pStyle w:val="null3"/>
              <w:jc w:val="center"/>
            </w:pPr>
            <w:r>
              <w:rPr>
                <w:sz w:val="22"/>
                <w:color w:val="000000"/>
              </w:rPr>
              <w:t>调用</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指标可快速被平台前端门户调用，并可以在门户端查看其指标定义，指标趋势，血缘图谱和进行多维分析与专题分析。</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经验算法集</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内置指标算法集（如三甲评审标准的专科指标），可快速配置引用于指标计算，对涉及医嘱或费用项目的指标，可对项目名称进行更新管理。</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ICD编码配置与管理</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内置《手术操作分类代码国家临床版</w:t>
            </w:r>
            <w:r>
              <w:rPr>
                <w:sz w:val="22"/>
                <w:color w:val="000000"/>
              </w:rPr>
              <w:t>3.0》和《疾病分类与代码国家临床版2.0》编码库和取数方式，可编辑管理。</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患者标签知识库</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针对患者的医疗治理的医嘱行为建立医嘱的治疗的标签列表，可以快速匹配和查询患者的医嘱治疗对应的条件。</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指标人工质控配置</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针对需要结合人工审核二次质控判断的指标，系统提供人工质控配置功能，为相应指标设定二次质控判断条件和质控确认功能。</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指标参考值</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内嵌指标的参考值和标杆值，例如国家、省级等评指标的参考达标值。</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指标警示设置</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全院和科级的指标警示功能，可设置目标值、预警阈值警示，或设定指标监测趋势（如逐步提升等）进行警示。</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9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指标卡概况</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指标卡含有指标说明（包括数据来源，计算逻辑等）、指标趋势（近</w:t>
            </w:r>
            <w:r>
              <w:rPr>
                <w:sz w:val="22"/>
                <w:color w:val="000000"/>
              </w:rPr>
              <w:t>30天和近12个月趋势）和科室指标情况。</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指标卡分析功能</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指标卡可以按时间维度、全院、科室维度、医疗组维度和医生维度进行灵活的自定义切换分析。</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指标卡统计</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指标卡通过直方图展现指标年度值、年度平均值、年度中位值，并以日历图方式展现各天数值情况。</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自定义时间查询</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指标卡可以自定义时间区间查看指标值、同比值和指标趋势。</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指标卡关联分析</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指标卡能够在与其存在计算关系的指标之间进行切换分析。</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大数据引擎</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大数据引擎</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大数据引擎支持多源系统大数据集成与脚本化流程语言开发，</w:t>
            </w:r>
            <w:r>
              <w:rPr>
                <w:sz w:val="22"/>
                <w:color w:val="24292F"/>
                <w:shd w:fill="FFFFFF" w:val="clear"/>
              </w:rPr>
              <w:t>采用</w:t>
            </w:r>
            <w:r>
              <w:rPr>
                <w:sz w:val="22"/>
                <w:color w:val="000000"/>
              </w:rPr>
              <w:t>模块化架构，将数</w:t>
            </w:r>
            <w:r>
              <w:rPr>
                <w:sz w:val="22"/>
                <w:color w:val="24292F"/>
                <w:shd w:fill="FFFFFF" w:val="clear"/>
              </w:rPr>
              <w:t>据处理流程拆分为</w:t>
            </w:r>
            <w:r>
              <w:rPr>
                <w:sz w:val="22"/>
              </w:rPr>
              <w:t>输入节点、处理节点和输出节点</w:t>
            </w:r>
            <w:r>
              <w:rPr>
                <w:sz w:val="22"/>
                <w:color w:val="24292F"/>
                <w:shd w:fill="FFFFFF" w:val="clear"/>
              </w:rPr>
              <w:t>，形成可视化逻辑链。</w:t>
            </w:r>
            <w:r>
              <w:rPr>
                <w:sz w:val="22"/>
                <w:color w:val="000000"/>
              </w:rPr>
              <w:t>通过节点化操作实现从数据输入、加工到输出的全生命周期管理。</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9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AI大模型对接</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模型</w:t>
            </w:r>
          </w:p>
          <w:p>
            <w:pPr>
              <w:pStyle w:val="null3"/>
              <w:jc w:val="center"/>
            </w:pPr>
            <w:r>
              <w:rPr>
                <w:sz w:val="22"/>
                <w:color w:val="000000"/>
              </w:rPr>
              <w:t>对接</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24292F"/>
                <w:shd w:fill="FFFFFF" w:val="clear"/>
              </w:rPr>
              <w:t>提供</w:t>
            </w:r>
            <w:r>
              <w:rPr>
                <w:sz w:val="22"/>
                <w:color w:val="24292F"/>
                <w:shd w:fill="FFFFFF" w:val="clear"/>
              </w:rPr>
              <w:t>API接口配置，支持主流AI大模型（如DeepSeek）的调用，可以与医院本地部署的AI大模型进行对接。</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启动</w:t>
            </w:r>
            <w:r>
              <w:rPr>
                <w:sz w:val="22"/>
                <w:color w:val="000000"/>
              </w:rPr>
              <w:t>/关闭AI对话框</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w:t>
            </w:r>
            <w:r>
              <w:rPr>
                <w:sz w:val="22"/>
                <w:color w:val="000000"/>
              </w:rPr>
              <w:t>AI对话框的触发按钮，通过点击按钮可以打开和关闭AI对话框。关闭AI对话框时自动保存未完成的会话上下文，并释放系统资源。</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对话驱动统计图表</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支持根据</w:t>
            </w:r>
            <w:r>
              <w:rPr>
                <w:sz w:val="22"/>
                <w:color w:val="000000"/>
              </w:rPr>
              <w:t>AI对话框的自然语言指令要求（如指标名称、统计周期和图形需求等），提供相应统计结果图表。同时，根据对话需求可以切换统计图表类型。</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对话驱动报表内容管理</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通过</w:t>
            </w:r>
            <w:r>
              <w:rPr>
                <w:sz w:val="22"/>
                <w:color w:val="000000"/>
              </w:rPr>
              <w:t>AI对话对报表内容进行增加和删除操作，该功能仅允许具备“数据编辑”角色的用户执行。</w:t>
            </w:r>
          </w:p>
          <w:p>
            <w:pPr>
              <w:pStyle w:val="null3"/>
              <w:jc w:val="both"/>
            </w:pPr>
            <w:r>
              <w:rPr>
                <w:sz w:val="22"/>
                <w:color w:val="000000"/>
              </w:rPr>
              <w:t>报表操作动作由后台脚步进行定义限定，以便于控制用户操作权限以及精确控制动作执行内容。</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968"/>
            <w:vMerge/>
            <w:tcBorders>
              <w:top w:val="none" w:color="000000" w:sz="4"/>
              <w:left w:val="single" w:color="000000" w:sz="4"/>
              <w:bottom w:val="single" w:color="000000" w:sz="4"/>
              <w:right w:val="single" w:color="000000" w:sz="4"/>
            </w:tcBorders>
          </w:tc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AI对话数据权限管理</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要求用户的</w:t>
            </w:r>
            <w:r>
              <w:rPr>
                <w:sz w:val="22"/>
                <w:color w:val="000000"/>
              </w:rPr>
              <w:t>AI对话访问数据权限与其门户数据访问权限保持一致，禁止越权数据查询的情况出现。登录指标门户后不同的用户角色（如院领导、职能科室主任、临床科室主任等）具备不同的门户数据访问权限，通过AI对话框能获取到的数据范围与其门户角色权限一致。</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增强报表分析</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增强报表分析</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前端门户报表不再局限于报表内容的静态展现，更具备灵活分析的报表功能。在门户报表上可根据分析需求，通过点击报表选择钻取分析维度，从而实现在当前报表进行院级、科级、医疗组级、医生级的数据钻取分析。</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结果</w:t>
            </w:r>
          </w:p>
          <w:p>
            <w:pPr>
              <w:pStyle w:val="null3"/>
              <w:jc w:val="center"/>
            </w:pPr>
            <w:r>
              <w:rPr>
                <w:sz w:val="22"/>
                <w:color w:val="000000"/>
              </w:rPr>
              <w:t>导出</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导出</w:t>
            </w:r>
          </w:p>
          <w:p>
            <w:pPr>
              <w:pStyle w:val="null3"/>
              <w:jc w:val="center"/>
            </w:pPr>
            <w:r>
              <w:rPr>
                <w:sz w:val="22"/>
                <w:color w:val="000000"/>
              </w:rPr>
              <w:t>功能</w:t>
            </w:r>
          </w:p>
        </w:tc>
        <w:tc>
          <w:tcPr>
            <w:tcW w:type="dxa" w:w="5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支持可视化指标分析结果导出为</w:t>
            </w:r>
            <w:r>
              <w:rPr>
                <w:sz w:val="22"/>
                <w:color w:val="000000"/>
              </w:rPr>
              <w:t>Excel/PDF文件等功能。</w:t>
            </w:r>
          </w:p>
        </w:tc>
      </w:tr>
    </w:tbl>
    <w:p>
      <w:pPr>
        <w:pStyle w:val="null3"/>
        <w:jc w:val="both"/>
      </w:pPr>
      <w:r>
        <w:rPr>
          <w:sz w:val="22"/>
          <w:b/>
        </w:rPr>
        <w:t>2.</w:t>
      </w:r>
      <w:r>
        <w:rPr>
          <w:sz w:val="22"/>
          <w:b/>
        </w:rPr>
        <w:t>运管标准指标库建设要求</w:t>
      </w:r>
    </w:p>
    <w:p>
      <w:pPr>
        <w:pStyle w:val="null3"/>
        <w:ind w:firstLine="440"/>
        <w:jc w:val="both"/>
      </w:pPr>
      <w:r>
        <w:rPr>
          <w:sz w:val="22"/>
        </w:rPr>
        <w:t>2.1.</w:t>
      </w:r>
      <w:r>
        <w:rPr>
          <w:sz w:val="22"/>
        </w:rPr>
        <w:t>推进运营管理标准指标库的建设，实现</w:t>
      </w:r>
      <w:r>
        <w:rPr>
          <w:sz w:val="22"/>
        </w:rPr>
        <w:t>262</w:t>
      </w:r>
      <w:r>
        <w:rPr>
          <w:sz w:val="22"/>
        </w:rPr>
        <w:t>个运营管理指标的建设，主要覆盖</w:t>
      </w:r>
      <w:r>
        <w:rPr>
          <w:sz w:val="22"/>
        </w:rPr>
        <w:t>包括但不限于</w:t>
      </w:r>
      <w:r>
        <w:rPr>
          <w:sz w:val="22"/>
        </w:rPr>
        <w:t>中医药建设指标、特需医疗服务监测指标、</w:t>
      </w:r>
      <w:r>
        <w:rPr>
          <w:sz w:val="22"/>
        </w:rPr>
        <w:t>VTE</w:t>
      </w:r>
      <w:r>
        <w:rPr>
          <w:sz w:val="22"/>
        </w:rPr>
        <w:t>监测指标、临床路径监测指标、肿瘤药物监测指标、手术管理质控指标和门诊运行效率指标</w:t>
      </w:r>
      <w:r>
        <w:rPr>
          <w:sz w:val="22"/>
        </w:rPr>
        <w:t>等</w:t>
      </w:r>
      <w:r>
        <w:rPr>
          <w:sz w:val="22"/>
        </w:rPr>
        <w:t>。</w:t>
      </w:r>
    </w:p>
    <w:tbl>
      <w:tblPr>
        <w:tblW w:w="0" w:type="auto"/>
        <w:tblBorders>
          <w:top w:val="none" w:color="000000" w:sz="4"/>
          <w:left w:val="none" w:color="000000" w:sz="4"/>
          <w:bottom w:val="none" w:color="000000" w:sz="4"/>
          <w:right w:val="none" w:color="000000" w:sz="4"/>
          <w:insideH w:val="none"/>
          <w:insideV w:val="none"/>
        </w:tblBorders>
      </w:tblPr>
      <w:tblGrid>
        <w:gridCol w:w="660"/>
        <w:gridCol w:w="1575"/>
        <w:gridCol w:w="4005"/>
        <w:gridCol w:w="1545"/>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主题</w:t>
            </w:r>
          </w:p>
        </w:tc>
        <w:tc>
          <w:tcPr>
            <w:tcW w:type="dxa" w:w="4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指标名称</w:t>
            </w:r>
          </w:p>
        </w:tc>
        <w:tc>
          <w:tcPr>
            <w:tcW w:type="dxa" w:w="1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医疗盈余率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人员支出占业务支出比重</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门诊药品收入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门诊卫生材料收入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门诊检查收入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门诊检验收入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门诊医疗服务收入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住院药品收入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住院卫生材料收入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住院检查收入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住院检验收入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住院医疗服务收入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门诊收入占医疗收入比例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门诊收入中来自医保基金的比例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住院收入中来自医保基金的比例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医疗服务收入占比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检验收入占比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检查收入占比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非药耗收入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门诊非药耗收入（财务）</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门诊非药耗收入（科室）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住院非药耗收入（财务）</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住院非药耗收入（科室）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非药耗收入占比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门诊非药耗收入占比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住院非药耗收入占比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药占比（剔除中草药）</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门诊药品收入占门诊收入比例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住院药品收入占住院收入比例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门诊次均费用</w:t>
            </w:r>
            <w:r>
              <w:rPr>
                <w:sz w:val="22"/>
                <w:color w:val="000000"/>
              </w:rPr>
              <w:t>(全院)</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门诊次均费用</w:t>
            </w:r>
            <w:r>
              <w:rPr>
                <w:sz w:val="22"/>
                <w:color w:val="000000"/>
              </w:rPr>
              <w:t>(科室)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门诊次均非药耗费用</w:t>
            </w:r>
            <w:r>
              <w:rPr>
                <w:sz w:val="22"/>
                <w:color w:val="000000"/>
              </w:rPr>
              <w:t>(全院)</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门诊次均非药耗费用</w:t>
            </w:r>
            <w:r>
              <w:rPr>
                <w:sz w:val="22"/>
                <w:color w:val="000000"/>
              </w:rPr>
              <w:t>(科室)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门诊次均药品费用</w:t>
            </w:r>
            <w:r>
              <w:rPr>
                <w:sz w:val="22"/>
                <w:color w:val="000000"/>
              </w:rPr>
              <w:t>(全院)</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门诊次均药品费用</w:t>
            </w:r>
            <w:r>
              <w:rPr>
                <w:sz w:val="22"/>
                <w:color w:val="000000"/>
              </w:rPr>
              <w:t>(科室)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门诊次均卫生材料费用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住院次均费用</w:t>
            </w:r>
            <w:r>
              <w:rPr>
                <w:sz w:val="22"/>
                <w:color w:val="000000"/>
              </w:rPr>
              <w:t>(全院)</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住院次均非药耗费用</w:t>
            </w:r>
            <w:r>
              <w:rPr>
                <w:sz w:val="22"/>
                <w:color w:val="000000"/>
              </w:rPr>
              <w:t>(全院)</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住院次均非药耗费用</w:t>
            </w:r>
            <w:r>
              <w:rPr>
                <w:sz w:val="22"/>
                <w:color w:val="000000"/>
              </w:rPr>
              <w:t>(科室)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住院次均药品费用</w:t>
            </w:r>
            <w:r>
              <w:rPr>
                <w:sz w:val="22"/>
                <w:color w:val="000000"/>
              </w:rPr>
              <w:t>(科室)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住院次均卫生材料费用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平均每床日住院费用（全院）</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平均每床日住院费用（科室）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重点监控高值医用耗材收入占比（全院）</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经济管理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重点监控高值医用耗材收入占比（科室）</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日均门急诊人次数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健康检查人次数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康怡团体健康检查人次数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康怡个人健康检查人次数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康体中心团体体检人次数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分中心团体体检人次数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康体中心个人体检人次数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涉外检验检查人次数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互联网诊疗服务人次数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日均互联网诊疗人次数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互联网</w:t>
            </w:r>
            <w:r>
              <w:rPr>
                <w:sz w:val="22"/>
                <w:color w:val="000000"/>
              </w:rPr>
              <w:t>+医疗服务人次数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核酸应检尽检人次数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核酸愿检尽检人次数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门诊患者平均预约诊疗率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门诊患者预约后平均等待时间</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门急诊手术人次数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急诊科收入院人数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急诊抢救室收治人次数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抢救室平均滞留时间</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抢救室收入院人次数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门急诊管理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抢救室收入院患者的滞留时间</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转入人数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转出人数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急诊入院患者占比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门诊入院患者占比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其他医疗机构转入患者占比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来源于医院所在区的患者占比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来源于医院所在市的外区的患者占比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来源于本省其他市的患者占比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来源于外省的患者占比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来源于港澳台的患者占比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门诊人次数与出院人次数比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一级护理病人数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一级护理床日数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基层病种人次占比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基层病种收治人数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ICU出室人数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ICU病床周转次数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ICU平均住院天数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ICU病床使用率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ICU手术操作次数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ICU患者收治率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ICU患者收治床日率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ICU死亡人数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ICU患者标化病死指数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ICU患者预计病死率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入</w:t>
            </w:r>
            <w:r>
              <w:rPr>
                <w:sz w:val="22"/>
                <w:color w:val="000000"/>
              </w:rPr>
              <w:t>ICU24小时内，APCHEⅡ评分人数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入</w:t>
            </w:r>
            <w:r>
              <w:rPr>
                <w:sz w:val="22"/>
                <w:color w:val="000000"/>
              </w:rPr>
              <w:t>ICU24小内，APACHEⅡ评分完成率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APACHEII评分≥15分患者数(入ICU24小时内)</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急性生理与慢性健康评分</w:t>
            </w:r>
            <w:r>
              <w:rPr>
                <w:sz w:val="22"/>
                <w:color w:val="000000"/>
              </w:rPr>
              <w:t>(APACHEII评分)≥15分患者收治率(入ICU24小时内)</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APCHEⅡ评分≥15分，重症患者死亡数(入ICU24小时内)</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APCHEⅡ评分≥15分，重症患者死亡率(入ICU24小时内)</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APCHEⅡ评分＜15分，重症患者数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APCHEⅡ评分＜15分，重症患者死亡数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APCHEⅡ评分＜15分，重症患者死亡率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感染性休克</w:t>
            </w:r>
            <w:r>
              <w:rPr>
                <w:sz w:val="22"/>
                <w:color w:val="000000"/>
              </w:rPr>
              <w:t>3h集束化治疗(bundle)完成率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感染性休克</w:t>
            </w:r>
            <w:r>
              <w:rPr>
                <w:sz w:val="22"/>
                <w:color w:val="000000"/>
              </w:rPr>
              <w:t>6h集束化治疗(bundle)完成率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ICU抗菌药物治疗前病原学送检率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ICU深静脉血栓(DVT)预防率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ICU非计划气管插管拔管率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ICU气管插管拔管后48h内再插管率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非计划转入</w:t>
            </w:r>
            <w:r>
              <w:rPr>
                <w:sz w:val="22"/>
                <w:color w:val="000000"/>
              </w:rPr>
              <w:t>ICU率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转出</w:t>
            </w:r>
            <w:r>
              <w:rPr>
                <w:sz w:val="22"/>
                <w:color w:val="000000"/>
              </w:rPr>
              <w:t>ICU后48h内重返ICU的患者数（ICU）</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重症管理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转出</w:t>
            </w:r>
            <w:r>
              <w:rPr>
                <w:sz w:val="22"/>
                <w:color w:val="000000"/>
              </w:rPr>
              <w:t>ICU后48h内重返率（ICU）</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康怡特诊中心出室人次数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康怡特诊中心病床周转次数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康怡特诊中心平均住院天数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康怡特诊中心病床使用率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综合科出室人次数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综合科病床周转次数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综合科平均住院天数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综合科病床使用率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器官移植病区出室人次数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器官移植病区病床周转次数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器官移植病区平均住院天数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康怡特诊管理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器官移植病区病床使用率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基层病种手术人数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基层病种手术占手术患者比例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无菌手术</w:t>
            </w:r>
            <w:r>
              <w:rPr>
                <w:sz w:val="22"/>
                <w:color w:val="000000"/>
              </w:rPr>
              <w:t>I类切口甲级愈合率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日间患者非计划再次手术率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日间手术患者</w:t>
            </w:r>
            <w:r>
              <w:rPr>
                <w:sz w:val="22"/>
                <w:color w:val="000000"/>
              </w:rPr>
              <w:t>0-31天非计划再次入院率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日间手术患者转住院率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日间手术三四级手术占比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门诊西药费用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门诊中成药费用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门诊中药饮片费用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住院西药费用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住院中成药费用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住院中药饮片费用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门诊处方数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住院医嘱数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每床日输液袋数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住院患者药学监护率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严重或新的药品不良反应上报率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门诊患者限制使用级抗肿瘤药物使用率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住院患者限制使用级抗肿瘤药物使用率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门诊患者普通使用级抗肿瘤药物使用率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住院患者普通使用级抗肿瘤药物使用率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抗肿瘤药物使用金额占比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限制使用级抗肿瘤药物使用金额占比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普通使用级抗肿瘤药物使用金额占比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抗肿瘤药物不良反应报告数量</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住院患者抗肿瘤药物严重或新的不良反应报告率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门诊入院患者死亡率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急诊入院患者死亡率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住院患者非医嘱离院率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术后</w:t>
            </w:r>
            <w:r>
              <w:rPr>
                <w:sz w:val="22"/>
                <w:color w:val="000000"/>
              </w:rPr>
              <w:t>24小时围手术期患者死亡率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术后</w:t>
            </w:r>
            <w:r>
              <w:rPr>
                <w:sz w:val="22"/>
                <w:color w:val="000000"/>
              </w:rPr>
              <w:t>48小时围手术期患者死亡率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择期手术术后</w:t>
            </w:r>
            <w:r>
              <w:rPr>
                <w:sz w:val="22"/>
                <w:color w:val="000000"/>
              </w:rPr>
              <w:t>24小时围手术期患者死亡率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择期手术术后</w:t>
            </w:r>
            <w:r>
              <w:rPr>
                <w:sz w:val="22"/>
                <w:color w:val="000000"/>
              </w:rPr>
              <w:t>48小时围手术期患者死亡率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急诊手术患者死亡率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并发症及死亡</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择期手术患者死亡率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非计划重返</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手术患者非预期重返手术室再次手术例数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非计划重返</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手术患者非预期重返手术室再次手术率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非计划重返</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手术患者术后</w:t>
            </w:r>
            <w:r>
              <w:rPr>
                <w:sz w:val="22"/>
                <w:color w:val="000000"/>
              </w:rPr>
              <w:t>48小时内非预期重返手术室再次手术率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非计划重返</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手术患者术后</w:t>
            </w:r>
            <w:r>
              <w:rPr>
                <w:sz w:val="22"/>
                <w:color w:val="000000"/>
              </w:rPr>
              <w:t>48H-31天内非预期重返手术室再次手术率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VTE风险评估率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VTE中高风险比例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VTE中高风险患者出血风险评估率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出血高风险比例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采取</w:t>
            </w:r>
            <w:r>
              <w:rPr>
                <w:sz w:val="22"/>
                <w:color w:val="000000"/>
              </w:rPr>
              <w:t>VTE规范预防措施比率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VTE中高风险患者实施静脉超声检查比率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出院确诊医院内</w:t>
            </w:r>
            <w:r>
              <w:rPr>
                <w:sz w:val="22"/>
                <w:color w:val="000000"/>
              </w:rPr>
              <w:t>VTE的患者人数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w:t>
            </w:r>
            <w:r>
              <w:rPr>
                <w:sz w:val="22"/>
                <w:color w:val="000000"/>
              </w:rPr>
              <w:t>VTE患者实施抗凝治疗比率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w:t>
            </w:r>
            <w:r>
              <w:rPr>
                <w:sz w:val="22"/>
                <w:color w:val="000000"/>
              </w:rPr>
              <w:t>VTE患者实施溶栓治疗比率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医院相关性</w:t>
            </w:r>
            <w:r>
              <w:rPr>
                <w:sz w:val="22"/>
                <w:color w:val="000000"/>
              </w:rPr>
              <w:t>VTE发生比率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医院相关性</w:t>
            </w:r>
            <w:r>
              <w:rPr>
                <w:sz w:val="22"/>
                <w:color w:val="000000"/>
              </w:rPr>
              <w:t>VTE死亡率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VTE患者平均住院费用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VTE患者平均住院天数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VTE管理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CTPA实施比率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临床路径入组率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临床路径完成率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临床路径管理占比</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各路径管理平均住院日</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临床路径</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各路径管理平均住院费用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医院感染发病</w:t>
            </w:r>
            <w:r>
              <w:rPr>
                <w:sz w:val="22"/>
                <w:color w:val="000000"/>
              </w:rPr>
              <w:t>(例次)率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医院感染新发病例</w:t>
            </w:r>
            <w:r>
              <w:rPr>
                <w:sz w:val="22"/>
                <w:color w:val="000000"/>
              </w:rPr>
              <w:t>(例次)数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医院感染现患</w:t>
            </w:r>
            <w:r>
              <w:rPr>
                <w:sz w:val="22"/>
                <w:color w:val="000000"/>
              </w:rPr>
              <w:t>(例次)率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医院感染病例漏报率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应当报告而未报告的医院感染病例</w:t>
            </w:r>
            <w:r>
              <w:rPr>
                <w:sz w:val="22"/>
                <w:color w:val="000000"/>
              </w:rPr>
              <w:t>(例次)数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多重耐药菌感染发现率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多重耐药菌感染患者数</w:t>
            </w:r>
            <w:r>
              <w:rPr>
                <w:sz w:val="22"/>
                <w:color w:val="000000"/>
              </w:rPr>
              <w:t>(例次数)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多重耐药菌感染检出率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医务人员手卫生依从率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I类切口手术部位感染率(国家绩效)</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I类切口手术部位感染率（院内监测）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呼吸机相关肺炎发病率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r>
              <w:rPr>
                <w:sz w:val="22"/>
                <w:color w:val="000000"/>
              </w:rPr>
              <w:t>/千机械通气日(‰)</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导尿管相关泌尿系感染发病率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r>
              <w:rPr>
                <w:sz w:val="22"/>
                <w:color w:val="000000"/>
              </w:rPr>
              <w:t>/千导尿管日(‰)</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血管内导管相关血流感染发病率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r>
              <w:rPr>
                <w:sz w:val="22"/>
                <w:color w:val="000000"/>
              </w:rPr>
              <w:t>/千导管日(‰)</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ICU呼吸机相关性肺炎(VAP)发病率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ICU导尿管相关泌尿系统感染(CAUTI)发病率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医院感染</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ICU血管内导管相关血流感染(CRBSI)发病率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千分比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门诊中药饮片使用率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门诊中医治疗率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门诊中医治疗费用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门诊中药制剂使用人次</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门诊中药制剂费用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门诊中药饮片处方数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门诊中成药处方数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门诊中药制剂处方数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门诊中药配方颗粒处方数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住院中药饮片使用率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住院中医治疗率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住院中药制剂费用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以中医为主治疗的出院人数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使用中药制剂的出院人数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中医参与三级手术治疗人数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中医参与四级手术治疗人数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住院手术患者围手术期应用中医治疗人数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中医药建设</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住院中医治疗费用</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手术麻醉次数</w:t>
            </w:r>
            <w:r>
              <w:rPr>
                <w:sz w:val="22"/>
                <w:color w:val="000000"/>
              </w:rPr>
              <w:t>(手麻)</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手术麻醉一科手术室外麻醉次数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ASA(三、四、五、六级)手术例数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三、四级手术麻醉次数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台次</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一级</w:t>
            </w:r>
            <w:r>
              <w:rPr>
                <w:sz w:val="22"/>
                <w:color w:val="000000"/>
              </w:rPr>
              <w:t>ASA麻醉患者比例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二级</w:t>
            </w:r>
            <w:r>
              <w:rPr>
                <w:sz w:val="22"/>
                <w:color w:val="000000"/>
              </w:rPr>
              <w:t>ASA麻醉患者比例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三级</w:t>
            </w:r>
            <w:r>
              <w:rPr>
                <w:sz w:val="22"/>
                <w:color w:val="000000"/>
              </w:rPr>
              <w:t>ASA麻醉患者比例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四级</w:t>
            </w:r>
            <w:r>
              <w:rPr>
                <w:sz w:val="22"/>
                <w:color w:val="000000"/>
              </w:rPr>
              <w:t>ASA麻醉患者比例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五级</w:t>
            </w:r>
            <w:r>
              <w:rPr>
                <w:sz w:val="22"/>
                <w:color w:val="000000"/>
              </w:rPr>
              <w:t>ASA麻醉患者比例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六级</w:t>
            </w:r>
            <w:r>
              <w:rPr>
                <w:sz w:val="22"/>
                <w:color w:val="000000"/>
              </w:rPr>
              <w:t>ASA麻醉患者比例</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一级</w:t>
            </w:r>
            <w:r>
              <w:rPr>
                <w:sz w:val="22"/>
                <w:color w:val="000000"/>
              </w:rPr>
              <w:t>ASA麻醉患者死亡率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二级</w:t>
            </w:r>
            <w:r>
              <w:rPr>
                <w:sz w:val="22"/>
                <w:color w:val="000000"/>
              </w:rPr>
              <w:t>ASA麻醉患者死亡率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三级</w:t>
            </w:r>
            <w:r>
              <w:rPr>
                <w:sz w:val="22"/>
                <w:color w:val="000000"/>
              </w:rPr>
              <w:t>ASA麻醉患者死亡率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四级</w:t>
            </w:r>
            <w:r>
              <w:rPr>
                <w:sz w:val="22"/>
                <w:color w:val="000000"/>
              </w:rPr>
              <w:t>ASA麻醉患者死亡率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五级</w:t>
            </w:r>
            <w:r>
              <w:rPr>
                <w:sz w:val="22"/>
                <w:color w:val="000000"/>
              </w:rPr>
              <w:t>ASA麻醉患者死亡率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六级</w:t>
            </w:r>
            <w:r>
              <w:rPr>
                <w:sz w:val="22"/>
                <w:color w:val="000000"/>
              </w:rPr>
              <w:t>ASA麻醉患者死亡率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手术麻醉二科内镜例数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手术麻醉一科内镜例数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手术时长</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小时</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麻醉时长</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小时</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手术室首台择期手术平均开台时间</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时</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手术室平均接台时间</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手术管理</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手术室最后一台择期手术平均关台时间</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时</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CT检查部位数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部位</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MRI检查部位数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部位</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X光检查部位数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部位</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B超检查部位数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部位</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胃肠镜室检查及操作报告数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耳鼻咽喉镜检查及操作报告数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ECT检查及操作报告数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PET-CT检查报告数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放疗治疗人次</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调强放疗人次</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CT室开单至检查等候时长中位数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小时</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CT室签到至检查等候时长中位数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CT室检查至报告等候时长中位数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MR室开单至检查等候时长中位数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小时</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MR室签到至检查等候时长中位数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MR室检查至报告等候时长中位数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超声科签到至检查等候时长中位数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医技监测</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超声科检查至报告等候时长中位数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不良事件</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每百名出院人次数医疗质量安全不良事件报告例数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不良事件</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床均医疗质量安全不良事件报告率</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百分比</w:t>
            </w:r>
            <w:r>
              <w:rPr>
                <w:sz w:val="22"/>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人力资源</w:t>
            </w:r>
          </w:p>
        </w:tc>
        <w:tc>
          <w:tcPr>
            <w:tcW w:type="dxa" w:w="4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在职职工数</w:t>
            </w:r>
          </w:p>
        </w:tc>
        <w:tc>
          <w:tcPr>
            <w:tcW w:type="dxa" w:w="1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w:t>
            </w:r>
          </w:p>
        </w:tc>
      </w:tr>
    </w:tbl>
    <w:p>
      <w:pPr>
        <w:pStyle w:val="null3"/>
        <w:jc w:val="both"/>
      </w:pPr>
      <w:r>
        <w:rPr>
          <w:sz w:val="22"/>
          <w:b/>
        </w:rPr>
        <w:t>3.智慧报表系统建设要求</w:t>
      </w:r>
    </w:p>
    <w:p>
      <w:pPr>
        <w:pStyle w:val="null3"/>
        <w:ind w:firstLine="440"/>
        <w:jc w:val="both"/>
      </w:pPr>
      <w:r>
        <w:rPr>
          <w:sz w:val="22"/>
        </w:rPr>
        <w:t>3.1.鉴于当前报表系统报表数量多且需求零散的问题，须对其进行规范化、系统化整理，并在现有报表系统中增加报表地图的功能，用于集中存储、组织和管理用户创建或共享的分析内容（如报表、仪表盘、图表等），实现报表的快速查询和定位。</w:t>
      </w:r>
    </w:p>
    <w:p>
      <w:pPr>
        <w:pStyle w:val="null3"/>
        <w:ind w:firstLine="440"/>
        <w:jc w:val="both"/>
      </w:pPr>
      <w:r>
        <w:rPr>
          <w:sz w:val="22"/>
        </w:rPr>
        <w:t>3.</w:t>
      </w:r>
      <w:r>
        <w:rPr>
          <w:sz w:val="22"/>
        </w:rPr>
        <w:t>2</w:t>
      </w:r>
      <w:r>
        <w:rPr>
          <w:sz w:val="22"/>
        </w:rPr>
        <w:t>.</w:t>
      </w:r>
      <w:r>
        <w:rPr>
          <w:sz w:val="22"/>
        </w:rPr>
        <w:t>智能报表开发</w:t>
      </w:r>
    </w:p>
    <w:p>
      <w:pPr>
        <w:pStyle w:val="null3"/>
        <w:ind w:firstLine="440"/>
        <w:jc w:val="both"/>
      </w:pPr>
      <w:r>
        <w:rPr>
          <w:sz w:val="22"/>
        </w:rPr>
        <w:t>乙方须改善现有系统</w:t>
      </w:r>
      <w:r>
        <w:rPr>
          <w:sz w:val="22"/>
        </w:rPr>
        <w:t>普通报表局限于固定模板、单一数据源和预定义维度</w:t>
      </w:r>
      <w:r>
        <w:rPr>
          <w:sz w:val="22"/>
        </w:rPr>
        <w:t>的状态</w:t>
      </w:r>
      <w:r>
        <w:rPr>
          <w:sz w:val="22"/>
        </w:rPr>
        <w:t>。智能报表</w:t>
      </w:r>
      <w:r>
        <w:rPr>
          <w:sz w:val="22"/>
        </w:rPr>
        <w:t>须</w:t>
      </w:r>
      <w:r>
        <w:rPr>
          <w:sz w:val="22"/>
        </w:rPr>
        <w:t>突破传统静态模式，实现数据动态交互分析：支持</w:t>
      </w:r>
      <w:r>
        <w:rPr>
          <w:sz w:val="22"/>
        </w:rPr>
        <w:t>包括但不限于</w:t>
      </w:r>
      <w:r>
        <w:rPr>
          <w:sz w:val="22"/>
        </w:rPr>
        <w:t>多源数据整合、维度自由切换（如时间</w:t>
      </w:r>
      <w:r>
        <w:rPr>
          <w:sz w:val="22"/>
        </w:rPr>
        <w:t>→院区）、层级钻取（科室→医生），可自主增减字段/维度，实时扩展明细数据（年度→月度），并集成交互式排序、筛选及显示控制</w:t>
      </w:r>
      <w:r>
        <w:rPr>
          <w:sz w:val="22"/>
        </w:rPr>
        <w:t>等</w:t>
      </w:r>
      <w:r>
        <w:rPr>
          <w:sz w:val="22"/>
        </w:rPr>
        <w:t>。</w:t>
      </w:r>
      <w:r>
        <w:rPr>
          <w:sz w:val="22"/>
        </w:rPr>
        <w:t>甲方</w:t>
      </w:r>
      <w:r>
        <w:rPr>
          <w:sz w:val="22"/>
        </w:rPr>
        <w:t>无需技术依赖即可灵活调整分析路径，实现从宏观到微观的深度洞察。</w:t>
      </w:r>
    </w:p>
    <w:p>
      <w:pPr>
        <w:pStyle w:val="null3"/>
        <w:ind w:firstLine="440"/>
        <w:jc w:val="both"/>
      </w:pPr>
      <w:r>
        <w:rPr>
          <w:sz w:val="22"/>
        </w:rPr>
        <w:t>3.3.技术参数要求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636"/>
        <w:gridCol w:w="725"/>
        <w:gridCol w:w="829"/>
        <w:gridCol w:w="6085"/>
      </w:tblGrid>
      <w:tr>
        <w:tc>
          <w:tcPr>
            <w:tcW w:type="dxa" w:w="636"/>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序号</w:t>
            </w:r>
          </w:p>
        </w:tc>
        <w:tc>
          <w:tcPr>
            <w:tcW w:type="dxa" w:w="72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模块</w:t>
            </w:r>
          </w:p>
          <w:p>
            <w:pPr>
              <w:pStyle w:val="null3"/>
              <w:jc w:val="center"/>
            </w:pPr>
            <w:r>
              <w:rPr>
                <w:sz w:val="22"/>
                <w:b/>
                <w:color w:val="000000"/>
              </w:rPr>
              <w:t>名称</w:t>
            </w:r>
          </w:p>
        </w:tc>
        <w:tc>
          <w:tcPr>
            <w:tcW w:type="dxa" w:w="829"/>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功能</w:t>
            </w:r>
          </w:p>
          <w:p>
            <w:pPr>
              <w:pStyle w:val="null3"/>
              <w:jc w:val="center"/>
            </w:pPr>
            <w:r>
              <w:rPr>
                <w:sz w:val="22"/>
                <w:b/>
                <w:color w:val="000000"/>
              </w:rPr>
              <w:t>名称</w:t>
            </w:r>
          </w:p>
        </w:tc>
        <w:tc>
          <w:tcPr>
            <w:tcW w:type="dxa" w:w="608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具体参数和要求</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报表</w:t>
            </w:r>
          </w:p>
          <w:p>
            <w:pPr>
              <w:pStyle w:val="null3"/>
              <w:jc w:val="center"/>
            </w:pPr>
            <w:r>
              <w:rPr>
                <w:sz w:val="22"/>
                <w:color w:val="000000"/>
              </w:rPr>
              <w:t>地图</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报表</w:t>
            </w:r>
          </w:p>
          <w:p>
            <w:pPr>
              <w:pStyle w:val="null3"/>
              <w:jc w:val="center"/>
            </w:pPr>
            <w:r>
              <w:rPr>
                <w:sz w:val="22"/>
                <w:color w:val="000000"/>
              </w:rPr>
              <w:t>梳理</w:t>
            </w: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对现有</w:t>
            </w:r>
            <w:r>
              <w:rPr>
                <w:sz w:val="22"/>
                <w:color w:val="000000"/>
              </w:rPr>
              <w:t>200多张报表进行梳理，按不同的业务场景、应用主题进行报表归类，搭建合理的报表地图。</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25"/>
            <w:vMerge/>
            <w:tcBorders>
              <w:top w:val="none" w:color="000000" w:sz="4"/>
              <w:left w:val="none" w:color="000000" w:sz="4"/>
              <w:bottom w:val="single" w:color="000000" w:sz="4"/>
              <w:right w:val="single" w:color="000000" w:sz="4"/>
            </w:tcBorders>
          </w:tcPr>
          <w:p/>
        </w:tc>
        <w:tc>
          <w:tcPr>
            <w:tcW w:type="dxa" w:w="8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报表地图功能</w:t>
            </w: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导航栏的菜单选择器可以弹出显示所有环境（逻辑容器，按业务需求划分）、主题（层级结构中的文件夹，用于分类存放页面）和页面（实际内容载体，支持动态数据交互与分析）的菜单面板。</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层级管理：通过</w:t>
            </w:r>
            <w:r>
              <w:rPr>
                <w:sz w:val="22"/>
                <w:color w:val="000000"/>
              </w:rPr>
              <w:t>“环境→主题→页面”三级结构实现内容有序组织。</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协作共享：支持权限控制（查看</w:t>
            </w:r>
            <w:r>
              <w:rPr>
                <w:sz w:val="22"/>
                <w:color w:val="000000"/>
              </w:rPr>
              <w:t>/编辑），允许跨团队或用户组协作。</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快捷访问提供自定义快捷方式，实现高频内容一键跳转。</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用户仅能查看或操作被授权的内容层级。</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智能报表开发</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报表</w:t>
            </w:r>
          </w:p>
          <w:p>
            <w:pPr>
              <w:pStyle w:val="null3"/>
              <w:jc w:val="center"/>
            </w:pPr>
            <w:r>
              <w:rPr>
                <w:sz w:val="22"/>
                <w:color w:val="000000"/>
              </w:rPr>
              <w:t>开发</w:t>
            </w: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可根据医院管理需求开发</w:t>
            </w:r>
            <w:r>
              <w:rPr>
                <w:sz w:val="22"/>
                <w:color w:val="000000"/>
              </w:rPr>
              <w:t>50张智能报表，提升各层级用户自主查看分析数据的能力。</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25"/>
            <w:vMerge/>
            <w:tcBorders>
              <w:top w:val="none" w:color="000000" w:sz="4"/>
              <w:left w:val="non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多源数据整合</w:t>
            </w: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支持跨业务系统数据集成，自动聚合多源异构数据，实现统一统计分析与可视化展现。</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25"/>
            <w:vMerge/>
            <w:tcBorders>
              <w:top w:val="none" w:color="000000" w:sz="4"/>
              <w:left w:val="none" w:color="000000" w:sz="4"/>
              <w:bottom w:val="single" w:color="000000" w:sz="4"/>
              <w:right w:val="single" w:color="000000" w:sz="4"/>
            </w:tcBorders>
          </w:tcPr>
          <w:p/>
        </w:tc>
        <w:tc>
          <w:tcPr>
            <w:tcW w:type="dxa" w:w="8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多维动态分析</w:t>
            </w: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灵活维度切换：支持统计分析维度的即时切换（如从</w:t>
            </w:r>
            <w:r>
              <w:rPr>
                <w:sz w:val="22"/>
                <w:color w:val="000000"/>
              </w:rPr>
              <w:t>“时间维度”切换至“院区维度”），满足不同分析场景需求。</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动态增删维度：用户可自由添加新分析维度（如新增</w:t>
            </w:r>
            <w:r>
              <w:rPr>
                <w:sz w:val="22"/>
                <w:color w:val="000000"/>
              </w:rPr>
              <w:t>“年份”维度）或移除冗余维度，优化报表结构。</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数据钻取与扩展：支持层级钻取（如从科室</w:t>
            </w:r>
            <w:r>
              <w:rPr>
                <w:sz w:val="22"/>
                <w:color w:val="000000"/>
              </w:rPr>
              <w:t>→医疗组→医生逐级下钻），深入细节数据。</w:t>
            </w:r>
            <w:r>
              <w:br/>
            </w:r>
            <w:r>
              <w:rPr>
                <w:sz w:val="22"/>
                <w:color w:val="000000"/>
              </w:rPr>
              <w:t>可对特定数据行扩展关联信息（如年度数据扩展至月度明细）。</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725"/>
            <w:vMerge/>
            <w:tcBorders>
              <w:top w:val="none" w:color="000000" w:sz="4"/>
              <w:left w:val="none" w:color="000000" w:sz="4"/>
              <w:bottom w:val="single" w:color="000000" w:sz="4"/>
              <w:right w:val="single" w:color="000000" w:sz="4"/>
            </w:tcBorders>
          </w:tcPr>
          <w:p/>
        </w:tc>
        <w:tc>
          <w:tcPr>
            <w:tcW w:type="dxa" w:w="8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统计字段自主配置</w:t>
            </w: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字段灵活管理：允许在报表中动态添加或移除统计字段，快速调整统计范围。</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字段显示控制：可隐藏</w:t>
            </w:r>
            <w:r>
              <w:rPr>
                <w:sz w:val="22"/>
                <w:color w:val="000000"/>
              </w:rPr>
              <w:t>/展开统计字段的展现形式，聚焦关键指标。</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725"/>
            <w:vMerge/>
            <w:tcBorders>
              <w:top w:val="none" w:color="000000" w:sz="4"/>
              <w:left w:val="none" w:color="000000" w:sz="4"/>
              <w:bottom w:val="single" w:color="000000" w:sz="4"/>
              <w:right w:val="single" w:color="000000" w:sz="4"/>
            </w:tcBorders>
          </w:tcPr>
          <w:p/>
        </w:tc>
        <w:tc>
          <w:tcPr>
            <w:tcW w:type="dxa" w:w="8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交互式数据操作</w:t>
            </w: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排序：支持按统计字段升序</w:t>
            </w:r>
            <w:r>
              <w:rPr>
                <w:sz w:val="22"/>
                <w:color w:val="000000"/>
              </w:rPr>
              <w:t>/降序排列，快速定位数据极值。</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筛选：可添加或删除快速筛选条件（如按</w:t>
            </w:r>
            <w:r>
              <w:rPr>
                <w:sz w:val="22"/>
                <w:color w:val="000000"/>
              </w:rPr>
              <w:t>“科室”过滤数据），动态控制数据范围。</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725"/>
            <w:vMerge/>
            <w:tcBorders>
              <w:top w:val="none" w:color="000000" w:sz="4"/>
              <w:left w:val="non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可视化调节：可折叠</w:t>
            </w:r>
            <w:r>
              <w:rPr>
                <w:sz w:val="22"/>
                <w:color w:val="000000"/>
              </w:rPr>
              <w:t>/展开维度分支，精简数据展示层级（如隐藏次要院区，聚焦核心数据）。</w:t>
            </w:r>
          </w:p>
        </w:tc>
      </w:tr>
    </w:tbl>
    <w:p>
      <w:pPr>
        <w:pStyle w:val="null3"/>
        <w:jc w:val="both"/>
      </w:pPr>
      <w:r>
        <w:rPr>
          <w:sz w:val="22"/>
          <w:b/>
        </w:rPr>
        <w:t>4.</w:t>
      </w:r>
      <w:r>
        <w:rPr>
          <w:sz w:val="22"/>
          <w:b/>
        </w:rPr>
        <w:t>建设病种管理评价分析模型</w:t>
      </w:r>
    </w:p>
    <w:p>
      <w:pPr>
        <w:pStyle w:val="null3"/>
        <w:ind w:firstLine="440"/>
        <w:jc w:val="both"/>
      </w:pPr>
      <w:r>
        <w:rPr>
          <w:sz w:val="22"/>
        </w:rPr>
        <w:t>4.1.</w:t>
      </w:r>
      <w:r>
        <w:rPr>
          <w:sz w:val="22"/>
        </w:rPr>
        <w:t>建立病种管理评价分析模型</w:t>
      </w:r>
      <w:r>
        <w:rPr>
          <w:sz w:val="22"/>
        </w:rPr>
        <w:t>，</w:t>
      </w:r>
      <w:r>
        <w:rPr>
          <w:sz w:val="22"/>
        </w:rPr>
        <w:t>旨在针对运营管理部的病种分析需求，构建并应用一个全面的病种分析模型，以优化运营助理对各临床科室的病种相关的运营分析与研究，为科室运营效率和资源分配提供数据支持。建立各临床科室的核心病种、优势病种和基层病种的数据分析模型，覆盖基本工作量、病种难度、经济效益分析等内容。</w:t>
      </w:r>
    </w:p>
    <w:p>
      <w:pPr>
        <w:pStyle w:val="null3"/>
        <w:ind w:firstLine="440"/>
        <w:jc w:val="both"/>
      </w:pPr>
      <w:r>
        <w:rPr>
          <w:sz w:val="22"/>
        </w:rPr>
        <w:t>4.2.</w:t>
      </w:r>
      <w:r>
        <w:rPr>
          <w:sz w:val="22"/>
        </w:rPr>
        <w:t>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690"/>
        <w:gridCol w:w="765"/>
        <w:gridCol w:w="1095"/>
        <w:gridCol w:w="4620"/>
      </w:tblGrid>
      <w:tr>
        <w:tc>
          <w:tcPr>
            <w:tcW w:type="dxa" w:w="69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序号</w:t>
            </w:r>
          </w:p>
        </w:tc>
        <w:tc>
          <w:tcPr>
            <w:tcW w:type="dxa" w:w="76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模块名称</w:t>
            </w:r>
          </w:p>
        </w:tc>
        <w:tc>
          <w:tcPr>
            <w:tcW w:type="dxa" w:w="109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功能名称</w:t>
            </w:r>
          </w:p>
        </w:tc>
        <w:tc>
          <w:tcPr>
            <w:tcW w:type="dxa" w:w="4620"/>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具体参数和要求</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病种管理评价分析模型</w:t>
            </w:r>
          </w:p>
        </w:tc>
        <w:tc>
          <w:tcPr>
            <w:tcW w:type="dxa" w:w="10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病种分析维度</w:t>
            </w: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系统接口实现数据自动抓取和数据整合包括但不限于病种信息、诊断编码、患者信息、手术信息、科室信息、时间信息、费用信息和</w:t>
            </w:r>
            <w:r>
              <w:rPr>
                <w:sz w:val="22"/>
                <w:color w:val="000000"/>
              </w:rPr>
              <w:t>DRGS信息数据等。</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5"/>
            <w:vMerge/>
            <w:tcBorders>
              <w:top w:val="none" w:color="000000" w:sz="4"/>
              <w:left w:val="none" w:color="000000" w:sz="4"/>
              <w:bottom w:val="single" w:color="000000" w:sz="4"/>
              <w:right w:val="single" w:color="000000" w:sz="4"/>
            </w:tcBorders>
          </w:tcPr>
          <w:p/>
        </w:tc>
        <w:tc>
          <w:tcPr>
            <w:tcW w:type="dxa" w:w="1095"/>
            <w:vMerge/>
            <w:tcBorders>
              <w:top w:val="none" w:color="000000" w:sz="4"/>
              <w:left w:val="none" w:color="000000" w:sz="4"/>
              <w:bottom w:val="single" w:color="000000" w:sz="4"/>
              <w:right w:val="single" w:color="000000" w:sz="4"/>
            </w:tcBorders>
          </w:tcP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根据《病种分析维度要求》创建病种分析模型。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65"/>
            <w:vMerge/>
            <w:tcBorders>
              <w:top w:val="none" w:color="000000" w:sz="4"/>
              <w:left w:val="none" w:color="000000" w:sz="4"/>
              <w:bottom w:val="single" w:color="000000" w:sz="4"/>
              <w:right w:val="single" w:color="000000" w:sz="4"/>
            </w:tcBorders>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病种模型统计指标</w:t>
            </w: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根据《</w:t>
            </w:r>
            <w:r>
              <w:rPr>
                <w:sz w:val="22"/>
              </w:rPr>
              <w:t>病种模型统计指标要求》</w:t>
            </w:r>
            <w:r>
              <w:rPr>
                <w:sz w:val="22"/>
                <w:color w:val="000000"/>
              </w:rPr>
              <w:t>从（包括但不限于）服务能力指标、效率指标、质量指标、费用指标、</w:t>
            </w:r>
            <w:r>
              <w:rPr>
                <w:sz w:val="22"/>
                <w:color w:val="000000"/>
              </w:rPr>
              <w:t>DRG服务能力指标、DRG服务效率指标和DRG医疗安全指标等构建病种管理评价分析模型。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5"/>
            <w:vMerge/>
            <w:tcBorders>
              <w:top w:val="none" w:color="000000" w:sz="4"/>
              <w:left w:val="none" w:color="000000" w:sz="4"/>
              <w:bottom w:val="single" w:color="000000" w:sz="4"/>
              <w:right w:val="single" w:color="000000" w:sz="4"/>
            </w:tcBorders>
          </w:tcPr>
          <w:p/>
        </w:tc>
        <w:tc>
          <w:tcPr>
            <w:tcW w:type="dxa" w:w="109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病种模型分析</w:t>
            </w: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建立科室病种经营能力标签模型。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65"/>
            <w:vMerge/>
            <w:tcBorders>
              <w:top w:val="none" w:color="000000" w:sz="4"/>
              <w:left w:val="none" w:color="000000" w:sz="4"/>
              <w:bottom w:val="single" w:color="000000" w:sz="4"/>
              <w:right w:val="single" w:color="000000" w:sz="4"/>
            </w:tcBorders>
          </w:tcPr>
          <w:p/>
        </w:tc>
        <w:tc>
          <w:tcPr>
            <w:tcW w:type="dxa" w:w="1095"/>
            <w:vMerge/>
            <w:tcBorders>
              <w:top w:val="none" w:color="000000" w:sz="4"/>
              <w:left w:val="none" w:color="000000" w:sz="4"/>
              <w:bottom w:val="none" w:color="000000" w:sz="4"/>
              <w:right w:val="single" w:color="000000" w:sz="4"/>
            </w:tcBorders>
          </w:tcP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利用波士顿矩阵分析病种工作量和经济效益。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65"/>
            <w:vMerge/>
            <w:tcBorders>
              <w:top w:val="none" w:color="000000" w:sz="4"/>
              <w:left w:val="none" w:color="000000" w:sz="4"/>
              <w:bottom w:val="single" w:color="000000" w:sz="4"/>
              <w:right w:val="single" w:color="000000" w:sz="4"/>
            </w:tcBorders>
          </w:tcPr>
          <w:p/>
        </w:tc>
        <w:tc>
          <w:tcPr>
            <w:tcW w:type="dxa" w:w="1095"/>
            <w:vMerge/>
            <w:tcBorders>
              <w:top w:val="none" w:color="000000" w:sz="4"/>
              <w:left w:val="none" w:color="000000" w:sz="4"/>
              <w:bottom w:val="none" w:color="000000" w:sz="4"/>
              <w:right w:val="single" w:color="000000" w:sz="4"/>
            </w:tcBorders>
          </w:tcP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分析病种盈亏情况，可从科室</w:t>
            </w:r>
            <w:r>
              <w:rPr>
                <w:sz w:val="22"/>
                <w:color w:val="000000"/>
              </w:rPr>
              <w:t>-&gt;医疗组-&gt;患者分析费用情况，并可结合手术和药品用量进行联合分析。</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65"/>
            <w:vMerge/>
            <w:tcBorders>
              <w:top w:val="none" w:color="000000" w:sz="4"/>
              <w:left w:val="none" w:color="000000" w:sz="4"/>
              <w:bottom w:val="single" w:color="000000" w:sz="4"/>
              <w:right w:val="single" w:color="000000" w:sz="4"/>
            </w:tcBorders>
          </w:tcPr>
          <w:p/>
        </w:tc>
        <w:tc>
          <w:tcPr>
            <w:tcW w:type="dxa" w:w="1095"/>
            <w:vMerge/>
            <w:tcBorders>
              <w:top w:val="none" w:color="000000" w:sz="4"/>
              <w:left w:val="none" w:color="000000" w:sz="4"/>
              <w:bottom w:val="none" w:color="000000" w:sz="4"/>
              <w:right w:val="single" w:color="000000" w:sz="4"/>
            </w:tcBorders>
          </w:tcP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可以自由组合不同分析维度和指标进行灵活的自定义数据分析。</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65"/>
            <w:vMerge/>
            <w:tcBorders>
              <w:top w:val="none" w:color="000000" w:sz="4"/>
              <w:left w:val="none" w:color="000000" w:sz="4"/>
              <w:bottom w:val="single" w:color="000000" w:sz="4"/>
              <w:right w:val="single" w:color="000000" w:sz="4"/>
            </w:tcBorders>
          </w:tcPr>
          <w:p/>
        </w:tc>
        <w:tc>
          <w:tcPr>
            <w:tcW w:type="dxa" w:w="1095"/>
            <w:vMerge/>
            <w:tcBorders>
              <w:top w:val="none" w:color="000000" w:sz="4"/>
              <w:left w:val="none" w:color="000000" w:sz="4"/>
              <w:bottom w:val="none" w:color="000000" w:sz="4"/>
              <w:right w:val="single" w:color="000000" w:sz="4"/>
            </w:tcBorders>
          </w:tcP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可以把不同主题的病种分析模型进行关联，实现不同模型间的数据维度和指标关联分析。</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65"/>
            <w:vMerge/>
            <w:tcBorders>
              <w:top w:val="none" w:color="000000" w:sz="4"/>
              <w:left w:val="none" w:color="000000" w:sz="4"/>
              <w:bottom w:val="single" w:color="000000" w:sz="4"/>
              <w:right w:val="single" w:color="000000" w:sz="4"/>
            </w:tcBorders>
          </w:tcP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指标警示</w:t>
            </w:r>
          </w:p>
        </w:tc>
        <w:tc>
          <w:tcPr>
            <w:tcW w:type="dxa" w:w="4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对（包括但不限于）平均住院日、例均费用、耗材费用（例均）、药品费用（例均）、死亡率、药占比、耗占比等进行警示，比省三级公立医院超出</w:t>
            </w:r>
            <w:r>
              <w:rPr>
                <w:sz w:val="22"/>
                <w:color w:val="000000"/>
              </w:rPr>
              <w:t>20%的指标以黄色底色警示，超出50%的指标等以红色底色警示。</w:t>
            </w:r>
          </w:p>
        </w:tc>
      </w:tr>
    </w:tbl>
    <w:p>
      <w:pPr>
        <w:pStyle w:val="null3"/>
        <w:jc w:val="both"/>
      </w:pPr>
      <w:r>
        <w:rPr>
          <w:sz w:val="22"/>
        </w:rPr>
        <w:t>4.3.病种分析维度要求</w:t>
      </w:r>
    </w:p>
    <w:tbl>
      <w:tblPr>
        <w:tblW w:w="0" w:type="auto"/>
        <w:tblBorders>
          <w:top w:val="none" w:color="000000" w:sz="4"/>
          <w:left w:val="none" w:color="000000" w:sz="4"/>
          <w:bottom w:val="none" w:color="000000" w:sz="4"/>
          <w:right w:val="none" w:color="000000" w:sz="4"/>
          <w:insideH w:val="none"/>
          <w:insideV w:val="none"/>
        </w:tblBorders>
      </w:tblPr>
      <w:tblGrid>
        <w:gridCol w:w="2254"/>
        <w:gridCol w:w="4874"/>
      </w:tblGrid>
      <w:tr>
        <w:tc>
          <w:tcPr>
            <w:tcW w:type="dxa" w:w="2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分类</w:t>
            </w:r>
          </w:p>
        </w:tc>
        <w:tc>
          <w:tcPr>
            <w:tcW w:type="dxa" w:w="4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维度</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主要诊断类目名称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主要诊断类目编码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主要诊断亚目名称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主要诊断亚目编码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主要诊断细目名称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主要诊断细目编码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医务部核心病种</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医务部基层病种</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全部诊断细目名称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全部诊断细目编码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其他全部诊断细目名称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其他全部诊断细目编码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日间病种</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单病种</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病种分类</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并发症（三甲版）</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患者信息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流水号</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患者信息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病案号</w:t>
            </w:r>
            <w:r>
              <w:rPr>
                <w:sz w:val="22"/>
              </w:rPr>
              <w:t>_次数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患者信息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住院号</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患者信息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姓名</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患者信息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入院途径</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患者信息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离院方式</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患者信息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年龄</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手术信息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主要手术码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手术信息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主要手术名称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手术信息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其他手术码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手术信息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其他手术名称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手术信息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全部手术码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手术信息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全部手术名称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手术信息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是否高精尖技术</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科室信息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出院科室（一级科室）</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科室信息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出院科室（二级科室）</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科室信息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所有经治科室</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科室信息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诊疗组</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科室信息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主任医生</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科室信息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主治医生</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科室信息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住院医生</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科室信息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所有经治医生</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时间信息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出院年份</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时间信息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出院季度</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时间信息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出院年月</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时间信息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出院日期</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账单码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病案分类</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项目编码</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项目名称</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开单时间</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MDC组</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RW值</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住院时间比</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费用比</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耗材费用比</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药品费用比</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药品耗材费用比</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DRGS组的次均费用</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DRGS组的CMI值</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DRGS组的例均费用</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DRGS组的次均药品耗材费用</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DRGS组的次均药品费用</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DRGS组的次均耗材费用</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DRG组的药占比</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DRG组的耗材占比</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DRGS组的平均住院日</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DRGS组的风险级别</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DRGS组的病死率</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DIP信息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DIP组</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DIP信息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DIP分值</w:t>
            </w:r>
          </w:p>
        </w:tc>
      </w:tr>
      <w:tr>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DIP信息</w:t>
            </w:r>
          </w:p>
        </w:tc>
        <w:tc>
          <w:tcPr>
            <w:tcW w:type="dxa" w:w="4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DIP预测费用</w:t>
            </w:r>
          </w:p>
        </w:tc>
      </w:tr>
    </w:tbl>
    <w:p>
      <w:pPr>
        <w:pStyle w:val="null3"/>
        <w:jc w:val="both"/>
      </w:pPr>
      <w:r>
        <w:rPr>
          <w:sz w:val="22"/>
        </w:rPr>
        <w:t>4.4.病种模型统计指标要求</w:t>
      </w:r>
    </w:p>
    <w:tbl>
      <w:tblPr>
        <w:tblW w:w="0" w:type="auto"/>
        <w:tblBorders>
          <w:top w:val="none" w:color="000000" w:sz="4"/>
          <w:left w:val="none" w:color="000000" w:sz="4"/>
          <w:bottom w:val="none" w:color="000000" w:sz="4"/>
          <w:right w:val="none" w:color="000000" w:sz="4"/>
          <w:insideH w:val="none"/>
          <w:insideV w:val="none"/>
        </w:tblBorders>
      </w:tblPr>
      <w:tblGrid>
        <w:gridCol w:w="2680"/>
        <w:gridCol w:w="4936"/>
      </w:tblGrid>
      <w:tr>
        <w:tc>
          <w:tcPr>
            <w:tcW w:type="dxa" w:w="2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分类</w:t>
            </w:r>
          </w:p>
        </w:tc>
        <w:tc>
          <w:tcPr>
            <w:tcW w:type="dxa" w:w="4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指标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病种例数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四级手术占比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出院患者手术占比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微创手术占比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日间手术占比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效率指标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平均住院日</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效率指标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住院天数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死亡病人数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死亡率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非医嘱离院病人数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非医嘱离院率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24小时同病种非计划重返病人数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24小时同病种非计划重返率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2～15天同病种非计划重返病人数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2～15天同病种非计划重返率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16～31天同病种非计划重返病人数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16～31天同病种非计划重返率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非计划重返手术率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二次手术率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并发症发生率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总费用</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医疗服务费（病案分类及账单码分类）</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药品费（病案分类及账单码分类）</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中药费（病案分类及账单码分类）</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西药费（病案分类及账单码分类）</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耗材费（病案分类及账单码分类）</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检查费（病案分类及账单码分类）</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检验费（病案分类及账单码分类）</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中医项目费（外部码）</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高值耗材费</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次均费用</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次均药品费</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次均耗材费</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次均医疗服务费</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每床日医疗服务收入</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每床日成本</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每床日药品成本</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每床日卫材成本</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医保结算盈亏</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次均医保结算盈亏</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医疗服务收入占比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占科室医疗服务收入占比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总权重</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RW＜2的患者占比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5＞RW≥2的患者占比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10＞RW≥5的患者占比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RW≥10的患者占比</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DRG组RW</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DRGS组数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DRG服务能力指标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CMI</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DRG服务效率指标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时间消耗指数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DRG服务效率指标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费用消耗指数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DRG服务效率指标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药品消耗指数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DRG服务效率指标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耗材消耗指数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DRG服务效率指标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药品耗材指数</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DRG医疗安全指标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低风险组死亡率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DRG医疗安全指标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中低风险组死亡率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DRG医疗安全指标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中高风险组死亡率</w:t>
            </w:r>
          </w:p>
        </w:tc>
      </w:tr>
      <w:tr>
        <w:tc>
          <w:tcPr>
            <w:tcW w:type="dxa" w:w="2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DRG医疗安全指标</w:t>
            </w:r>
          </w:p>
        </w:tc>
        <w:tc>
          <w:tcPr>
            <w:tcW w:type="dxa" w:w="4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高风险组死亡率</w:t>
            </w:r>
          </w:p>
        </w:tc>
      </w:tr>
    </w:tbl>
    <w:p>
      <w:pPr>
        <w:pStyle w:val="null3"/>
        <w:jc w:val="both"/>
      </w:pPr>
      <w:r>
        <w:rPr>
          <w:sz w:val="22"/>
          <w:b/>
        </w:rPr>
        <w:t>5.</w:t>
      </w:r>
      <w:r>
        <w:rPr>
          <w:sz w:val="22"/>
          <w:b/>
        </w:rPr>
        <w:t>建设高精尖技术运行指标监测模块</w:t>
      </w:r>
    </w:p>
    <w:p>
      <w:pPr>
        <w:pStyle w:val="null3"/>
        <w:ind w:firstLine="440"/>
        <w:jc w:val="both"/>
      </w:pPr>
      <w:r>
        <w:rPr>
          <w:sz w:val="22"/>
        </w:rPr>
        <w:t>5.1.</w:t>
      </w:r>
      <w:r>
        <w:rPr>
          <w:sz w:val="22"/>
        </w:rPr>
        <w:t>根据《高精尖技术管理办法（试行）》提出的监管要求，需要整合相关手术的医疗数据、运营数据、药品数据等，提供固定高精尖技术运行监测报表并定期更新</w:t>
      </w:r>
      <w:r>
        <w:rPr>
          <w:sz w:val="22"/>
        </w:rPr>
        <w:t>。</w:t>
      </w:r>
    </w:p>
    <w:p>
      <w:pPr>
        <w:pStyle w:val="null3"/>
        <w:ind w:firstLine="440"/>
        <w:jc w:val="both"/>
      </w:pPr>
      <w:r>
        <w:rPr>
          <w:sz w:val="22"/>
        </w:rPr>
        <w:t>5.2.技术参数要求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600"/>
        <w:gridCol w:w="945"/>
        <w:gridCol w:w="810"/>
        <w:gridCol w:w="5235"/>
      </w:tblGrid>
      <w:tr>
        <w:tc>
          <w:tcPr>
            <w:tcW w:type="dxa" w:w="60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序号</w:t>
            </w:r>
          </w:p>
        </w:tc>
        <w:tc>
          <w:tcPr>
            <w:tcW w:type="dxa" w:w="94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模块</w:t>
            </w:r>
          </w:p>
          <w:p>
            <w:pPr>
              <w:pStyle w:val="null3"/>
              <w:jc w:val="center"/>
            </w:pPr>
            <w:r>
              <w:rPr>
                <w:sz w:val="22"/>
                <w:b/>
                <w:color w:val="000000"/>
              </w:rPr>
              <w:t>名称</w:t>
            </w:r>
          </w:p>
        </w:tc>
        <w:tc>
          <w:tcPr>
            <w:tcW w:type="dxa" w:w="810"/>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功能名称</w:t>
            </w:r>
          </w:p>
        </w:tc>
        <w:tc>
          <w:tcPr>
            <w:tcW w:type="dxa" w:w="523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具体参数和要求</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高精尖技术运行指标监测模块</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医疗质量指标</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包括但不限于：并发症（人次）、并发症发生率；非计划再次手术（人次）、非计划再次手术发生率：我院死亡（人次），我院死亡率、广东省三级医院死亡率；非医嘱离院（人次）、非医嘱离院率等。</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45"/>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效率效能指标</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包括但不限于：出院人数、总</w:t>
            </w:r>
            <w:r>
              <w:rPr>
                <w:sz w:val="22"/>
                <w:color w:val="000000"/>
              </w:rPr>
              <w:t>RW、权重系数（RW）、平均住院日、广东省三级医院平均住院日、时间消耗指数；例均费用、广东省三级医院例均费用、费用消耗指数等。</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45"/>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成本效益指标</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括但不限于：例均药费、广东省三级医院例均药费、药占比、广东省三级医院药占比；例均耗材费、广东省三级医院例均耗材费费、耗材占比、广东省三级医院耗材占比、例均医疗服务收入、医疗服务收入占比；例均手术治疗费；例均手术用一次性医用耗材费用；例均医保测算盈亏；例均财务盈亏等。</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45"/>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药学指标</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包括但不限于：例均抗菌药费用（元）、例均医院重点监测药品费用等。</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45"/>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DRG指标</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包括但不限于：</w:t>
            </w:r>
            <w:r>
              <w:rPr>
                <w:sz w:val="22"/>
                <w:color w:val="000000"/>
              </w:rPr>
              <w:t>DRG全省机构数（个）、DRG全省出院人次（人次）、DRG全省权重系数、DRG全省平均住院日(天)、DRG全省死亡人数（人次）DRG全省病死率（%）和DRG全省例均费用(元)等。</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45"/>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指标预警</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包括但不限于：平均住院日、例均费用、耗材费用（例均）、药品费用（例均）、死亡率、药占比、耗占比增加逻辑公式（标记我院比省三级公立医院超出</w:t>
            </w:r>
            <w:r>
              <w:rPr>
                <w:sz w:val="22"/>
                <w:color w:val="000000"/>
              </w:rPr>
              <w:t>20%的指标（黄色），超出50%的指标（红色））等。</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45"/>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患者明细</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每组数据点击后可获取患者明细。</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45"/>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DRG组汇总数据</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每种技术涉及多个</w:t>
            </w:r>
            <w:r>
              <w:rPr>
                <w:sz w:val="22"/>
                <w:color w:val="000000"/>
              </w:rPr>
              <w:t>DRG组的，需要有汇总数据。</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45"/>
            <w:vMerge/>
            <w:tcBorders>
              <w:top w:val="none" w:color="000000" w:sz="4"/>
              <w:left w:val="none" w:color="000000" w:sz="4"/>
              <w:bottom w:val="single" w:color="000000" w:sz="4"/>
              <w:right w:val="single" w:color="000000" w:sz="4"/>
            </w:tcBorders>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报表权限</w:t>
            </w:r>
          </w:p>
        </w:tc>
        <w:tc>
          <w:tcPr>
            <w:tcW w:type="dxa" w:w="5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报表按用户角色分配查询权限。</w:t>
            </w:r>
          </w:p>
        </w:tc>
      </w:tr>
    </w:tbl>
    <w:p>
      <w:pPr>
        <w:pStyle w:val="null3"/>
        <w:ind w:firstLine="440"/>
        <w:jc w:val="both"/>
      </w:pPr>
      <w:r>
        <w:rPr>
          <w:sz w:val="22"/>
        </w:rPr>
        <w:t>5.3.</w:t>
      </w:r>
      <w:r>
        <w:rPr>
          <w:sz w:val="22"/>
        </w:rPr>
        <w:t>高精尖技术目录</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1230"/>
        <w:gridCol w:w="1980"/>
        <w:gridCol w:w="4995"/>
      </w:tblGrid>
      <w:tr>
        <w:tc>
          <w:tcPr>
            <w:tcW w:type="dxa" w:w="1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专科</w:t>
            </w:r>
          </w:p>
        </w:tc>
        <w:tc>
          <w:tcPr>
            <w:tcW w:type="dxa" w:w="1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手术分类</w:t>
            </w:r>
          </w:p>
        </w:tc>
        <w:tc>
          <w:tcPr>
            <w:tcW w:type="dxa" w:w="4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高精尖技术名称</w:t>
            </w:r>
          </w:p>
        </w:tc>
      </w:tr>
      <w:tr>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心脏</w:t>
            </w:r>
          </w:p>
          <w:p>
            <w:pPr>
              <w:pStyle w:val="null3"/>
              <w:jc w:val="center"/>
            </w:pPr>
            <w:r>
              <w:rPr>
                <w:sz w:val="22"/>
                <w:color w:val="000000"/>
              </w:rPr>
              <w:t>外科</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心脏移植术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心脏移植术</w:t>
            </w:r>
          </w:p>
        </w:tc>
      </w:tr>
      <w:tr>
        <w:tc>
          <w:tcPr>
            <w:tcW w:type="dxa" w:w="1230"/>
            <w:vMerge/>
            <w:tcBorders>
              <w:top w:val="none" w:color="000000" w:sz="4"/>
              <w:left w:val="single" w:color="000000" w:sz="4"/>
              <w:bottom w:val="single" w:color="000000" w:sz="4"/>
              <w:right w:val="single" w:color="000000" w:sz="4"/>
            </w:tcBorders>
          </w:tcP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冠状动脉手术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冠状动脉旁路移植术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冠状动脉成型术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冠状动脉内膜剥脱术</w:t>
            </w:r>
          </w:p>
        </w:tc>
      </w:tr>
      <w:tr>
        <w:tc>
          <w:tcPr>
            <w:tcW w:type="dxa" w:w="1230"/>
            <w:vMerge/>
            <w:tcBorders>
              <w:top w:val="none" w:color="000000" w:sz="4"/>
              <w:left w:val="single" w:color="000000" w:sz="4"/>
              <w:bottom w:val="single" w:color="000000" w:sz="4"/>
              <w:right w:val="single" w:color="000000" w:sz="4"/>
            </w:tcBorders>
          </w:tcP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主动脉手术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支架象鼻子术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全主动脉弓人工血管置换并支架象鼻手术（</w:t>
            </w:r>
            <w:r>
              <w:rPr>
                <w:sz w:val="22"/>
                <w:color w:val="000000"/>
              </w:rPr>
              <w:t>Sun's手术）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主动脉弓人工血管置换术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主动脉根部置换术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升主动脉部分切除伴人工血管置换术</w:t>
            </w:r>
          </w:p>
        </w:tc>
      </w:tr>
      <w:tr>
        <w:tc>
          <w:tcPr>
            <w:tcW w:type="dxa" w:w="1230"/>
            <w:vMerge/>
            <w:tcBorders>
              <w:top w:val="none" w:color="000000" w:sz="4"/>
              <w:left w:val="single" w:color="000000" w:sz="4"/>
              <w:bottom w:val="single" w:color="000000" w:sz="4"/>
              <w:right w:val="single" w:color="000000" w:sz="4"/>
            </w:tcBorders>
          </w:tcP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心律失常手术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心脏射频消融改良迷宫术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左心耳结扎术</w:t>
            </w:r>
            <w:r>
              <w:rPr>
                <w:sz w:val="22"/>
                <w:color w:val="000000"/>
              </w:rPr>
              <w:t>/胸腔镜下左心耳结扎术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左心房减容术</w:t>
            </w:r>
          </w:p>
        </w:tc>
      </w:tr>
      <w:tr>
        <w:tc>
          <w:tcPr>
            <w:tcW w:type="dxa" w:w="1230"/>
            <w:vMerge/>
            <w:tcBorders>
              <w:top w:val="none" w:color="000000" w:sz="4"/>
              <w:left w:val="single" w:color="000000" w:sz="4"/>
              <w:bottom w:val="single" w:color="000000" w:sz="4"/>
              <w:right w:val="single" w:color="000000" w:sz="4"/>
            </w:tcBorders>
          </w:tcP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瓣膜手术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主动脉再次置换术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主动脉瓣成形术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二尖瓣成形术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三尖瓣成形术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心脏瓣膜病损（赘生物）切除术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经心尖二尖瓣人工腱索置入修补术</w:t>
            </w:r>
          </w:p>
        </w:tc>
      </w:tr>
      <w:tr>
        <w:tc>
          <w:tcPr>
            <w:tcW w:type="dxa" w:w="1230"/>
            <w:vMerge/>
            <w:tcBorders>
              <w:top w:val="none" w:color="000000" w:sz="4"/>
              <w:left w:val="singl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心脏肿瘤手术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心脏病损切除术</w:t>
            </w:r>
          </w:p>
        </w:tc>
      </w:tr>
      <w:tr>
        <w:tc>
          <w:tcPr>
            <w:tcW w:type="dxa" w:w="1230"/>
            <w:vMerge/>
            <w:tcBorders>
              <w:top w:val="none" w:color="000000" w:sz="4"/>
              <w:left w:val="single" w:color="000000" w:sz="4"/>
              <w:bottom w:val="single" w:color="000000" w:sz="4"/>
              <w:right w:val="single" w:color="000000" w:sz="4"/>
            </w:tcBorders>
          </w:tcP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未分类</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血栓清除术（心房</w:t>
            </w:r>
            <w:r>
              <w:rPr>
                <w:sz w:val="22"/>
                <w:color w:val="000000"/>
              </w:rPr>
              <w:t>/心室/心耳）</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心室修补术</w:t>
            </w:r>
          </w:p>
        </w:tc>
      </w:tr>
      <w:tr>
        <w:tc>
          <w:tcPr>
            <w:tcW w:type="dxa" w:w="1230"/>
            <w:vMerge/>
            <w:tcBorders>
              <w:top w:val="none" w:color="000000" w:sz="4"/>
              <w:left w:val="single" w:color="000000" w:sz="4"/>
              <w:bottom w:val="single" w:color="000000" w:sz="4"/>
              <w:right w:val="single" w:color="000000" w:sz="4"/>
            </w:tcBorders>
          </w:tcP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先天性心脏病手术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主动脉缩窄矫治术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卵圆孔未闭修补术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冠状静脉窦无顶综合征矫治术</w:t>
            </w:r>
          </w:p>
        </w:tc>
      </w:tr>
      <w:tr>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神经外科</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颅内血管手术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颈总动脉大脑中动脉吻合术</w:t>
            </w:r>
          </w:p>
        </w:tc>
      </w:tr>
      <w:tr>
        <w:tc>
          <w:tcPr>
            <w:tcW w:type="dxa" w:w="1230"/>
            <w:vMerge/>
            <w:tcBorders>
              <w:top w:val="none" w:color="000000" w:sz="4"/>
              <w:left w:val="singl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脑起搏器手术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脑深部电极植入术</w:t>
            </w:r>
          </w:p>
        </w:tc>
      </w:tr>
      <w:tr>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血管外科</w:t>
            </w: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周围血管手术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颈总动脉内膜剥脱术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锁骨下动脉搭桥术</w:t>
            </w:r>
          </w:p>
        </w:tc>
      </w:tr>
      <w:tr>
        <w:tc>
          <w:tcPr>
            <w:tcW w:type="dxa" w:w="1230"/>
            <w:vMerge/>
            <w:tcBorders>
              <w:top w:val="none" w:color="000000" w:sz="4"/>
              <w:left w:val="singl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周围血管介入治疗</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髂内动脉分支的重建（开窗或分支支架重建）</w:t>
            </w:r>
          </w:p>
        </w:tc>
      </w:tr>
      <w:tr>
        <w:tc>
          <w:tcPr>
            <w:tcW w:type="dxa" w:w="1230"/>
            <w:vMerge/>
            <w:tcBorders>
              <w:top w:val="none" w:color="000000" w:sz="4"/>
              <w:left w:val="singl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主动脉腔内治疗</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主动脉分支的开窗或分支支架重建</w:t>
            </w:r>
          </w:p>
        </w:tc>
      </w:tr>
      <w:tr>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心血管内科</w:t>
            </w: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心脏瓣膜介入技术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经导管主动脉瓣置换术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经皮二尖瓣钳夹术</w:t>
            </w:r>
          </w:p>
        </w:tc>
      </w:tr>
      <w:tr>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普通外科</w:t>
            </w: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肝脏移植术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肝脏移植术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自体肝移植术</w:t>
            </w:r>
          </w:p>
        </w:tc>
      </w:tr>
      <w:tr>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泌尿外科（小儿外科）</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泌尿系统矫形手术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肾盂输尿管成形术（新生儿）</w:t>
            </w:r>
          </w:p>
        </w:tc>
      </w:tr>
      <w:tr>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耳鼻喉科</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听力重建手术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电子耳蜗植入术</w:t>
            </w:r>
          </w:p>
        </w:tc>
      </w:tr>
      <w:tr>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胸外科（小儿外科）</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消化系统矫形手术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先天性食管闭锁经胸膜外吻合术</w:t>
            </w:r>
          </w:p>
        </w:tc>
      </w:tr>
      <w:tr>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疼痛科</w:t>
            </w:r>
          </w:p>
        </w:tc>
        <w:tc>
          <w:tcPr>
            <w:tcW w:type="dxa" w:w="19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镇痛技术</w:t>
            </w: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脊髓神经电刺激系统植入术</w:t>
            </w:r>
          </w:p>
        </w:tc>
      </w:tr>
      <w:tr>
        <w:tc>
          <w:tcPr>
            <w:tcW w:type="dxa" w:w="1230"/>
            <w:vMerge/>
            <w:tcBorders>
              <w:top w:val="none" w:color="000000" w:sz="4"/>
              <w:left w:val="single" w:color="000000" w:sz="4"/>
              <w:bottom w:val="single" w:color="000000" w:sz="4"/>
              <w:right w:val="single" w:color="000000" w:sz="4"/>
            </w:tcBorders>
          </w:tcPr>
          <w:p/>
        </w:tc>
        <w:tc>
          <w:tcPr>
            <w:tcW w:type="dxa" w:w="1980"/>
            <w:vMerge/>
            <w:tcBorders>
              <w:top w:val="none" w:color="000000" w:sz="4"/>
              <w:left w:val="none" w:color="000000" w:sz="4"/>
              <w:bottom w:val="single" w:color="000000" w:sz="4"/>
              <w:right w:val="single" w:color="000000" w:sz="4"/>
            </w:tcBorders>
          </w:tcPr>
          <w:p/>
        </w:tc>
        <w:tc>
          <w:tcPr>
            <w:tcW w:type="dxa" w:w="4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鞘内输注植入手术</w:t>
            </w:r>
          </w:p>
        </w:tc>
      </w:tr>
    </w:tbl>
    <w:p>
      <w:pPr>
        <w:pStyle w:val="null3"/>
        <w:jc w:val="both"/>
      </w:pPr>
      <w:r>
        <w:rPr>
          <w:sz w:val="22"/>
          <w:b/>
        </w:rPr>
        <w:t>6.建设运营管理测算分析模块</w:t>
      </w:r>
    </w:p>
    <w:p>
      <w:pPr>
        <w:pStyle w:val="null3"/>
        <w:ind w:firstLine="440"/>
        <w:jc w:val="both"/>
      </w:pPr>
      <w:r>
        <w:rPr>
          <w:sz w:val="22"/>
        </w:rPr>
        <w:t>6.1.该模块建立医院的运营收入测算分析模型，提供收入结构调整和业务增长对医院整体收入和科室收入进行测算分析，从而帮助医院建立科学合理的院级和科级关键运营指标目标值，并提供运营收入监测功能。</w:t>
      </w:r>
    </w:p>
    <w:p>
      <w:pPr>
        <w:pStyle w:val="null3"/>
        <w:ind w:firstLine="440"/>
        <w:jc w:val="both"/>
      </w:pPr>
      <w:r>
        <w:rPr>
          <w:sz w:val="22"/>
        </w:rPr>
        <w:t>6.2.技术参数要求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540"/>
        <w:gridCol w:w="870"/>
        <w:gridCol w:w="855"/>
        <w:gridCol w:w="5145"/>
      </w:tblGrid>
      <w:tr>
        <w:tc>
          <w:tcPr>
            <w:tcW w:type="dxa" w:w="54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序号</w:t>
            </w:r>
          </w:p>
        </w:tc>
        <w:tc>
          <w:tcPr>
            <w:tcW w:type="dxa" w:w="870"/>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模块</w:t>
            </w:r>
          </w:p>
          <w:p>
            <w:pPr>
              <w:pStyle w:val="null3"/>
              <w:jc w:val="center"/>
            </w:pPr>
            <w:r>
              <w:rPr>
                <w:sz w:val="22"/>
                <w:b/>
                <w:color w:val="000000"/>
              </w:rPr>
              <w:t>名称</w:t>
            </w:r>
          </w:p>
        </w:tc>
        <w:tc>
          <w:tcPr>
            <w:tcW w:type="dxa" w:w="85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功能</w:t>
            </w:r>
          </w:p>
          <w:p>
            <w:pPr>
              <w:pStyle w:val="null3"/>
              <w:jc w:val="center"/>
            </w:pPr>
            <w:r>
              <w:rPr>
                <w:sz w:val="22"/>
                <w:b/>
                <w:color w:val="000000"/>
              </w:rPr>
              <w:t>名称</w:t>
            </w:r>
          </w:p>
        </w:tc>
        <w:tc>
          <w:tcPr>
            <w:tcW w:type="dxa" w:w="514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具体参数和要求</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运营目标监测大屏</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运营目标监测大屏</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测包括但不限于医院的医疗收入、门急诊收入、住院收入、门急诊人次、非药耗门诊次均费用、门诊药耗占比、出院患者人次、非药耗出院患者次均费用、住院药耗占比、出院患者手术台次数、出院患者手术占比、出院患者微创手术台次数、出院患者微创手术占比、出院患者四级手术台次数和出院患者四级手术占比的年迄今数据、对比年目标数值从而监测目标完成率</w:t>
            </w:r>
            <w:r>
              <w:rPr>
                <w:sz w:val="22"/>
                <w:color w:val="000000"/>
              </w:rPr>
              <w:t>/差值情况等。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院级运营测算</w:t>
            </w: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收入</w:t>
            </w:r>
          </w:p>
          <w:p>
            <w:pPr>
              <w:pStyle w:val="null3"/>
              <w:jc w:val="center"/>
            </w:pPr>
            <w:r>
              <w:rPr>
                <w:sz w:val="22"/>
                <w:color w:val="000000"/>
              </w:rPr>
              <w:t>测算</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目标设定：提供包括但不限于近三年医院总收入、医疗收入、门急诊收入和住院收入的数据以及近年平均值，可以设定医疗收入、门急诊收入和住院收入的年度目标值等。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门急诊收入测算：提供包括但不限于近三年挂号收入、诊察收入、治疗收入、手术收入、检查收入、化验收入、卫生材料收入、药品收入、门诊人次和门诊人次增幅数据以及近年平均值等，可以设定各项指标的目标占比，从而实现门急诊收入的调整测算，以及提示是否能达到院级门急诊收入目标值。</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住院收入测算：提供包括但不限于近三年床位收入、诊察收入、治疗收入、手术收入、护理收入、检查收入、化验收入、卫生材料收入、药品收入、出院人次和出院均次费增幅数据以及近年平均值等，可以设定各项指标的目标占比，从而实现住院收入的调整测算，以及提示是否能达到院级住院收入目标值。</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目标测算概况：依据门急诊收入测算和住院收入测算的目标设置设定，自动计算包括但不限于医疗收入、门急诊收入、住院收入、医疗服务收入占比、检验检查收入占比、药耗占比、门诊人次、非药耗门诊次均费用、门诊药耗占比、出院患者人次、非药耗出院患者次均费用和住院药耗占比等的测算结果。</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870"/>
            <w:vMerge/>
            <w:tcBorders>
              <w:top w:val="none" w:color="000000" w:sz="4"/>
              <w:left w:val="none" w:color="000000" w:sz="4"/>
              <w:bottom w:val="single" w:color="000000" w:sz="4"/>
              <w:right w:val="single" w:color="000000" w:sz="4"/>
            </w:tcBorders>
          </w:tcP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w:t>
            </w:r>
          </w:p>
          <w:p>
            <w:pPr>
              <w:pStyle w:val="null3"/>
              <w:jc w:val="center"/>
            </w:pPr>
            <w:r>
              <w:rPr>
                <w:sz w:val="22"/>
                <w:color w:val="000000"/>
              </w:rPr>
              <w:t>测算</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包括但不限于近三年出院患者人数、出院患者四级手术台次数、出院患者四级手术占比、出院患者微创手术台次数、出院患者微创手术占比、出院患者手术台次数和出院患者手术占比数据以及近年平均值等，可以设定院患者手术台次数、出院患者四级手术台次数和出院患者微创手术台次数的目标增长幅度，从而实现各类手术台次数及手术占比的年度目标值测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以提供包括但不限于出院患者人数、出院患者四级手术台次数、出院患者四级手术占比、出院患者微创手术台次数、出院患者微创手术占比、出院患者手术台次数和出院患者手术占比的各科室近三年数据、增幅情况以及均值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8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科级</w:t>
            </w:r>
          </w:p>
          <w:p>
            <w:pPr>
              <w:pStyle w:val="null3"/>
              <w:jc w:val="center"/>
            </w:pPr>
            <w:r>
              <w:rPr>
                <w:sz w:val="22"/>
                <w:color w:val="000000"/>
              </w:rPr>
              <w:t>测算</w:t>
            </w: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科级门诊收入测算</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科室门急诊目标测算：为各科室提供包括但不限于门急诊收入、门急诊人次、门急诊医师人数、门诊药耗占比的近三年数据和均值等，提供指标目标设定功能，从而实现其门急诊收入、门急诊人次、门诊均次费、门诊药耗占比、非药耗门诊次均费用和全院人均效率的年度测算目标。</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科室门急诊目标测算与院级门急诊目标测算对比，分析包括但不限于门急诊收入、门急诊人次、非药耗门诊次均费用、门诊药耗占比的科室测算汇总结果与院级测算目标的吻合度和差值情况等。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870"/>
            <w:vMerge/>
            <w:tcBorders>
              <w:top w:val="none" w:color="000000" w:sz="4"/>
              <w:left w:val="none" w:color="000000" w:sz="4"/>
              <w:bottom w:val="single" w:color="000000" w:sz="4"/>
              <w:right w:val="single" w:color="000000" w:sz="4"/>
            </w:tcBorders>
          </w:tcP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科级住院收入测算</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科室住院目标测算：为各科室提供包括但不限于住院收入、出院患者人次、住院医师人数、住院药耗占比的近三年数据和均值等，提供指标目标设定功能，从而实现其住院收入、出院患者人次、住院医师人数、出院患者均次费、住院药耗占比、非药耗出院患者次均费用和全院人均效率的年度测算目标。</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科室住院目标测算与院级住院目标测算对比，分析包括但不限于住院收入、出院患者人次、非药耗出院患者次均费用和住院药耗占比的科室测算汇总结果与院级测算目标的吻合度和差值情况等。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870"/>
            <w:vMerge/>
            <w:tcBorders>
              <w:top w:val="none" w:color="000000" w:sz="4"/>
              <w:left w:val="none" w:color="000000" w:sz="4"/>
              <w:bottom w:val="single" w:color="000000" w:sz="4"/>
              <w:right w:val="single" w:color="000000" w:sz="4"/>
            </w:tcBorders>
          </w:tcP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w:t>
            </w:r>
          </w:p>
          <w:p>
            <w:pPr>
              <w:pStyle w:val="null3"/>
              <w:jc w:val="center"/>
            </w:pPr>
            <w:r>
              <w:rPr>
                <w:sz w:val="22"/>
                <w:color w:val="000000"/>
              </w:rPr>
              <w:t>测算</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科室手术目标测算：为各科室提供包括但不限于出院患者人数、出院患者手术台次数、出院患者四级手术台次数和出院患者微创手术台次数的近三年数据和均值等，提供指标目标设定功能，从而实现各类手术台次数及手术占比的年度目标值测算。</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科室手术测算与院级手术目标测算对比，分析包括但不限于住院患者人数、出院患者四级手术台次数、出院患者四级手术占比、出院患者微创手术台次数、出院患者微创手术占比、出院患者手术台次数和出院患者手术占比的科室测算汇总结果与院级测算目标的吻合度和差值情况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8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目标监测</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目标监测概览</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测包括但不限于门诊指标（门急诊收入、门急诊人次、非药耗门诊次均费用和门诊药耗占）、住院指标（住院收入、出院患者人次、非药耗出院患者次均费用和住院药耗占比年）和手术指标（出院患者手术台次数、出院患者微创手术台次数、出院患者微创手术占比、出院患者四级手术台次数、出院患者四级手术占比和出院患者手术占）的达标科室数量、不达标科室数量和科室达标率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870"/>
            <w:vMerge/>
            <w:tcBorders>
              <w:top w:val="none" w:color="000000" w:sz="4"/>
              <w:left w:val="none" w:color="000000" w:sz="4"/>
              <w:bottom w:val="single" w:color="000000" w:sz="4"/>
              <w:right w:val="single" w:color="000000" w:sz="4"/>
            </w:tcBorders>
          </w:tcP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门诊目标监测</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监测包括但不限于全院及科室的门急诊收入、门急诊人次、非药耗门诊次均费用和门诊药耗占比年迄今数据值以及与目标值对比的完成度等，并通过红绿灯方式直观展现完成度状态。</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点击科室可弹出各月各项指标的明细数据。</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870"/>
            <w:vMerge/>
            <w:tcBorders>
              <w:top w:val="none" w:color="000000" w:sz="4"/>
              <w:left w:val="none" w:color="000000" w:sz="4"/>
              <w:bottom w:val="single" w:color="000000" w:sz="4"/>
              <w:right w:val="single" w:color="000000" w:sz="4"/>
            </w:tcBorders>
          </w:tcP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住院目标监测</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监测包括但不限于全院及科室的住院收入、出院患者人次、非药耗出院患者次均费用、住院药耗占比年迄今数据值以及与目标值对比的完成度等，并通过红绿灯方式直观展现完成度状态。</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点击科室可弹出各月各项指标的明细数据。</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870"/>
            <w:vMerge/>
            <w:tcBorders>
              <w:top w:val="none" w:color="000000" w:sz="4"/>
              <w:left w:val="none" w:color="000000" w:sz="4"/>
              <w:bottom w:val="single" w:color="000000" w:sz="4"/>
              <w:right w:val="single" w:color="000000" w:sz="4"/>
            </w:tcBorders>
          </w:tcPr>
          <w:p/>
        </w:tc>
        <w:tc>
          <w:tcPr>
            <w:tcW w:type="dxa" w:w="8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手术目标监测</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测包括但不限于全院及科室的出院患者手术台次数、出院患者微创手术台次数、出院患者微创手术占比、出院患者四级手术台次数、出院患者四级手术占比和出院患者手术占比迄今数据值以及与目标值对比的完成度等，并通过红绿灯方式直观展现完成度状态。</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870"/>
            <w:vMerge/>
            <w:tcBorders>
              <w:top w:val="none" w:color="000000" w:sz="4"/>
              <w:left w:val="none" w:color="000000" w:sz="4"/>
              <w:bottom w:val="single" w:color="000000" w:sz="4"/>
              <w:right w:val="single" w:color="000000" w:sz="4"/>
            </w:tcBorders>
          </w:tcPr>
          <w:p/>
        </w:tc>
        <w:tc>
          <w:tcPr>
            <w:tcW w:type="dxa" w:w="855"/>
            <w:vMerge/>
            <w:tcBorders>
              <w:top w:val="none" w:color="000000" w:sz="4"/>
              <w:left w:val="none" w:color="000000" w:sz="4"/>
              <w:bottom w:val="single" w:color="000000" w:sz="4"/>
              <w:right w:val="single" w:color="000000" w:sz="4"/>
            </w:tcBorders>
          </w:tcP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点击科室可弹出各月各项指标的明细数据。</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8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科室目标管理</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科室目标监测</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科主任可监测包括但不限于门诊指标（门急诊收入、门急诊人次、非药耗门诊次均费用和门诊药耗占）、住院指标（住院收入、出院患者人次、非药耗出院患者次均费用和住院药耗占比年）和手术指标（出院患者手术台次数、出院患者微创手术台次数、出院患者微创手术占比、出院患者四级手术台次数、出院患者四级手术占比和出院患者手术占）的目标值、年迄今值、年迄今目标完成率</w:t>
            </w:r>
            <w:r>
              <w:rPr>
                <w:sz w:val="22"/>
                <w:color w:val="000000"/>
              </w:rPr>
              <w:t>/差值、月度达标次数和科室排名等。</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870"/>
            <w:vMerge/>
            <w:tcBorders>
              <w:top w:val="none" w:color="000000" w:sz="4"/>
              <w:left w:val="none" w:color="000000" w:sz="4"/>
              <w:bottom w:val="single" w:color="000000" w:sz="4"/>
              <w:right w:val="single" w:color="000000" w:sz="4"/>
            </w:tcBorders>
          </w:tcP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月度数据潜入</w:t>
            </w:r>
          </w:p>
        </w:tc>
        <w:tc>
          <w:tcPr>
            <w:tcW w:type="dxa" w:w="5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各项监测指标均可以潜入查看各月数据情况。</w:t>
            </w:r>
          </w:p>
        </w:tc>
      </w:tr>
    </w:tbl>
    <w:p>
      <w:pPr>
        <w:pStyle w:val="null3"/>
        <w:jc w:val="both"/>
      </w:pPr>
      <w:r>
        <w:rPr>
          <w:sz w:val="22"/>
          <w:b/>
        </w:rPr>
        <w:t>7.</w:t>
      </w:r>
      <w:r>
        <w:rPr>
          <w:sz w:val="22"/>
          <w:b/>
        </w:rPr>
        <w:t>重点监测指标看板和自定义指标监测看板</w:t>
      </w:r>
      <w:r>
        <w:rPr>
          <w:sz w:val="22"/>
          <w:b/>
        </w:rPr>
        <w:t>要求</w:t>
      </w:r>
    </w:p>
    <w:p>
      <w:pPr>
        <w:pStyle w:val="null3"/>
        <w:ind w:firstLine="440"/>
        <w:jc w:val="both"/>
      </w:pPr>
      <w:r>
        <w:rPr>
          <w:sz w:val="22"/>
        </w:rPr>
        <w:t>7.1.</w:t>
      </w:r>
      <w:r>
        <w:rPr>
          <w:sz w:val="22"/>
        </w:rPr>
        <w:t>建立重点监测指标看板和自定义指标监测看板，满足不同场景、不同主题、不同角色以及通用性与个性化的数据监测分析需求。</w:t>
      </w:r>
    </w:p>
    <w:p>
      <w:pPr>
        <w:pStyle w:val="null3"/>
        <w:ind w:firstLine="440"/>
        <w:jc w:val="both"/>
      </w:pPr>
      <w:r>
        <w:rPr>
          <w:sz w:val="22"/>
        </w:rPr>
        <w:t>7.2.</w:t>
      </w:r>
      <w:r>
        <w:rPr>
          <w:sz w:val="22"/>
        </w:rPr>
        <w:t>针对特定场景（门诊、住院等）和主题（医疗质量、运营收入等）开发重点监测指标看板，为相关领导和部门同事提供及时的数据分析支撑，帮助管理者快速识别异常波动或潜在风险。</w:t>
      </w:r>
    </w:p>
    <w:p>
      <w:pPr>
        <w:pStyle w:val="null3"/>
        <w:ind w:firstLine="440"/>
        <w:jc w:val="both"/>
      </w:pPr>
      <w:r>
        <w:rPr>
          <w:sz w:val="22"/>
        </w:rPr>
        <w:t>7.3.</w:t>
      </w:r>
      <w:r>
        <w:rPr>
          <w:sz w:val="22"/>
        </w:rPr>
        <w:t>自定义指标监测看板满足专科运营助理的数据调用和个性化分析需求。专科运营助理可以根据数据分析要求，从医院指标库中调用所需要的运营指标，形成个性化的数据看板，满足不同使用者、不同科室、不同指标和不同时段的指标的指标分析需求</w:t>
      </w:r>
      <w:r>
        <w:rPr>
          <w:sz w:val="22"/>
        </w:rPr>
        <w:t>。</w:t>
      </w:r>
    </w:p>
    <w:p>
      <w:pPr>
        <w:pStyle w:val="null3"/>
        <w:ind w:firstLine="440"/>
        <w:jc w:val="both"/>
      </w:pPr>
      <w:r>
        <w:rPr>
          <w:sz w:val="22"/>
        </w:rPr>
        <w:t>7.4.</w:t>
      </w:r>
      <w:r>
        <w:rPr>
          <w:sz w:val="22"/>
        </w:rPr>
        <w:t>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465"/>
        <w:gridCol w:w="930"/>
        <w:gridCol w:w="945"/>
        <w:gridCol w:w="5370"/>
      </w:tblGrid>
      <w:tr>
        <w:tc>
          <w:tcPr>
            <w:tcW w:type="dxa" w:w="46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序号</w:t>
            </w:r>
          </w:p>
        </w:tc>
        <w:tc>
          <w:tcPr>
            <w:tcW w:type="dxa" w:w="93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模块</w:t>
            </w:r>
          </w:p>
          <w:p>
            <w:pPr>
              <w:pStyle w:val="null3"/>
              <w:jc w:val="center"/>
            </w:pPr>
            <w:r>
              <w:rPr>
                <w:sz w:val="22"/>
                <w:b/>
                <w:color w:val="000000"/>
              </w:rPr>
              <w:t>名称</w:t>
            </w:r>
          </w:p>
        </w:tc>
        <w:tc>
          <w:tcPr>
            <w:tcW w:type="dxa" w:w="94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功能</w:t>
            </w:r>
          </w:p>
          <w:p>
            <w:pPr>
              <w:pStyle w:val="null3"/>
              <w:jc w:val="center"/>
            </w:pPr>
            <w:r>
              <w:rPr>
                <w:sz w:val="22"/>
                <w:b/>
                <w:color w:val="000000"/>
              </w:rPr>
              <w:t>名称</w:t>
            </w:r>
          </w:p>
        </w:tc>
        <w:tc>
          <w:tcPr>
            <w:tcW w:type="dxa" w:w="537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具体参数和要求</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3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重点监测指标看板</w:t>
            </w:r>
            <w:r>
              <w:rPr>
                <w:sz w:val="22"/>
                <w:color w:val="000000"/>
              </w:rPr>
              <w:t>和</w:t>
            </w:r>
            <w:r>
              <w:rPr>
                <w:sz w:val="22"/>
                <w:color w:val="000000"/>
              </w:rPr>
              <w:t>自定义指标监测看板</w:t>
            </w:r>
          </w:p>
        </w:tc>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主题数据建模</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根据对不同专科的运营分析需求，创建不同主题的数据模型。要求数据建模后实现所有相关数据结果（统计数据与明细数据）都将直接加载到数据模型里，包含了数据分析所需的所有数据信息。通过访问数据模型可以快速获取数据，不用进行</w:t>
            </w:r>
            <w:r>
              <w:rPr>
                <w:sz w:val="22"/>
                <w:color w:val="000000"/>
              </w:rPr>
              <w:t>SQL</w:t>
            </w:r>
            <w:r>
              <w:rPr>
                <w:sz w:val="22"/>
                <w:color w:val="000000"/>
              </w:rPr>
              <w:t>方式查询，提升数据访问速度和效率。</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30"/>
            <w:vMerge/>
            <w:tcBorders>
              <w:top w:val="none" w:color="000000" w:sz="4"/>
              <w:left w:val="single" w:color="000000" w:sz="4"/>
              <w:bottom w:val="single" w:color="000000" w:sz="4"/>
              <w:right w:val="single" w:color="000000" w:sz="4"/>
            </w:tcBorders>
          </w:tcPr>
          <w:p/>
        </w:tc>
        <w:tc>
          <w:tcPr>
            <w:tcW w:type="dxa" w:w="94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医院指标库指标调用</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医院运营指标库</w:t>
            </w:r>
            <w:r>
              <w:rPr>
                <w:sz w:val="22"/>
                <w:color w:val="000000"/>
              </w:rPr>
              <w:t>包括但不限于</w:t>
            </w:r>
            <w:r>
              <w:rPr>
                <w:sz w:val="22"/>
                <w:color w:val="000000"/>
              </w:rPr>
              <w:t>门急诊业务指标（</w:t>
            </w:r>
            <w:r>
              <w:rPr>
                <w:sz w:val="22"/>
                <w:color w:val="000000"/>
              </w:rPr>
              <w:t>工作日日均门急诊人次、周末节假日日均门急诊人次、夜间日均门急诊人次</w:t>
            </w:r>
            <w:r>
              <w:rPr>
                <w:sz w:val="22"/>
                <w:color w:val="000000"/>
              </w:rPr>
              <w:t>、</w:t>
            </w:r>
            <w:r>
              <w:rPr>
                <w:sz w:val="22"/>
                <w:color w:val="000000"/>
              </w:rPr>
              <w:t>日均互联网诊疗人次</w:t>
            </w:r>
            <w:r>
              <w:rPr>
                <w:sz w:val="22"/>
                <w:color w:val="000000"/>
              </w:rPr>
              <w:t>和</w:t>
            </w:r>
            <w:r>
              <w:rPr>
                <w:sz w:val="22"/>
                <w:color w:val="000000"/>
              </w:rPr>
              <w:t>门诊次均非药耗费用</w:t>
            </w:r>
            <w:r>
              <w:rPr>
                <w:sz w:val="22"/>
                <w:color w:val="000000"/>
              </w:rPr>
              <w:t>等）、住院业务指标（</w:t>
            </w:r>
            <w:r>
              <w:rPr>
                <w:sz w:val="22"/>
                <w:color w:val="000000"/>
              </w:rPr>
              <w:t>基层病种人次占比、基层病种收治人数、</w:t>
            </w:r>
            <w:r>
              <w:rPr>
                <w:sz w:val="22"/>
                <w:color w:val="000000"/>
              </w:rPr>
              <w:t>CMI</w:t>
            </w:r>
            <w:r>
              <w:rPr>
                <w:sz w:val="22"/>
                <w:color w:val="000000"/>
              </w:rPr>
              <w:t>、时间消耗指数、费用消耗指数和住院次均非药耗费用</w:t>
            </w:r>
            <w:r>
              <w:rPr>
                <w:sz w:val="22"/>
                <w:color w:val="000000"/>
              </w:rPr>
              <w:t>等）、手术业务指标（</w:t>
            </w:r>
            <w:r>
              <w:rPr>
                <w:sz w:val="22"/>
                <w:color w:val="000000"/>
              </w:rPr>
              <w:t>基层病种手术人数、基层病种手术占手术患者比例、手术室首台择期手术平均开台时间、手术室最后一台择期手术平均关台时间和中心手术室最后一台择期手术平均关台时间</w:t>
            </w:r>
            <w:r>
              <w:rPr>
                <w:sz w:val="22"/>
                <w:color w:val="000000"/>
              </w:rPr>
              <w:t>等）和医技专业指标（</w:t>
            </w:r>
            <w:r>
              <w:rPr>
                <w:sz w:val="22"/>
                <w:color w:val="000000"/>
              </w:rPr>
              <w:t>放疗人次、调强放疗人次、</w:t>
            </w:r>
            <w:r>
              <w:rPr>
                <w:sz w:val="22"/>
                <w:color w:val="000000"/>
              </w:rPr>
              <w:t>CT</w:t>
            </w:r>
            <w:r>
              <w:rPr>
                <w:sz w:val="22"/>
                <w:color w:val="000000"/>
              </w:rPr>
              <w:t>室开单至检查等候时长中位数、</w:t>
            </w:r>
            <w:r>
              <w:rPr>
                <w:sz w:val="22"/>
                <w:color w:val="000000"/>
              </w:rPr>
              <w:t>MR</w:t>
            </w:r>
            <w:r>
              <w:rPr>
                <w:sz w:val="22"/>
                <w:color w:val="000000"/>
              </w:rPr>
              <w:t>室开单至检查等候时长中位数和超声科签到至检查等候时长中位数等</w:t>
            </w:r>
            <w:r>
              <w:rPr>
                <w:sz w:val="22"/>
                <w:color w:val="000000"/>
              </w:rPr>
              <w:t>）等指标。</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930"/>
            <w:vMerge/>
            <w:tcBorders>
              <w:top w:val="none" w:color="000000" w:sz="4"/>
              <w:left w:val="single" w:color="000000" w:sz="4"/>
              <w:bottom w:val="single" w:color="000000" w:sz="4"/>
              <w:right w:val="single" w:color="000000" w:sz="4"/>
            </w:tcBorders>
          </w:tcPr>
          <w:p/>
        </w:tc>
        <w:tc>
          <w:tcPr>
            <w:tcW w:type="dxa" w:w="945"/>
            <w:vMerge/>
            <w:tcBorders>
              <w:top w:val="none" w:color="000000" w:sz="4"/>
              <w:left w:val="single" w:color="000000" w:sz="4"/>
              <w:bottom w:val="single" w:color="000000" w:sz="4"/>
              <w:right w:val="single" w:color="000000" w:sz="4"/>
            </w:tcBorders>
          </w:tcP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运营助理可在门户页面选择标医院运营指标库中的任意指标（支持关键字进行检索），并调用数据看板图例库中的指标分析模版把指标数据可视化地加载到门户上显示从而进行分析。</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930"/>
            <w:vMerge/>
            <w:tcBorders>
              <w:top w:val="none" w:color="000000" w:sz="4"/>
              <w:left w:val="single" w:color="000000" w:sz="4"/>
              <w:bottom w:val="single" w:color="000000" w:sz="4"/>
              <w:right w:val="single" w:color="000000" w:sz="4"/>
            </w:tcBorders>
          </w:tcPr>
          <w:p/>
        </w:tc>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指标检索</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可在门户端指标库中通过关键字进行指标检索，并可查看</w:t>
            </w:r>
            <w:r>
              <w:rPr>
                <w:sz w:val="22"/>
                <w:color w:val="000000"/>
              </w:rPr>
              <w:t>包括但不限于</w:t>
            </w:r>
            <w:r>
              <w:rPr>
                <w:sz w:val="22"/>
                <w:color w:val="000000"/>
              </w:rPr>
              <w:t>检索指标的数值、指标定义、指标趋势、血缘图谱和进行多维分析与专题分析等。</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930"/>
            <w:vMerge/>
            <w:tcBorders>
              <w:top w:val="none" w:color="000000" w:sz="4"/>
              <w:left w:val="single" w:color="000000" w:sz="4"/>
              <w:bottom w:val="single" w:color="000000" w:sz="4"/>
              <w:right w:val="single" w:color="000000" w:sz="4"/>
            </w:tcBorders>
          </w:tcPr>
          <w:p/>
        </w:tc>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数据看板指标分析模版</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系统预置形式多样的数据看板图例分析模版，支持多种图表组件（由柱状图、饼图、曲线图和仪表盘等组合）供指标展现使用。</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930"/>
            <w:vMerge/>
            <w:tcBorders>
              <w:top w:val="none" w:color="000000" w:sz="4"/>
              <w:left w:val="single" w:color="000000" w:sz="4"/>
              <w:bottom w:val="single" w:color="000000" w:sz="4"/>
              <w:right w:val="single" w:color="000000" w:sz="4"/>
            </w:tcBorders>
          </w:tcPr>
          <w:p/>
        </w:tc>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看板</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主题性、多层级、多形式的数据看板功能，实现关键信息的高度集中并生动呈现。用户可在数据看板中设计自己关注的指标数据，支持调用多个不同指标和可视化指标分析模版，形成满足运营管理要求的可视化数据看板。</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930"/>
            <w:vMerge/>
            <w:tcBorders>
              <w:top w:val="none" w:color="000000" w:sz="4"/>
              <w:left w:val="single" w:color="000000" w:sz="4"/>
              <w:bottom w:val="single" w:color="000000" w:sz="4"/>
              <w:right w:val="single" w:color="000000" w:sz="4"/>
            </w:tcBorders>
          </w:tcPr>
          <w:p/>
        </w:tc>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指标专题分析</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自定义指标主题分析页面，例如指标趋势分析（周趋势、当年月趋势，近</w:t>
            </w:r>
            <w:r>
              <w:rPr>
                <w:sz w:val="22"/>
                <w:color w:val="000000"/>
              </w:rPr>
              <w:t>12</w:t>
            </w:r>
            <w:r>
              <w:rPr>
                <w:sz w:val="22"/>
                <w:color w:val="000000"/>
              </w:rPr>
              <w:t>个月趋势、年趋势等）和指标同比分析（当前值、上年值、同比差和同比等）等，并通过选择指标库指标把相应数据结果加载到该指标的专题分析页面进行展示分析。</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930"/>
            <w:vMerge/>
            <w:tcBorders>
              <w:top w:val="none" w:color="000000" w:sz="4"/>
              <w:left w:val="single" w:color="000000" w:sz="4"/>
              <w:bottom w:val="single" w:color="000000" w:sz="4"/>
              <w:right w:val="single" w:color="000000" w:sz="4"/>
            </w:tcBorders>
          </w:tcPr>
          <w:p/>
        </w:tc>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关联指标分析</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可以查看子指标组合血缘拓扑图，从而直观查看影响指标的子指标因素组成，同时，支持跳转到下级指标分析（指标数值、指标趋势和科室分析等）。</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930"/>
            <w:vMerge/>
            <w:tcBorders>
              <w:top w:val="none" w:color="000000" w:sz="4"/>
              <w:left w:val="single" w:color="000000" w:sz="4"/>
              <w:bottom w:val="single" w:color="000000" w:sz="4"/>
              <w:right w:val="single" w:color="000000" w:sz="4"/>
            </w:tcBorders>
          </w:tcPr>
          <w:p/>
        </w:tc>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门户自定义报表分析</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具备网页版的自定义模型分析功能，通过</w:t>
            </w:r>
            <w:r>
              <w:rPr>
                <w:sz w:val="22"/>
                <w:color w:val="000000"/>
              </w:rPr>
              <w:t>Web</w:t>
            </w:r>
            <w:r>
              <w:rPr>
                <w:sz w:val="22"/>
                <w:color w:val="000000"/>
              </w:rPr>
              <w:t>界面也可实现对模型的自定义分析，满足更多报表需求。</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930"/>
            <w:vMerge/>
            <w:tcBorders>
              <w:top w:val="none" w:color="000000" w:sz="4"/>
              <w:left w:val="single" w:color="000000" w:sz="4"/>
              <w:bottom w:val="single" w:color="000000" w:sz="4"/>
              <w:right w:val="single" w:color="000000" w:sz="4"/>
            </w:tcBorders>
          </w:tcPr>
          <w:p/>
        </w:tc>
        <w:tc>
          <w:tcPr>
            <w:tcW w:type="dxa" w:w="94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跨主题数据模型联合分析</w:t>
            </w:r>
          </w:p>
        </w:tc>
        <w:tc>
          <w:tcPr>
            <w:tcW w:type="dxa" w:w="537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通过不同数据源建立起来的主题数据模型，实现逻辑支持下的跨数据模型关联合并，进行跨数据主题的关联数据分析，无惧各类主题分析需求，还能方便地扩充主题分析的内容。</w:t>
            </w:r>
          </w:p>
        </w:tc>
      </w:tr>
    </w:tbl>
    <w:p>
      <w:pPr>
        <w:pStyle w:val="null3"/>
        <w:jc w:val="both"/>
      </w:pPr>
      <w:r>
        <w:rPr>
          <w:sz w:val="22"/>
          <w:b/>
        </w:rPr>
        <w:t>8.</w:t>
      </w:r>
      <w:r>
        <w:rPr>
          <w:sz w:val="22"/>
          <w:b/>
        </w:rPr>
        <w:t>建设医疗服务能力与质量安全监测数据分析系统</w:t>
      </w:r>
    </w:p>
    <w:p>
      <w:pPr>
        <w:pStyle w:val="null3"/>
        <w:ind w:firstLine="440"/>
        <w:jc w:val="both"/>
      </w:pPr>
      <w:r>
        <w:rPr>
          <w:sz w:val="22"/>
        </w:rPr>
        <w:t>8.1.</w:t>
      </w:r>
      <w:r>
        <w:rPr>
          <w:sz w:val="22"/>
        </w:rPr>
        <w:t>系统可以满足《三级医院评审标准（</w:t>
      </w:r>
      <w:r>
        <w:rPr>
          <w:sz w:val="22"/>
        </w:rPr>
        <w:t>2022</w:t>
      </w:r>
      <w:r>
        <w:rPr>
          <w:sz w:val="22"/>
        </w:rPr>
        <w:t>年版）广东省综合医院实施细则》第二部分指标监测要求。梳理</w:t>
      </w:r>
      <w:r>
        <w:rPr>
          <w:sz w:val="22"/>
        </w:rPr>
        <w:t>1000</w:t>
      </w:r>
      <w:r>
        <w:rPr>
          <w:sz w:val="22"/>
        </w:rPr>
        <w:t>多个评审指标的数据来源、统计口径和计算结果，建设三甲评审指标的标准指标库。同时以三甲评审标准指标库为基础提供</w:t>
      </w:r>
      <w:r>
        <w:rPr>
          <w:sz w:val="22"/>
        </w:rPr>
        <w:t>包括但不限于</w:t>
      </w:r>
      <w:r>
        <w:rPr>
          <w:sz w:val="22"/>
        </w:rPr>
        <w:t>指标汇总分析、指标数据溯源、指标数据概览、预警监测、科室填报和自定义分析等功能，实现评审指标监测和展现医院状况，为医院进行三甲复审、日常质控监测以及电子病历六级评审提供数据基础</w:t>
      </w:r>
      <w:r>
        <w:rPr>
          <w:sz w:val="22"/>
        </w:rPr>
        <w:t>。</w:t>
      </w:r>
    </w:p>
    <w:p>
      <w:pPr>
        <w:pStyle w:val="null3"/>
        <w:ind w:firstLine="440"/>
        <w:jc w:val="both"/>
      </w:pPr>
      <w:r>
        <w:rPr>
          <w:sz w:val="22"/>
        </w:rPr>
        <w:t>8.2.</w:t>
      </w:r>
      <w:r>
        <w:rPr>
          <w:sz w:val="22"/>
        </w:rPr>
        <w:t>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736"/>
        <w:gridCol w:w="1128"/>
        <w:gridCol w:w="1128"/>
        <w:gridCol w:w="5314"/>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模块</w:t>
            </w:r>
          </w:p>
          <w:p>
            <w:pPr>
              <w:pStyle w:val="null3"/>
              <w:jc w:val="center"/>
            </w:pPr>
            <w:r>
              <w:rPr>
                <w:sz w:val="22"/>
                <w:b/>
                <w:color w:val="000000"/>
              </w:rPr>
              <w:t>名称</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功能</w:t>
            </w:r>
          </w:p>
          <w:p>
            <w:pPr>
              <w:pStyle w:val="null3"/>
              <w:jc w:val="center"/>
            </w:pPr>
            <w:r>
              <w:rPr>
                <w:sz w:val="22"/>
                <w:b/>
                <w:color w:val="000000"/>
              </w:rPr>
              <w:t>名称</w:t>
            </w:r>
          </w:p>
        </w:tc>
        <w:tc>
          <w:tcPr>
            <w:tcW w:type="dxa" w:w="5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功能说明</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等级评审（第二部分）标准指标管理库</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等级评审（第二部分）标准指标管理库</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根据《三级医院等级评审标准（</w:t>
            </w:r>
            <w:r>
              <w:rPr>
                <w:sz w:val="22"/>
                <w:color w:val="000000"/>
              </w:rPr>
              <w:t>2022年版）》第二部分标准建设标准指标管理库，实现对统计指标的统一化管理，让标准化的数据在院内流通，最终实现全院指标统计的标准化输出。</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等评指标概览</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指标开发管理</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指标采集：监测三甲评审指标来源概况，包括但不限于各类数据来源的指标分布和系统数据来源比例等。</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128"/>
            <w:vMerge/>
            <w:tcBorders>
              <w:top w:val="none" w:color="000000" w:sz="4"/>
              <w:left w:val="none" w:color="000000" w:sz="4"/>
              <w:bottom w:val="single" w:color="000000" w:sz="4"/>
              <w:right w:val="single" w:color="000000" w:sz="4"/>
            </w:tcBorders>
          </w:tcPr>
          <w:p/>
        </w:tc>
        <w:tc>
          <w:tcPr>
            <w:tcW w:type="dxa" w:w="1128"/>
            <w:vMerge/>
            <w:tcBorders>
              <w:top w:val="none" w:color="000000" w:sz="4"/>
              <w:left w:val="none" w:color="000000" w:sz="4"/>
              <w:bottom w:val="single" w:color="000000" w:sz="4"/>
              <w:right w:val="single" w:color="000000" w:sz="4"/>
            </w:tcBorders>
          </w:tcP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指标开发：按照指标开发整体进度情况，以及各牵头科室负责指标的完成进度情况。</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128"/>
            <w:vMerge/>
            <w:tcBorders>
              <w:top w:val="none" w:color="000000" w:sz="4"/>
              <w:left w:val="none" w:color="000000" w:sz="4"/>
              <w:bottom w:val="single" w:color="000000" w:sz="4"/>
              <w:right w:val="single" w:color="000000" w:sz="4"/>
            </w:tcBorders>
          </w:tcPr>
          <w:p/>
        </w:tc>
        <w:tc>
          <w:tcPr>
            <w:tcW w:type="dxa" w:w="1128"/>
            <w:vMerge/>
            <w:tcBorders>
              <w:top w:val="none" w:color="000000" w:sz="4"/>
              <w:left w:val="none" w:color="000000" w:sz="4"/>
              <w:bottom w:val="single" w:color="000000" w:sz="4"/>
              <w:right w:val="single" w:color="000000" w:sz="4"/>
            </w:tcBorders>
          </w:tcP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开发明细：可查看各牵头科室指标开发详细进度情况和采集方式等。</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指标汇总分析</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w:t>
            </w:r>
          </w:p>
          <w:p>
            <w:pPr>
              <w:pStyle w:val="null3"/>
              <w:jc w:val="center"/>
            </w:pPr>
            <w:r>
              <w:rPr>
                <w:sz w:val="22"/>
                <w:color w:val="000000"/>
              </w:rPr>
              <w:t>分析</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提供指标分析功能。每个指标的分子、分母和结果值均能点击弹出指标卡进行详情分析。</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w:t>
            </w:r>
          </w:p>
          <w:p>
            <w:pPr>
              <w:pStyle w:val="null3"/>
              <w:jc w:val="center"/>
            </w:pPr>
            <w:r>
              <w:rPr>
                <w:sz w:val="22"/>
                <w:color w:val="000000"/>
              </w:rPr>
              <w:t>查询</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提供指标查询功能，输入关键字可检索相关指标（包括其分子和分母），指标可以弹出指标卡进行详细分析。</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组合</w:t>
            </w:r>
          </w:p>
          <w:p>
            <w:pPr>
              <w:pStyle w:val="null3"/>
              <w:jc w:val="center"/>
            </w:pPr>
            <w:r>
              <w:rPr>
                <w:sz w:val="22"/>
                <w:color w:val="000000"/>
              </w:rPr>
              <w:t>查询</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提供按时间段、牵头科室、章节等条件查询指标结果，支持同时按多查询条件组合进行查询，并支持对查询结果进行排序。</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溯源</w:t>
            </w:r>
          </w:p>
          <w:p>
            <w:pPr>
              <w:pStyle w:val="null3"/>
              <w:jc w:val="center"/>
            </w:pPr>
            <w:r>
              <w:rPr>
                <w:sz w:val="22"/>
                <w:color w:val="000000"/>
              </w:rPr>
              <w:t>关联</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溯源关联功能。点击指标溯源图标可跳转到数据溯源分析页面。</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导出</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页面数据可以一键导出为</w:t>
            </w:r>
            <w:r>
              <w:rPr>
                <w:sz w:val="22"/>
                <w:color w:val="000000"/>
              </w:rPr>
              <w:t>Excel和PDF文件。</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上报数据总表</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提供数据总表。支持指标数据一键导出功能，可按上报指标体系导出所有指标近几年的</w:t>
            </w:r>
            <w:r>
              <w:rPr>
                <w:sz w:val="22"/>
                <w:color w:val="000000"/>
              </w:rPr>
              <w:t>excel 数据报表，导出的文件包含指标名称、指标数据、责任科室相关属性等，满足数据使用或上报需求。</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指标卡概况</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指标卡含有指标说明（包括数据来源，计算逻辑等）、指标趋势（近</w:t>
            </w:r>
            <w:r>
              <w:rPr>
                <w:sz w:val="22"/>
                <w:color w:val="000000"/>
              </w:rPr>
              <w:t>30天和近12个月趋势）和科室指标情况。</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指标卡分析功能</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指标卡可以按时间维度、全院、科室维度、医疗组维度和医生维度进行灵活的自定义切换分析。</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指标卡统计</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指标卡通过直方图展现指标年度值、年度平均值、年度中位值，并以日历图方式展现各天数值情况。</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自定义时间查询</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指标卡可以自定义时间区间查看指标值、同比值和指标趋势。</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指标卡关联分析</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指标卡能够在与其存在计算关系的指标之间进行切换分析。</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数据溯源分析</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指标数据溯源</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指标数据溯源功能，提供指标数据的追溯功能，统计指标可溯源数据组成明细清单，例如患者姓名、住院号、主要诊断、手术日期等多维信息。</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关联</w:t>
            </w:r>
            <w:r>
              <w:rPr>
                <w:sz w:val="22"/>
                <w:color w:val="000000"/>
              </w:rPr>
              <w:t>360患者视图/电子病历系统</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患者明细支持与医院</w:t>
            </w:r>
            <w:r>
              <w:rPr>
                <w:sz w:val="22"/>
                <w:color w:val="000000"/>
              </w:rPr>
              <w:t>360患者视图/电子病历系统的跳转关联，实现指标数据到原始数据的追踪挖掘。</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自定义查询溯源清单</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可根据自定义时间区间、科室维度或其他筛选条件进行患者清单明细溯源。</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w:t>
            </w:r>
          </w:p>
          <w:p>
            <w:pPr>
              <w:pStyle w:val="null3"/>
              <w:jc w:val="center"/>
            </w:pPr>
            <w:r>
              <w:rPr>
                <w:sz w:val="22"/>
                <w:color w:val="000000"/>
              </w:rPr>
              <w:t>关注</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关注指标设置</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支持对指标设置关注。对于重点指标，可以设置关注，关注的指标单独页面展示其数值和同比变化。</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指标卡功能</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支持点击关注指标弹出指标卡进行深入分析。</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预警</w:t>
            </w:r>
          </w:p>
          <w:p>
            <w:pPr>
              <w:pStyle w:val="null3"/>
              <w:jc w:val="center"/>
            </w:pPr>
            <w:r>
              <w:rPr>
                <w:sz w:val="22"/>
                <w:color w:val="000000"/>
              </w:rPr>
              <w:t>监测</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预警规则设置</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支持对指标配置预警规则，设置预警指标。系统根据规则进行监测与相关数据，进行自动监测预警。</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预警</w:t>
            </w:r>
          </w:p>
          <w:p>
            <w:pPr>
              <w:pStyle w:val="null3"/>
              <w:jc w:val="center"/>
            </w:pPr>
            <w:r>
              <w:rPr>
                <w:sz w:val="22"/>
                <w:color w:val="000000"/>
              </w:rPr>
              <w:t>总览</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可监测达标指标数量占比、警示指标数量与占比，掌握指标整体概况。</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科室预警概览</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查看各牵头科室</w:t>
            </w:r>
            <w:r>
              <w:rPr>
                <w:sz w:val="22"/>
                <w:color w:val="000000"/>
              </w:rPr>
              <w:t>/责任科室负责指标总数、警示指标数量、达标指标数量和缺数指标数量与同比变化情况。</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预警</w:t>
            </w:r>
          </w:p>
          <w:p>
            <w:pPr>
              <w:pStyle w:val="null3"/>
              <w:jc w:val="center"/>
            </w:pPr>
            <w:r>
              <w:rPr>
                <w:sz w:val="22"/>
                <w:color w:val="000000"/>
              </w:rPr>
              <w:t>明细</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查看每个牵头科室的预警指标明细，并提供指标卡分析功能。</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达标</w:t>
            </w:r>
          </w:p>
          <w:p>
            <w:pPr>
              <w:pStyle w:val="null3"/>
              <w:jc w:val="center"/>
            </w:pPr>
            <w:r>
              <w:rPr>
                <w:sz w:val="22"/>
                <w:color w:val="000000"/>
              </w:rPr>
              <w:t>监测</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指标结果与系统内嵌指标的参考值</w:t>
            </w:r>
            <w:r>
              <w:rPr>
                <w:sz w:val="22"/>
                <w:color w:val="000000"/>
              </w:rPr>
              <w:t>/标杆值进行分析，查看指标达标情况并提供指标卡分析功能。</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人工判断模块</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人工判断清单</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结合医院的业务情况，按指标逻辑要求从大量数据中提取符合要求的病患记录，提供给临床科室进行二次判断的患者清单。</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指标自动计算</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指标自动计算，医生在患者清单中进行判断标记后，判断后数据将加载到系统中作为计算元素参与指标运算，并支持数据溯源。</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人工判断质控监测</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监测各科室下各科室各医生数据填报情况，有效推动临床科室完成人工判断工作。</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人工数据填报</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门户数据填报</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支持系统门户人工填报数据功能。</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w:t>
            </w:r>
          </w:p>
          <w:p>
            <w:pPr>
              <w:pStyle w:val="null3"/>
              <w:jc w:val="center"/>
            </w:pPr>
            <w:r>
              <w:rPr>
                <w:sz w:val="22"/>
                <w:color w:val="000000"/>
              </w:rPr>
              <w:t>导入</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w:t>
            </w:r>
            <w:r>
              <w:rPr>
                <w:sz w:val="22"/>
                <w:color w:val="000000"/>
              </w:rPr>
              <w:t>excel报表离线数据导入功能。</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w:t>
            </w:r>
          </w:p>
          <w:p>
            <w:pPr>
              <w:pStyle w:val="null3"/>
              <w:jc w:val="center"/>
            </w:pPr>
            <w:r>
              <w:rPr>
                <w:sz w:val="22"/>
                <w:color w:val="000000"/>
              </w:rPr>
              <w:t>报表</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科室</w:t>
            </w:r>
          </w:p>
          <w:p>
            <w:pPr>
              <w:pStyle w:val="null3"/>
              <w:jc w:val="center"/>
            </w:pPr>
            <w:r>
              <w:rPr>
                <w:sz w:val="22"/>
                <w:color w:val="000000"/>
              </w:rPr>
              <w:t>报表</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针对科室管理需求开发报表。</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自定义数据分析模型</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自定义数据分析模型</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根据日常数据分析需求创建自定义数据分析模型，主题分析模型中应包含多个必要的维度，进行多维度、多路径的分析钻取数据，逐级深入、发掘问题，辅助管理层决策。根据医院日常的管理的需要可以建立几十个甚至上百个纬度，并把各个纬度进行综合，实现医院数据分析的智能化。</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1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指标管理权限</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院级功能权限</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具备等评指标概览、指标汇总分析、数据溯源分析、指标关注、预警监测、科室报表和自定义数据分析模型的模块权限，实现院级指标监测分析。</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128"/>
            <w:vMerge/>
            <w:tcBorders>
              <w:top w:val="none" w:color="000000" w:sz="4"/>
              <w:left w:val="none" w:color="000000" w:sz="4"/>
              <w:bottom w:val="single" w:color="000000" w:sz="4"/>
              <w:right w:val="single" w:color="000000" w:sz="4"/>
            </w:tcBorders>
          </w:tcP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科级功能权限</w:t>
            </w:r>
          </w:p>
        </w:tc>
        <w:tc>
          <w:tcPr>
            <w:tcW w:type="dxa" w:w="5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具备指标汇总分析、数据溯源分析、指标关注、预警监测、人工判断模块、人工数据填报、科室报表和自定义数据分析模型的模块权限，实现科级指标监测分析。</w:t>
            </w:r>
          </w:p>
        </w:tc>
      </w:tr>
    </w:tbl>
    <w:p>
      <w:pPr>
        <w:pStyle w:val="null3"/>
        <w:jc w:val="both"/>
      </w:pPr>
      <w:r>
        <w:rPr>
          <w:sz w:val="22"/>
          <w:b/>
        </w:rPr>
        <w:t>9.收入成本核算模块要求</w:t>
      </w:r>
    </w:p>
    <w:p>
      <w:pPr>
        <w:pStyle w:val="null3"/>
        <w:ind w:firstLine="440"/>
        <w:jc w:val="both"/>
      </w:pPr>
      <w:r>
        <w:rPr>
          <w:sz w:val="22"/>
        </w:rPr>
        <w:t>9.1.实现自</w:t>
      </w:r>
      <w:r>
        <w:rPr>
          <w:sz w:val="22"/>
        </w:rPr>
        <w:t>动化和自定义配置的门诊收入核算、住院收入核算和欠费病人收入核算功能，可更灵活地统计各类收入和工作量，进行更精细化的管理。</w:t>
      </w:r>
    </w:p>
    <w:p>
      <w:pPr>
        <w:pStyle w:val="null3"/>
        <w:ind w:firstLine="440"/>
        <w:jc w:val="both"/>
      </w:pPr>
      <w:r>
        <w:rPr>
          <w:sz w:val="22"/>
        </w:rPr>
        <w:t>9.2.技术参数要求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714"/>
        <w:gridCol w:w="844"/>
        <w:gridCol w:w="860"/>
        <w:gridCol w:w="5889"/>
      </w:tblGrid>
      <w:tr>
        <w:tc>
          <w:tcPr>
            <w:tcW w:type="dxa" w:w="714"/>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序号</w:t>
            </w:r>
          </w:p>
        </w:tc>
        <w:tc>
          <w:tcPr>
            <w:tcW w:type="dxa" w:w="844"/>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模块名称</w:t>
            </w:r>
          </w:p>
        </w:tc>
        <w:tc>
          <w:tcPr>
            <w:tcW w:type="dxa" w:w="860"/>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功能名称</w:t>
            </w:r>
          </w:p>
        </w:tc>
        <w:tc>
          <w:tcPr>
            <w:tcW w:type="dxa" w:w="5889"/>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2"/>
                <w:b/>
                <w:color w:val="000000"/>
              </w:rPr>
              <w:t>具体参数和要求</w:t>
            </w:r>
          </w:p>
        </w:tc>
      </w:tr>
      <w:tr>
        <w:tc>
          <w:tcPr>
            <w:tcW w:type="dxa" w:w="7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w:t>
            </w:r>
          </w:p>
        </w:tc>
        <w:tc>
          <w:tcPr>
            <w:tcW w:type="dxa" w:w="84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收入成本核算模块建设</w:t>
            </w:r>
          </w:p>
        </w:tc>
        <w:tc>
          <w:tcPr>
            <w:tcW w:type="dxa" w:w="8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基础数据采集整合</w:t>
            </w: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通过与系统对接和手工导入数据的方式实现门诊费用明细表、住院费用明细表、考勤表、医保预测分值表和虚拟结算表等数据进行采集。</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44"/>
            <w:vMerge/>
            <w:tcBorders>
              <w:top w:val="none" w:color="000000" w:sz="4"/>
              <w:left w:val="single" w:color="000000" w:sz="4"/>
              <w:bottom w:val="single" w:color="000000" w:sz="4"/>
              <w:right w:val="single" w:color="000000" w:sz="4"/>
            </w:tcBorders>
          </w:tcPr>
          <w:p/>
        </w:tc>
        <w:tc>
          <w:tcPr>
            <w:tcW w:type="dxa" w:w="86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数据规则配置</w:t>
            </w: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实现原始数据的筛选，原始数据应当至少能够通过</w:t>
            </w:r>
            <w:r>
              <w:rPr>
                <w:sz w:val="22"/>
                <w:color w:val="000000"/>
              </w:rPr>
              <w:t>“开始日期”、“结束日期”筛选数据，数据可导出到Excel。</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844"/>
            <w:vMerge/>
            <w:tcBorders>
              <w:top w:val="none" w:color="000000" w:sz="4"/>
              <w:left w:val="single" w:color="000000" w:sz="4"/>
              <w:bottom w:val="single" w:color="000000" w:sz="4"/>
              <w:right w:val="single" w:color="000000" w:sz="4"/>
            </w:tcBorders>
          </w:tcPr>
          <w:p/>
        </w:tc>
        <w:tc>
          <w:tcPr>
            <w:tcW w:type="dxa" w:w="860"/>
            <w:vMerge/>
            <w:tcBorders>
              <w:top w:val="none" w:color="000000" w:sz="4"/>
              <w:left w:val="single" w:color="000000" w:sz="4"/>
              <w:bottom w:val="single" w:color="000000" w:sz="4"/>
              <w:right w:val="single" w:color="000000" w:sz="4"/>
            </w:tcBorders>
          </w:tcP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门诊收入核算和住院收入核算数据处理，按医院制定的数据清洗规则执行清洗处理并生成核算相关辅助列数据，能够按照既定的比例规则对每一行数据匹配比例并计算收入。</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844"/>
            <w:vMerge/>
            <w:tcBorders>
              <w:top w:val="none" w:color="000000" w:sz="4"/>
              <w:left w:val="single" w:color="000000" w:sz="4"/>
              <w:bottom w:val="single" w:color="000000" w:sz="4"/>
              <w:right w:val="single" w:color="000000" w:sz="4"/>
            </w:tcBorders>
          </w:tcPr>
          <w:p/>
        </w:tc>
        <w:tc>
          <w:tcPr>
            <w:tcW w:type="dxa" w:w="860"/>
            <w:vMerge/>
            <w:tcBorders>
              <w:top w:val="none" w:color="000000" w:sz="4"/>
              <w:left w:val="single" w:color="000000" w:sz="4"/>
              <w:bottom w:val="single" w:color="000000" w:sz="4"/>
              <w:right w:val="single" w:color="000000" w:sz="4"/>
            </w:tcBorders>
          </w:tcP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欠费病人收入数据处理。</w:t>
            </w:r>
          </w:p>
          <w:p>
            <w:pPr>
              <w:pStyle w:val="null3"/>
              <w:jc w:val="both"/>
            </w:pPr>
            <w:r>
              <w:rPr>
                <w:sz w:val="22"/>
                <w:color w:val="000000"/>
              </w:rPr>
              <w:t>（</w:t>
            </w:r>
            <w:r>
              <w:rPr>
                <w:sz w:val="22"/>
                <w:color w:val="000000"/>
              </w:rPr>
              <w:t>1）在欠费病人数据清洗中，需要能够分别对“欠费核算”与“欠费冲减”两个部分调用指定月的数据清洗规则执行数据清洗。</w:t>
            </w:r>
          </w:p>
          <w:p>
            <w:pPr>
              <w:pStyle w:val="null3"/>
              <w:jc w:val="both"/>
            </w:pPr>
            <w:r>
              <w:rPr>
                <w:sz w:val="22"/>
                <w:color w:val="000000"/>
              </w:rPr>
              <w:t>（</w:t>
            </w:r>
            <w:r>
              <w:rPr>
                <w:sz w:val="22"/>
                <w:color w:val="000000"/>
              </w:rPr>
              <w:t>2）欠费病人核算按照住院收入核算模块中“非医保病人的收入”的规则进行，因此需要按照核算身份为“非医保”的比例规则对每一行数据匹配四项比例（原科室比例、现科室比例、执行科室比例、医院比例）。</w:t>
            </w:r>
          </w:p>
          <w:p>
            <w:pPr>
              <w:pStyle w:val="null3"/>
              <w:jc w:val="both"/>
            </w:pPr>
            <w:r>
              <w:rPr>
                <w:sz w:val="22"/>
                <w:color w:val="000000"/>
              </w:rPr>
              <w:t>（</w:t>
            </w:r>
            <w:r>
              <w:rPr>
                <w:sz w:val="22"/>
                <w:color w:val="000000"/>
              </w:rPr>
              <w:t>3）根据病人的住院号与住院次数匹配病人比例。</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844"/>
            <w:vMerge/>
            <w:tcBorders>
              <w:top w:val="none" w:color="000000" w:sz="4"/>
              <w:left w:val="single" w:color="000000" w:sz="4"/>
              <w:bottom w:val="single" w:color="000000" w:sz="4"/>
              <w:right w:val="single" w:color="000000" w:sz="4"/>
            </w:tcBorders>
          </w:tcPr>
          <w:p/>
        </w:tc>
        <w:tc>
          <w:tcPr>
            <w:tcW w:type="dxa" w:w="86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核算比例规则管理</w:t>
            </w: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对门诊收入、住院收入和欠费病人收入的不同场景进行核算比例规则维护。</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844"/>
            <w:vMerge/>
            <w:tcBorders>
              <w:top w:val="none" w:color="000000" w:sz="4"/>
              <w:left w:val="single" w:color="000000" w:sz="4"/>
              <w:bottom w:val="single" w:color="000000" w:sz="4"/>
              <w:right w:val="single" w:color="000000" w:sz="4"/>
            </w:tcBorders>
          </w:tcPr>
          <w:p/>
        </w:tc>
        <w:tc>
          <w:tcPr>
            <w:tcW w:type="dxa" w:w="860"/>
            <w:vMerge/>
            <w:tcBorders>
              <w:top w:val="none" w:color="000000" w:sz="4"/>
              <w:left w:val="single" w:color="000000" w:sz="4"/>
              <w:bottom w:val="single" w:color="000000" w:sz="4"/>
              <w:right w:val="single" w:color="000000" w:sz="4"/>
            </w:tcBorders>
          </w:tcP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门诊系统的比例规则按设置方式区分为</w:t>
            </w:r>
            <w:r>
              <w:rPr>
                <w:sz w:val="22"/>
                <w:color w:val="000000"/>
              </w:rPr>
              <w:t>“按收费项目（四位核算码）的比例”和“按条件的比例”两种。</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844"/>
            <w:vMerge/>
            <w:tcBorders>
              <w:top w:val="none" w:color="000000" w:sz="4"/>
              <w:left w:val="single" w:color="000000" w:sz="4"/>
              <w:bottom w:val="single" w:color="000000" w:sz="4"/>
              <w:right w:val="single" w:color="000000" w:sz="4"/>
            </w:tcBorders>
          </w:tcPr>
          <w:p/>
        </w:tc>
        <w:tc>
          <w:tcPr>
            <w:tcW w:type="dxa" w:w="860"/>
            <w:vMerge/>
            <w:tcBorders>
              <w:top w:val="none" w:color="000000" w:sz="4"/>
              <w:left w:val="single" w:color="000000" w:sz="4"/>
              <w:bottom w:val="single" w:color="000000" w:sz="4"/>
              <w:right w:val="single" w:color="000000" w:sz="4"/>
            </w:tcBorders>
          </w:tcP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住院收入的核算规则按病人的核算身份区分为</w:t>
            </w:r>
            <w:r>
              <w:rPr>
                <w:sz w:val="22"/>
                <w:color w:val="000000"/>
              </w:rPr>
              <w:t>“医保病人”、“非医保病人”两种规则。住院系统的比例规则按设置方式区分为“按收费项目（四位核算码）的比例”和“按条件的比例”两种。</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844"/>
            <w:vMerge/>
            <w:tcBorders>
              <w:top w:val="none" w:color="000000" w:sz="4"/>
              <w:left w:val="single" w:color="000000" w:sz="4"/>
              <w:bottom w:val="single" w:color="000000" w:sz="4"/>
              <w:right w:val="single" w:color="000000" w:sz="4"/>
            </w:tcBorders>
          </w:tcPr>
          <w:p/>
        </w:tc>
        <w:tc>
          <w:tcPr>
            <w:tcW w:type="dxa" w:w="860"/>
            <w:vMerge/>
            <w:tcBorders>
              <w:top w:val="none" w:color="000000" w:sz="4"/>
              <w:left w:val="single" w:color="000000" w:sz="4"/>
              <w:bottom w:val="single" w:color="000000" w:sz="4"/>
              <w:right w:val="single" w:color="000000" w:sz="4"/>
            </w:tcBorders>
          </w:tcP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欠费病人收入的比例规则，直接调用住院收入比例规则中核算身份为</w:t>
            </w:r>
            <w:r>
              <w:rPr>
                <w:sz w:val="22"/>
                <w:color w:val="000000"/>
              </w:rPr>
              <w:t>“非医保”的相关规则。</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844"/>
            <w:vMerge/>
            <w:tcBorders>
              <w:top w:val="none" w:color="000000" w:sz="4"/>
              <w:left w:val="single" w:color="000000" w:sz="4"/>
              <w:bottom w:val="single" w:color="000000" w:sz="4"/>
              <w:right w:val="single" w:color="000000" w:sz="4"/>
            </w:tcBorders>
          </w:tcPr>
          <w:p/>
        </w:tc>
        <w:tc>
          <w:tcPr>
            <w:tcW w:type="dxa" w:w="86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数据分析模块</w:t>
            </w: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门诊收入核算模块功能（包括但不限于）：</w:t>
            </w:r>
          </w:p>
          <w:p>
            <w:pPr>
              <w:pStyle w:val="null3"/>
              <w:jc w:val="both"/>
            </w:pPr>
            <w:r>
              <w:rPr>
                <w:sz w:val="22"/>
                <w:color w:val="000000"/>
              </w:rPr>
              <w:t>（</w:t>
            </w:r>
            <w:r>
              <w:rPr>
                <w:sz w:val="22"/>
                <w:color w:val="000000"/>
              </w:rPr>
              <w:t>1）实现可界面设置的核算比例规则维护，包括按收费项目的比例和按条件的比例等；</w:t>
            </w:r>
          </w:p>
          <w:p>
            <w:pPr>
              <w:pStyle w:val="null3"/>
              <w:jc w:val="both"/>
            </w:pPr>
            <w:r>
              <w:rPr>
                <w:sz w:val="22"/>
                <w:color w:val="000000"/>
              </w:rPr>
              <w:t>（</w:t>
            </w:r>
            <w:r>
              <w:rPr>
                <w:sz w:val="22"/>
                <w:color w:val="000000"/>
              </w:rPr>
              <w:t>2）实现核算过程、结果的显示和导出，各项指标的检查等；</w:t>
            </w:r>
          </w:p>
          <w:p>
            <w:pPr>
              <w:pStyle w:val="null3"/>
              <w:jc w:val="both"/>
            </w:pPr>
            <w:r>
              <w:rPr>
                <w:sz w:val="22"/>
                <w:color w:val="000000"/>
              </w:rPr>
              <w:t>（</w:t>
            </w:r>
            <w:r>
              <w:rPr>
                <w:sz w:val="22"/>
                <w:color w:val="000000"/>
              </w:rPr>
              <w:t>3）统计收入的各项报表，包括但不限于门诊医疗服务收入与费用结构、医疗技术服务收入；诊区下各专科的收入、手术室下各专科的收入、各内镜室收入、各手术室工作量等。</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844"/>
            <w:vMerge/>
            <w:tcBorders>
              <w:top w:val="none" w:color="000000" w:sz="4"/>
              <w:left w:val="single" w:color="000000" w:sz="4"/>
              <w:bottom w:val="single" w:color="000000" w:sz="4"/>
              <w:right w:val="single" w:color="000000" w:sz="4"/>
            </w:tcBorders>
          </w:tcPr>
          <w:p/>
        </w:tc>
        <w:tc>
          <w:tcPr>
            <w:tcW w:type="dxa" w:w="860"/>
            <w:vMerge/>
            <w:tcBorders>
              <w:top w:val="none" w:color="000000" w:sz="4"/>
              <w:left w:val="single" w:color="000000" w:sz="4"/>
              <w:bottom w:val="single" w:color="000000" w:sz="4"/>
              <w:right w:val="single" w:color="000000" w:sz="4"/>
            </w:tcBorders>
          </w:tcP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住院收入核算模块功能（包括但不限于）：</w:t>
            </w:r>
          </w:p>
          <w:p>
            <w:pPr>
              <w:pStyle w:val="null3"/>
              <w:jc w:val="both"/>
            </w:pPr>
            <w:r>
              <w:rPr>
                <w:sz w:val="22"/>
                <w:color w:val="000000"/>
              </w:rPr>
              <w:t>（</w:t>
            </w:r>
            <w:r>
              <w:rPr>
                <w:sz w:val="22"/>
                <w:color w:val="000000"/>
              </w:rPr>
              <w:t>1）实现可界面设置的核算比例规则维护，包括按收费项目的比例和按条件的比例等；</w:t>
            </w:r>
          </w:p>
          <w:p>
            <w:pPr>
              <w:pStyle w:val="null3"/>
              <w:jc w:val="both"/>
            </w:pPr>
            <w:r>
              <w:rPr>
                <w:sz w:val="22"/>
                <w:color w:val="000000"/>
              </w:rPr>
              <w:t>（</w:t>
            </w:r>
            <w:r>
              <w:rPr>
                <w:sz w:val="22"/>
                <w:color w:val="000000"/>
              </w:rPr>
              <w:t>2）实现可界面设置的每个病人身份，并根据不同病人身份进行不同方法口径的收入核算；</w:t>
            </w:r>
          </w:p>
          <w:p>
            <w:pPr>
              <w:pStyle w:val="null3"/>
              <w:jc w:val="both"/>
            </w:pPr>
            <w:r>
              <w:rPr>
                <w:sz w:val="22"/>
                <w:color w:val="000000"/>
              </w:rPr>
              <w:t>（</w:t>
            </w:r>
            <w:r>
              <w:rPr>
                <w:sz w:val="22"/>
                <w:color w:val="000000"/>
              </w:rPr>
              <w:t>3）实现医保病人预测分值的存储和校验，可对医保分值和费用进行分摊核算，可对医保身份退费核算进行对冲；</w:t>
            </w:r>
          </w:p>
          <w:p>
            <w:pPr>
              <w:pStyle w:val="null3"/>
              <w:jc w:val="both"/>
            </w:pPr>
            <w:r>
              <w:rPr>
                <w:sz w:val="22"/>
                <w:color w:val="000000"/>
              </w:rPr>
              <w:t>（</w:t>
            </w:r>
            <w:r>
              <w:rPr>
                <w:sz w:val="22"/>
                <w:color w:val="000000"/>
              </w:rPr>
              <w:t>4）实现核算过程、结果的显示和导出，各项指标的检查等；</w:t>
            </w:r>
          </w:p>
          <w:p>
            <w:pPr>
              <w:pStyle w:val="null3"/>
              <w:jc w:val="both"/>
            </w:pPr>
            <w:r>
              <w:rPr>
                <w:sz w:val="22"/>
                <w:color w:val="000000"/>
              </w:rPr>
              <w:t>（</w:t>
            </w:r>
            <w:r>
              <w:rPr>
                <w:sz w:val="22"/>
                <w:color w:val="000000"/>
              </w:rPr>
              <w:t>5）统计收入、医保的各项报表，包括但不限于住院医疗服务收入与费用结构、医疗技术服务收入、康怡口径收入；手术室下各专科的收入、各内镜室收入、各手术室工作量、各专科的特诊收入等。</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844"/>
            <w:vMerge/>
            <w:tcBorders>
              <w:top w:val="none" w:color="000000" w:sz="4"/>
              <w:left w:val="single" w:color="000000" w:sz="4"/>
              <w:bottom w:val="single" w:color="000000" w:sz="4"/>
              <w:right w:val="single" w:color="000000" w:sz="4"/>
            </w:tcBorders>
          </w:tcPr>
          <w:p/>
        </w:tc>
        <w:tc>
          <w:tcPr>
            <w:tcW w:type="dxa" w:w="860"/>
            <w:vMerge/>
            <w:tcBorders>
              <w:top w:val="none" w:color="000000" w:sz="4"/>
              <w:left w:val="single" w:color="000000" w:sz="4"/>
              <w:bottom w:val="single" w:color="000000" w:sz="4"/>
              <w:right w:val="single" w:color="000000" w:sz="4"/>
            </w:tcBorders>
          </w:tcPr>
          <w:p/>
        </w:tc>
        <w:tc>
          <w:tcPr>
            <w:tcW w:type="dxa" w:w="58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color w:val="000000"/>
              </w:rPr>
              <w:t>欠费病人收入核算模块（包括但不限于）：</w:t>
            </w:r>
          </w:p>
          <w:p>
            <w:pPr>
              <w:pStyle w:val="null3"/>
              <w:ind w:left="435"/>
              <w:jc w:val="both"/>
            </w:pPr>
            <w:r>
              <w:rPr>
                <w:sz w:val="22"/>
                <w:color w:val="000000"/>
              </w:rPr>
              <w:t>（</w:t>
            </w:r>
            <w:r>
              <w:rPr>
                <w:sz w:val="22"/>
                <w:color w:val="000000"/>
              </w:rPr>
              <w:t>1）实现可界面设置的欠费核算、冲减的规则；</w:t>
            </w:r>
          </w:p>
          <w:p>
            <w:pPr>
              <w:pStyle w:val="null3"/>
              <w:jc w:val="both"/>
            </w:pPr>
            <w:r>
              <w:rPr>
                <w:sz w:val="22"/>
                <w:color w:val="000000"/>
              </w:rPr>
              <w:t>（</w:t>
            </w:r>
            <w:r>
              <w:rPr>
                <w:sz w:val="22"/>
                <w:color w:val="000000"/>
              </w:rPr>
              <w:t>2）实现欠费病人费用基本信息表的记载；</w:t>
            </w:r>
          </w:p>
          <w:p>
            <w:pPr>
              <w:pStyle w:val="null3"/>
              <w:jc w:val="both"/>
            </w:pPr>
            <w:r>
              <w:rPr>
                <w:sz w:val="22"/>
                <w:color w:val="000000"/>
              </w:rPr>
              <w:t>（</w:t>
            </w:r>
            <w:r>
              <w:rPr>
                <w:sz w:val="22"/>
                <w:color w:val="000000"/>
              </w:rPr>
              <w:t>3）实现可界面设置的按每个病人不同比例的配置，并在冲减时减去相对应核算的费用数据；</w:t>
            </w:r>
          </w:p>
          <w:p>
            <w:pPr>
              <w:pStyle w:val="null3"/>
              <w:jc w:val="both"/>
            </w:pPr>
            <w:r>
              <w:rPr>
                <w:sz w:val="22"/>
                <w:color w:val="000000"/>
              </w:rPr>
              <w:t>（</w:t>
            </w:r>
            <w:r>
              <w:rPr>
                <w:sz w:val="22"/>
                <w:color w:val="000000"/>
              </w:rPr>
              <w:t>4）统计欠费病人的各项报表。</w:t>
            </w:r>
          </w:p>
        </w:tc>
      </w:tr>
    </w:tbl>
    <w:p>
      <w:pPr>
        <w:pStyle w:val="null3"/>
        <w:jc w:val="both"/>
      </w:pPr>
      <w:r>
        <w:rPr>
          <w:sz w:val="22"/>
          <w:b/>
        </w:rPr>
        <w:t>二、人员培训</w:t>
      </w:r>
    </w:p>
    <w:p>
      <w:pPr>
        <w:pStyle w:val="null3"/>
        <w:jc w:val="both"/>
      </w:pPr>
      <w:r>
        <w:rPr>
          <w:sz w:val="22"/>
        </w:rPr>
        <w:t>1为医院使用人员提供系统使用与开发培训，为医院培训1～2名具备利用平台进行数据开发能力的人员。</w:t>
      </w:r>
    </w:p>
    <w:p>
      <w:pPr>
        <w:pStyle w:val="null3"/>
        <w:jc w:val="both"/>
      </w:pPr>
      <w:r>
        <w:rPr>
          <w:sz w:val="22"/>
        </w:rPr>
        <w:t>2.为医院指定的1～2名人员（如技术骨干）进行培训，该人员可以全程参与项目实施，以掌握软件开发全周期技能。乙方应重点培养其进行二次开发和系统设计能力，使该技术人员具备解决系统突发故障和进行二次开发的能力。</w:t>
      </w:r>
    </w:p>
    <w:p>
      <w:pPr>
        <w:pStyle w:val="null3"/>
        <w:jc w:val="both"/>
      </w:pPr>
      <w:r>
        <w:rPr>
          <w:sz w:val="22"/>
        </w:rPr>
        <w:t>三</w:t>
      </w:r>
      <w:r>
        <w:rPr>
          <w:sz w:val="22"/>
          <w:b/>
        </w:rPr>
        <w:t>、实施要求</w:t>
      </w:r>
    </w:p>
    <w:p>
      <w:pPr>
        <w:pStyle w:val="null3"/>
        <w:jc w:val="both"/>
      </w:pPr>
      <w:r>
        <w:rPr>
          <w:sz w:val="22"/>
        </w:rPr>
        <w:t>1.乙方应完成本项目各模块所需的系统数据采集、逻辑设计开发、数据模型设计开发和报表设计开发工作。</w:t>
      </w:r>
    </w:p>
    <w:p>
      <w:pPr>
        <w:pStyle w:val="null3"/>
        <w:jc w:val="both"/>
      </w:pPr>
      <w:r>
        <w:rPr>
          <w:sz w:val="22"/>
        </w:rPr>
        <w:t>2.提供详细的项目实施和维护管理方案，提供完善的质量保证措施和风险管理措施。</w:t>
      </w:r>
    </w:p>
    <w:p>
      <w:pPr>
        <w:pStyle w:val="null3"/>
        <w:jc w:val="both"/>
      </w:pPr>
      <w:r>
        <w:rPr>
          <w:sz w:val="22"/>
          <w:b/>
        </w:rPr>
        <w:t>四、培训要求</w:t>
      </w:r>
    </w:p>
    <w:p>
      <w:pPr>
        <w:pStyle w:val="null3"/>
      </w:pPr>
      <w:r>
        <w:rPr>
          <w:sz w:val="22"/>
        </w:rPr>
        <w:t>1.</w:t>
      </w:r>
      <w:r>
        <w:rPr>
          <w:sz w:val="22"/>
        </w:rPr>
        <w:t>乙方</w:t>
      </w:r>
      <w:r>
        <w:rPr>
          <w:sz w:val="22"/>
        </w:rPr>
        <w:t>须提供培训方案，包括</w:t>
      </w:r>
      <w:r>
        <w:rPr>
          <w:sz w:val="22"/>
        </w:rPr>
        <w:t>但不限于</w:t>
      </w:r>
      <w:r>
        <w:rPr>
          <w:sz w:val="22"/>
        </w:rPr>
        <w:t>培训教师</w:t>
      </w:r>
      <w:r>
        <w:rPr>
          <w:sz w:val="22"/>
        </w:rPr>
        <w:t>资质</w:t>
      </w:r>
      <w:r>
        <w:rPr>
          <w:sz w:val="22"/>
        </w:rPr>
        <w:t>、培训内容、培训教材等。</w:t>
      </w:r>
    </w:p>
    <w:p>
      <w:pPr>
        <w:pStyle w:val="null3"/>
      </w:pPr>
      <w:r>
        <w:rPr>
          <w:sz w:val="22"/>
        </w:rPr>
        <w:t>2</w:t>
      </w:r>
      <w:r>
        <w:rPr>
          <w:sz w:val="22"/>
        </w:rPr>
        <w:t>.</w:t>
      </w:r>
      <w:r>
        <w:rPr>
          <w:sz w:val="22"/>
        </w:rPr>
        <w:t>乙方</w:t>
      </w:r>
      <w:r>
        <w:rPr>
          <w:sz w:val="22"/>
        </w:rPr>
        <w:t>应提供</w:t>
      </w:r>
      <w:r>
        <w:rPr>
          <w:sz w:val="22"/>
        </w:rPr>
        <w:t>相关</w:t>
      </w:r>
      <w:r>
        <w:rPr>
          <w:sz w:val="22"/>
        </w:rPr>
        <w:t>的应用软件技术和系统操作等方面的培训</w:t>
      </w:r>
      <w:r>
        <w:rPr>
          <w:sz w:val="22"/>
        </w:rPr>
        <w:t>，</w:t>
      </w:r>
      <w:r>
        <w:rPr>
          <w:sz w:val="22"/>
        </w:rPr>
        <w:t>培训课程应在系统上线前完成。</w:t>
      </w:r>
      <w:r>
        <w:rPr>
          <w:sz w:val="22"/>
        </w:rPr>
        <w:t>乙方应提前</w:t>
      </w:r>
      <w:r>
        <w:rPr>
          <w:sz w:val="22"/>
        </w:rPr>
        <w:t>将</w:t>
      </w:r>
      <w:r>
        <w:rPr>
          <w:sz w:val="22"/>
        </w:rPr>
        <w:t>详细的培训课程以及时间表提交给</w:t>
      </w:r>
      <w:r>
        <w:rPr>
          <w:sz w:val="22"/>
        </w:rPr>
        <w:t>甲方</w:t>
      </w:r>
      <w:r>
        <w:rPr>
          <w:sz w:val="22"/>
        </w:rPr>
        <w:t>审核，</w:t>
      </w:r>
      <w:r>
        <w:rPr>
          <w:sz w:val="22"/>
        </w:rPr>
        <w:t>按甲方</w:t>
      </w:r>
      <w:r>
        <w:rPr>
          <w:sz w:val="22"/>
        </w:rPr>
        <w:t>审核确认的培训课程及时间组织培训。</w:t>
      </w:r>
    </w:p>
    <w:p>
      <w:pPr>
        <w:pStyle w:val="null3"/>
      </w:pPr>
      <w:r>
        <w:rPr>
          <w:sz w:val="22"/>
        </w:rPr>
        <w:t>3.</w:t>
      </w:r>
      <w:r>
        <w:rPr>
          <w:sz w:val="22"/>
        </w:rPr>
        <w:t>乙方</w:t>
      </w:r>
      <w:r>
        <w:rPr>
          <w:sz w:val="22"/>
        </w:rPr>
        <w:t>须派有相关工作经验和教学经验的教师及辅导人员</w:t>
      </w:r>
      <w:r>
        <w:rPr>
          <w:sz w:val="22"/>
        </w:rPr>
        <w:t>授课</w:t>
      </w:r>
      <w:r>
        <w:rPr>
          <w:sz w:val="22"/>
        </w:rPr>
        <w:t>培训。培训所使用的语言和教材必须是中文，</w:t>
      </w:r>
      <w:r>
        <w:rPr>
          <w:sz w:val="22"/>
        </w:rPr>
        <w:t>非中文的，乙方应</w:t>
      </w:r>
      <w:r>
        <w:rPr>
          <w:sz w:val="22"/>
        </w:rPr>
        <w:t>提供相应的</w:t>
      </w:r>
      <w:r>
        <w:rPr>
          <w:sz w:val="22"/>
        </w:rPr>
        <w:t>中文版本</w:t>
      </w:r>
      <w:r>
        <w:rPr>
          <w:sz w:val="22"/>
        </w:rPr>
        <w:t>。</w:t>
      </w:r>
    </w:p>
    <w:p>
      <w:pPr>
        <w:pStyle w:val="null3"/>
      </w:pPr>
      <w:r>
        <w:rPr>
          <w:sz w:val="22"/>
        </w:rPr>
        <w:t>4.</w:t>
      </w:r>
      <w:r>
        <w:rPr>
          <w:sz w:val="22"/>
        </w:rPr>
        <w:t>技术人员培训形式为现场培训和集中培训。</w:t>
      </w:r>
    </w:p>
    <w:p>
      <w:pPr>
        <w:pStyle w:val="null3"/>
      </w:pPr>
      <w:r>
        <w:rPr>
          <w:sz w:val="22"/>
        </w:rPr>
        <w:t>5.</w:t>
      </w:r>
      <w:r>
        <w:rPr>
          <w:sz w:val="22"/>
        </w:rPr>
        <w:t>培训内容包括</w:t>
      </w:r>
      <w:r>
        <w:rPr>
          <w:sz w:val="22"/>
        </w:rPr>
        <w:t>但不限于</w:t>
      </w:r>
      <w:r>
        <w:rPr>
          <w:sz w:val="22"/>
        </w:rPr>
        <w:t>：</w:t>
      </w:r>
    </w:p>
    <w:p>
      <w:pPr>
        <w:pStyle w:val="null3"/>
        <w:ind w:firstLine="440"/>
      </w:pPr>
      <w:r>
        <w:rPr>
          <w:sz w:val="22"/>
        </w:rPr>
        <w:t>5.1.</w:t>
      </w:r>
      <w:r>
        <w:rPr>
          <w:sz w:val="22"/>
        </w:rPr>
        <w:t>在软件的安装调试、故障处理过程中，对系统使用人员进行实际的操作和故障处理培训；</w:t>
      </w:r>
    </w:p>
    <w:p>
      <w:pPr>
        <w:pStyle w:val="null3"/>
        <w:ind w:firstLine="440"/>
      </w:pPr>
      <w:r>
        <w:rPr>
          <w:sz w:val="22"/>
        </w:rPr>
        <w:t>5.2.</w:t>
      </w:r>
      <w:r>
        <w:rPr>
          <w:sz w:val="22"/>
        </w:rPr>
        <w:t>在整套系统安装、调试完成后，对系统使用人员的操作培训</w:t>
      </w:r>
      <w:r>
        <w:rPr>
          <w:sz w:val="22"/>
        </w:rPr>
        <w:t>应</w:t>
      </w:r>
      <w:r>
        <w:rPr>
          <w:sz w:val="22"/>
        </w:rPr>
        <w:t>包含系统的安装、保养和注意事项，使系统使用人员能够尽快地熟悉软件的性能。</w:t>
      </w:r>
    </w:p>
    <w:p>
      <w:pPr>
        <w:pStyle w:val="null3"/>
        <w:jc w:val="both"/>
      </w:pPr>
      <w:r>
        <w:rPr>
          <w:sz w:val="22"/>
          <w:b/>
        </w:rPr>
        <w:t>五、运维服务要求</w:t>
      </w:r>
    </w:p>
    <w:p>
      <w:pPr>
        <w:pStyle w:val="null3"/>
      </w:pPr>
      <w:r>
        <w:rPr>
          <w:sz w:val="22"/>
          <w:b/>
        </w:rPr>
        <w:t>（一）、运维服务期限：</w:t>
      </w:r>
      <w:r>
        <w:rPr>
          <w:sz w:val="22"/>
        </w:rPr>
        <w:t>自项目建设完成正式验收之日起，乙方须提供至少</w:t>
      </w:r>
      <w:r>
        <w:rPr>
          <w:sz w:val="22"/>
        </w:rPr>
        <w:t>3</w:t>
      </w:r>
      <w:r>
        <w:rPr>
          <w:sz w:val="22"/>
        </w:rPr>
        <w:t>年的免费运行维护服务，其中第一年须提供至少</w:t>
      </w:r>
      <w:r>
        <w:rPr>
          <w:sz w:val="22"/>
        </w:rPr>
        <w:t>2</w:t>
      </w:r>
      <w:r>
        <w:rPr>
          <w:sz w:val="22"/>
        </w:rPr>
        <w:t>人驻场服务。</w:t>
      </w:r>
    </w:p>
    <w:p>
      <w:pPr>
        <w:pStyle w:val="null3"/>
      </w:pPr>
      <w:r>
        <w:rPr>
          <w:sz w:val="22"/>
          <w:b/>
        </w:rPr>
        <w:t>（二）运维服务内容</w:t>
      </w:r>
    </w:p>
    <w:p>
      <w:pPr>
        <w:pStyle w:val="null3"/>
        <w:jc w:val="both"/>
      </w:pPr>
      <w:r>
        <w:rPr>
          <w:sz w:val="22"/>
          <w:b/>
          <w:color w:val="000000"/>
        </w:rPr>
        <w:t>1.</w:t>
      </w:r>
      <w:r>
        <w:rPr>
          <w:sz w:val="22"/>
          <w:b/>
          <w:color w:val="000000"/>
        </w:rPr>
        <w:t>软件维护</w:t>
      </w:r>
    </w:p>
    <w:p>
      <w:pPr>
        <w:pStyle w:val="null3"/>
        <w:jc w:val="both"/>
      </w:pPr>
      <w:r>
        <w:rPr>
          <w:sz w:val="22"/>
          <w:color w:val="000000"/>
        </w:rPr>
        <w:t>1.1.</w:t>
      </w:r>
      <w:r>
        <w:rPr>
          <w:sz w:val="22"/>
          <w:color w:val="000000"/>
        </w:rPr>
        <w:t>系统运维</w:t>
      </w:r>
    </w:p>
    <w:p>
      <w:pPr>
        <w:pStyle w:val="null3"/>
      </w:pPr>
      <w:r>
        <w:rPr>
          <w:sz w:val="22"/>
          <w:color w:val="000000"/>
        </w:rPr>
        <w:t>1.1.1.在不改变现有系统架构条件下，应满足甲方提出的系统功能完善和系统优化等需求（除第三方系统新接口，另行协商</w:t>
      </w:r>
      <w:r>
        <w:rPr>
          <w:sz w:val="22"/>
          <w:color w:val="000000"/>
        </w:rPr>
        <w:t>）</w:t>
      </w:r>
      <w:r>
        <w:rPr>
          <w:sz w:val="22"/>
          <w:color w:val="000000"/>
        </w:rPr>
        <w:t>，并按约定时间限期完成修改更新。</w:t>
      </w:r>
    </w:p>
    <w:p>
      <w:pPr>
        <w:pStyle w:val="null3"/>
      </w:pPr>
      <w:r>
        <w:rPr>
          <w:sz w:val="22"/>
          <w:color w:val="000000"/>
        </w:rPr>
        <w:t>1.1.2.根据甲方要求修改此项目系统现有报表或新增相近报表。</w:t>
      </w:r>
    </w:p>
    <w:p>
      <w:pPr>
        <w:pStyle w:val="null3"/>
      </w:pPr>
      <w:r>
        <w:rPr>
          <w:sz w:val="22"/>
          <w:color w:val="000000"/>
        </w:rPr>
        <w:t>1.1.3.提供必要的系统相关培训等。</w:t>
      </w:r>
    </w:p>
    <w:p>
      <w:pPr>
        <w:pStyle w:val="null3"/>
      </w:pPr>
      <w:r>
        <w:rPr>
          <w:sz w:val="22"/>
          <w:color w:val="000000"/>
        </w:rPr>
        <w:t>1.1.4.处理系统运行使用过程中出现的各类问题。</w:t>
      </w:r>
    </w:p>
    <w:p>
      <w:pPr>
        <w:pStyle w:val="null3"/>
      </w:pPr>
      <w:r>
        <w:rPr>
          <w:sz w:val="22"/>
          <w:color w:val="000000"/>
        </w:rPr>
        <w:t>1.1.5.提供信息咨询服务，解答信息系统相关问题。</w:t>
      </w:r>
    </w:p>
    <w:p>
      <w:pPr>
        <w:pStyle w:val="null3"/>
      </w:pPr>
      <w:r>
        <w:rPr>
          <w:sz w:val="22"/>
          <w:color w:val="000000"/>
        </w:rPr>
        <w:t>1.1.6.定期排查系统可能存在的问题，并反馈给甲方，在甲方知情并同意情况下解决问题。</w:t>
      </w:r>
    </w:p>
    <w:p>
      <w:pPr>
        <w:pStyle w:val="null3"/>
      </w:pPr>
      <w:r>
        <w:rPr>
          <w:sz w:val="22"/>
          <w:color w:val="000000"/>
        </w:rPr>
        <w:t>1.1.7.系统B</w:t>
      </w:r>
      <w:r>
        <w:rPr>
          <w:sz w:val="22"/>
          <w:color w:val="000000"/>
        </w:rPr>
        <w:t>UG</w:t>
      </w:r>
      <w:r>
        <w:rPr>
          <w:sz w:val="22"/>
          <w:color w:val="000000"/>
        </w:rPr>
        <w:t>按约定时间限期完成修改更新。</w:t>
      </w:r>
    </w:p>
    <w:p>
      <w:pPr>
        <w:pStyle w:val="null3"/>
      </w:pPr>
      <w:r>
        <w:rPr>
          <w:sz w:val="22"/>
          <w:color w:val="000000"/>
        </w:rPr>
        <w:t>1.1.8.安排专人保障周六日和重要节假日的系统安全与稳定运行。</w:t>
      </w:r>
    </w:p>
    <w:p>
      <w:pPr>
        <w:pStyle w:val="null3"/>
        <w:jc w:val="both"/>
      </w:pPr>
      <w:r>
        <w:rPr>
          <w:sz w:val="22"/>
          <w:color w:val="000000"/>
        </w:rPr>
        <w:t>1.2.第三方接口运维</w:t>
      </w:r>
    </w:p>
    <w:p>
      <w:pPr>
        <w:pStyle w:val="null3"/>
        <w:ind w:firstLine="440"/>
      </w:pPr>
      <w:r>
        <w:rPr>
          <w:sz w:val="22"/>
          <w:color w:val="000000"/>
        </w:rPr>
        <w:t>若运维期间发现第三方接口运行不畅现象，乙方需积极配合甲方查找原因，如是乙方提供的应用程序导致的，需提供解决方案并按约定时间限期调整完毕。</w:t>
      </w:r>
    </w:p>
    <w:p>
      <w:pPr>
        <w:pStyle w:val="null3"/>
        <w:jc w:val="both"/>
      </w:pPr>
      <w:r>
        <w:rPr>
          <w:sz w:val="22"/>
          <w:color w:val="000000"/>
        </w:rPr>
        <w:t>1.3.</w:t>
      </w:r>
      <w:r>
        <w:rPr>
          <w:sz w:val="22"/>
          <w:color w:val="000000"/>
        </w:rPr>
        <w:t>配合等级评审的系统改造</w:t>
      </w:r>
    </w:p>
    <w:p>
      <w:pPr>
        <w:pStyle w:val="null3"/>
        <w:ind w:firstLine="440"/>
      </w:pPr>
      <w:r>
        <w:rPr>
          <w:sz w:val="22"/>
          <w:color w:val="000000"/>
        </w:rPr>
        <w:t>乙方须配合医院的</w:t>
      </w:r>
      <w:r>
        <w:rPr>
          <w:sz w:val="22"/>
          <w:color w:val="000000"/>
        </w:rPr>
        <w:t>电子病历六级、安全等保三级、智慧服务三级、智慧管理三级、等级医院评审</w:t>
      </w:r>
      <w:r>
        <w:rPr>
          <w:sz w:val="22"/>
          <w:color w:val="000000"/>
        </w:rPr>
        <w:t>等的评级工作，并对系统进行对应的功能改造和升级。</w:t>
      </w:r>
    </w:p>
    <w:p>
      <w:pPr>
        <w:pStyle w:val="null3"/>
        <w:jc w:val="both"/>
      </w:pPr>
      <w:r>
        <w:rPr>
          <w:sz w:val="22"/>
          <w:b/>
          <w:color w:val="000000"/>
        </w:rPr>
        <w:t>2.</w:t>
      </w:r>
      <w:r>
        <w:rPr>
          <w:sz w:val="22"/>
          <w:b/>
          <w:color w:val="000000"/>
        </w:rPr>
        <w:t>数据库维护</w:t>
      </w:r>
    </w:p>
    <w:p>
      <w:pPr>
        <w:pStyle w:val="null3"/>
      </w:pPr>
      <w:r>
        <w:rPr>
          <w:sz w:val="22"/>
          <w:color w:val="000000"/>
        </w:rPr>
        <w:t>2.1.定期每</w:t>
      </w:r>
      <w:r>
        <w:rPr>
          <w:sz w:val="22"/>
          <w:color w:val="000000"/>
        </w:rPr>
        <w:t>30</w:t>
      </w:r>
      <w:r>
        <w:rPr>
          <w:sz w:val="22"/>
          <w:color w:val="000000"/>
        </w:rPr>
        <w:t>日进行全面检查维护数据库，包括但不限于数据库可使用空间、数据库大小、索引、性能、作业执行情况、数据库占用资源情况等，并提供相应检查报告。</w:t>
      </w:r>
    </w:p>
    <w:p>
      <w:pPr>
        <w:pStyle w:val="null3"/>
      </w:pPr>
      <w:r>
        <w:rPr>
          <w:sz w:val="22"/>
          <w:color w:val="000000"/>
        </w:rPr>
        <w:t>2.2.对于数据库故障应立即响应排查并解决问题。</w:t>
      </w:r>
    </w:p>
    <w:p>
      <w:pPr>
        <w:pStyle w:val="null3"/>
      </w:pPr>
      <w:r>
        <w:rPr>
          <w:sz w:val="22"/>
          <w:color w:val="000000"/>
        </w:rPr>
        <w:t>2.3.根据甲方要求提供数据库迁移服务。</w:t>
      </w:r>
    </w:p>
    <w:p>
      <w:pPr>
        <w:pStyle w:val="null3"/>
      </w:pPr>
      <w:r>
        <w:rPr>
          <w:sz w:val="22"/>
          <w:color w:val="000000"/>
        </w:rPr>
        <w:t>2.4.提供定期数据库优化服务。</w:t>
      </w:r>
    </w:p>
    <w:p>
      <w:pPr>
        <w:pStyle w:val="null3"/>
      </w:pPr>
      <w:r>
        <w:rPr>
          <w:sz w:val="22"/>
          <w:color w:val="000000"/>
        </w:rPr>
        <w:t>2.5.提供数据转储服务。</w:t>
      </w:r>
    </w:p>
    <w:p>
      <w:pPr>
        <w:pStyle w:val="null3"/>
      </w:pPr>
      <w:r>
        <w:rPr>
          <w:sz w:val="22"/>
          <w:color w:val="000000"/>
        </w:rPr>
        <w:t>2.6.配合医院实施数据库相关安全策略。</w:t>
      </w:r>
    </w:p>
    <w:p>
      <w:pPr>
        <w:pStyle w:val="null3"/>
      </w:pPr>
      <w:r>
        <w:rPr>
          <w:sz w:val="22"/>
          <w:color w:val="000000"/>
        </w:rPr>
        <w:t>2.7.保障数据安全。</w:t>
      </w:r>
    </w:p>
    <w:p>
      <w:pPr>
        <w:pStyle w:val="null3"/>
      </w:pPr>
      <w:r>
        <w:rPr>
          <w:sz w:val="22"/>
          <w:color w:val="000000"/>
        </w:rPr>
        <w:t>2.8.规范化数据库操作。</w:t>
      </w:r>
    </w:p>
    <w:p>
      <w:pPr>
        <w:pStyle w:val="null3"/>
      </w:pPr>
      <w:r>
        <w:rPr>
          <w:sz w:val="22"/>
          <w:color w:val="000000"/>
        </w:rPr>
        <w:t>2.9.数据库数据归甲方所有，乙方未经甲方审批同意不能擅自外传数据，如发现擅自外传数据的，甲方根据相关国家法律法规处理。</w:t>
      </w:r>
    </w:p>
    <w:p>
      <w:pPr>
        <w:pStyle w:val="null3"/>
        <w:jc w:val="both"/>
      </w:pPr>
      <w:r>
        <w:rPr>
          <w:sz w:val="22"/>
          <w:b/>
          <w:color w:val="000000"/>
        </w:rPr>
        <w:t>3.</w:t>
      </w:r>
      <w:r>
        <w:rPr>
          <w:sz w:val="22"/>
          <w:b/>
          <w:color w:val="000000"/>
        </w:rPr>
        <w:t>服务器维护</w:t>
      </w:r>
    </w:p>
    <w:p>
      <w:pPr>
        <w:pStyle w:val="null3"/>
      </w:pPr>
      <w:r>
        <w:rPr>
          <w:sz w:val="22"/>
          <w:color w:val="000000"/>
        </w:rPr>
        <w:t>3.1.定期每</w:t>
      </w:r>
      <w:r>
        <w:rPr>
          <w:sz w:val="22"/>
          <w:color w:val="000000"/>
        </w:rPr>
        <w:t>30</w:t>
      </w:r>
      <w:r>
        <w:rPr>
          <w:sz w:val="22"/>
          <w:color w:val="000000"/>
        </w:rPr>
        <w:t>日检查服务器上应用程序运行状况、服务器操作系统日志情况、服务器本身运行情况等并提供检查报告。</w:t>
      </w:r>
    </w:p>
    <w:p>
      <w:pPr>
        <w:pStyle w:val="null3"/>
      </w:pPr>
      <w:r>
        <w:rPr>
          <w:sz w:val="22"/>
          <w:color w:val="000000"/>
        </w:rPr>
        <w:t>3.2.提供服务器上程序迁移服务。</w:t>
      </w:r>
    </w:p>
    <w:p>
      <w:pPr>
        <w:pStyle w:val="null3"/>
      </w:pPr>
      <w:r>
        <w:rPr>
          <w:sz w:val="22"/>
          <w:color w:val="000000"/>
        </w:rPr>
        <w:t>3.3.保障服务器上数据库、中间层软件、接口软件等相关软件稳定运行，服务器上业务系统相关软件全年故障次数应不超过2次。</w:t>
      </w:r>
    </w:p>
    <w:p>
      <w:pPr>
        <w:pStyle w:val="null3"/>
      </w:pPr>
      <w:r>
        <w:rPr>
          <w:sz w:val="22"/>
          <w:b/>
          <w:color w:val="000000"/>
        </w:rPr>
        <w:t>（三）</w:t>
      </w:r>
      <w:r>
        <w:rPr>
          <w:sz w:val="22"/>
          <w:b/>
          <w:color w:val="000000"/>
        </w:rPr>
        <w:t>运维服务要求</w:t>
      </w:r>
    </w:p>
    <w:p>
      <w:pPr>
        <w:pStyle w:val="null3"/>
      </w:pPr>
      <w:r>
        <w:rPr>
          <w:sz w:val="22"/>
          <w:color w:val="000000"/>
        </w:rPr>
        <w:t>1.乙方应安排专职维护人员且维保期的第一年应提供至少2人驻场服务。</w:t>
      </w:r>
    </w:p>
    <w:p>
      <w:pPr>
        <w:pStyle w:val="null3"/>
      </w:pPr>
      <w:r>
        <w:rPr>
          <w:sz w:val="22"/>
          <w:color w:val="000000"/>
        </w:rPr>
        <w:t>2.乙方须提供每周7×24小时电话支持、远程技术支持服务，日常问题响应时间不能超过1小时。</w:t>
      </w:r>
    </w:p>
    <w:p>
      <w:pPr>
        <w:pStyle w:val="null3"/>
      </w:pPr>
      <w:r>
        <w:rPr>
          <w:sz w:val="22"/>
          <w:color w:val="000000"/>
        </w:rPr>
        <w:t>3.维护范围包含系统出现不能使用或严重影响使用故障，超过1小时以上无法远程解决的，乙方的技术人员需在2小时内到达现场解决。</w:t>
      </w:r>
    </w:p>
    <w:p>
      <w:pPr>
        <w:pStyle w:val="null3"/>
      </w:pPr>
      <w:r>
        <w:rPr>
          <w:sz w:val="22"/>
          <w:b/>
          <w:color w:val="000000"/>
        </w:rPr>
        <w:t>六、项目团队要求</w:t>
      </w:r>
    </w:p>
    <w:p>
      <w:pPr>
        <w:pStyle w:val="null3"/>
      </w:pPr>
      <w:r>
        <w:rPr>
          <w:sz w:val="22"/>
          <w:color w:val="000000"/>
        </w:rPr>
        <w:t>1.乙方应设置项目经理（限</w:t>
      </w:r>
      <w:r>
        <w:rPr>
          <w:sz w:val="22"/>
          <w:color w:val="000000"/>
        </w:rPr>
        <w:t>1</w:t>
      </w:r>
      <w:r>
        <w:rPr>
          <w:sz w:val="22"/>
          <w:color w:val="000000"/>
        </w:rPr>
        <w:t>人），负责项目实施的管理工作。</w:t>
      </w:r>
    </w:p>
    <w:p>
      <w:pPr>
        <w:pStyle w:val="null3"/>
      </w:pPr>
      <w:r>
        <w:rPr>
          <w:sz w:val="22"/>
          <w:color w:val="000000"/>
        </w:rPr>
        <w:t>2.项目团队成员（含项目经理）中应具备至少2名医疗行业数据分析项目经验的实施工程师。</w:t>
      </w:r>
    </w:p>
    <w:p>
      <w:pPr>
        <w:pStyle w:val="null3"/>
        <w:jc w:val="both"/>
      </w:pPr>
      <w:r>
        <w:rPr/>
        <w:t xml:space="preserve"> </w:t>
      </w:r>
    </w:p>
    <w:p>
      <w:pPr>
        <w:pStyle w:val="null3"/>
        <w:jc w:val="center"/>
      </w:pPr>
      <w:r>
        <w:rPr>
          <w:sz w:val="21"/>
          <w:b/>
          <w:color w:val="000000"/>
        </w:rPr>
        <w:t>廉洁购销协议</w:t>
      </w:r>
    </w:p>
    <w:p>
      <w:pPr>
        <w:pStyle w:val="null3"/>
        <w:ind w:firstLine="480"/>
      </w:pPr>
      <w:r>
        <w:rPr>
          <w:sz w:val="21"/>
          <w:color w:val="000000"/>
        </w:rPr>
        <w:t>甲方：中山市人民医院</w:t>
      </w:r>
    </w:p>
    <w:p>
      <w:pPr>
        <w:pStyle w:val="null3"/>
        <w:spacing w:before="105" w:after="105"/>
        <w:ind w:firstLine="480"/>
      </w:pPr>
      <w:r>
        <w:rPr>
          <w:sz w:val="21"/>
          <w:color w:val="000000"/>
        </w:rPr>
        <w:t>乙方：</w:t>
      </w:r>
    </w:p>
    <w:p>
      <w:pPr>
        <w:pStyle w:val="null3"/>
        <w:ind w:firstLine="480"/>
      </w:pPr>
      <w:r>
        <w:rPr>
          <w:sz w:val="21"/>
          <w:color w:val="000000"/>
        </w:rPr>
        <w:t>为促进甲乙双方廉洁高效合作，促进甲乙双方从业人员廉洁从业，不断推动党风廉政建设，按照《中华人民共和国民法典》和国家其他法律法规及廉政规定，经甲乙双方协商一致，自愿签订以下廉洁购销协议。</w:t>
      </w:r>
    </w:p>
    <w:p>
      <w:pPr>
        <w:pStyle w:val="null3"/>
        <w:ind w:firstLine="482"/>
      </w:pPr>
      <w:r>
        <w:rPr>
          <w:sz w:val="21"/>
          <w:b/>
          <w:color w:val="000000"/>
        </w:rPr>
        <w:t>第一条甲乙双方的权利和义务</w:t>
      </w:r>
    </w:p>
    <w:p>
      <w:pPr>
        <w:pStyle w:val="null3"/>
        <w:ind w:firstLine="480"/>
      </w:pPr>
      <w:r>
        <w:rPr>
          <w:sz w:val="21"/>
          <w:color w:val="000000"/>
        </w:rPr>
        <w:t>（一）严格遵守党和国家有关法律法规及党风廉政建设各项规定。</w:t>
      </w:r>
    </w:p>
    <w:p>
      <w:pPr>
        <w:pStyle w:val="null3"/>
        <w:ind w:firstLine="480"/>
      </w:pPr>
      <w:r>
        <w:rPr>
          <w:sz w:val="21"/>
          <w:color w:val="000000"/>
        </w:rPr>
        <w:t>（二）严格履行《中华人民共和国反不正当竞争法》、《关于禁止商业贿赂行为的暂行管理规定》，杜绝违法违约行为的发生。</w:t>
      </w:r>
    </w:p>
    <w:p>
      <w:pPr>
        <w:pStyle w:val="null3"/>
        <w:ind w:firstLine="480"/>
      </w:pPr>
      <w:r>
        <w:rPr>
          <w:sz w:val="21"/>
          <w:color w:val="000000"/>
        </w:rPr>
        <w:t>（三）双方的业务活动坚持公开、公平、公正、诚信的原则（除法律认定的商业秘密和合同文件另有规定外），严禁损害国家和集体利益，违反法律法规及规章制度。</w:t>
      </w:r>
    </w:p>
    <w:p>
      <w:pPr>
        <w:pStyle w:val="null3"/>
        <w:ind w:firstLine="480"/>
      </w:pPr>
      <w:r>
        <w:rPr>
          <w:sz w:val="21"/>
          <w:color w:val="000000"/>
        </w:rPr>
        <w:t>（四）发现对方在业务活动中有违反廉洁相关规定和本协议约定的行为时，有及时提醒和督促对方纠正的权利和义务。</w:t>
      </w:r>
    </w:p>
    <w:p>
      <w:pPr>
        <w:pStyle w:val="null3"/>
        <w:ind w:firstLine="480"/>
      </w:pPr>
      <w:r>
        <w:rPr>
          <w:sz w:val="21"/>
          <w:color w:val="000000"/>
        </w:rPr>
        <w:t>（五）发现对方在业务活动中有违反廉洁相关规定和本协议约定的行为时，有权向对方主管部门或有关机关检举、揭发。</w:t>
      </w:r>
    </w:p>
    <w:p>
      <w:pPr>
        <w:pStyle w:val="null3"/>
        <w:ind w:firstLine="482"/>
      </w:pPr>
      <w:r>
        <w:rPr>
          <w:sz w:val="21"/>
          <w:b/>
          <w:color w:val="000000"/>
        </w:rPr>
        <w:t>第二条</w:t>
      </w:r>
      <w:r>
        <w:rPr>
          <w:sz w:val="21"/>
          <w:b/>
          <w:color w:val="000000"/>
        </w:rPr>
        <w:t xml:space="preserve">  </w:t>
      </w:r>
      <w:r>
        <w:rPr>
          <w:sz w:val="21"/>
          <w:b/>
          <w:color w:val="000000"/>
        </w:rPr>
        <w:t>乙方在廉政建设方面的义务</w:t>
      </w:r>
    </w:p>
    <w:p>
      <w:pPr>
        <w:pStyle w:val="null3"/>
        <w:ind w:firstLine="480"/>
      </w:pPr>
      <w:r>
        <w:rPr>
          <w:sz w:val="21"/>
          <w:color w:val="000000"/>
        </w:rPr>
        <w:t>（一）乙方不准以任何形式向甲方及工作人员馈赠礼金、礼品、有价证券、支付凭证、贵重物品等财物。</w:t>
      </w:r>
    </w:p>
    <w:p>
      <w:pPr>
        <w:pStyle w:val="null3"/>
        <w:ind w:firstLine="480"/>
      </w:pPr>
      <w:r>
        <w:rPr>
          <w:sz w:val="21"/>
          <w:color w:val="000000"/>
        </w:rPr>
        <w:t>（二）乙方不准以任何名义为甲方及工作人员报销应由甲方支付的各种费用。</w:t>
      </w:r>
    </w:p>
    <w:p>
      <w:pPr>
        <w:pStyle w:val="null3"/>
        <w:ind w:firstLine="480"/>
      </w:pPr>
      <w:r>
        <w:rPr>
          <w:sz w:val="21"/>
          <w:color w:val="000000"/>
        </w:rPr>
        <w:t>（三）乙方不准以任何理由邀请甲方工作人员参加有影响合作业务的宴请及娱乐活动；不准为其提供通讯工具、交通工具、高档办公用品等。</w:t>
      </w:r>
    </w:p>
    <w:p>
      <w:pPr>
        <w:pStyle w:val="null3"/>
        <w:ind w:firstLine="480"/>
      </w:pPr>
      <w:r>
        <w:rPr>
          <w:sz w:val="21"/>
          <w:color w:val="000000"/>
        </w:rPr>
        <w:t>（四）乙方不准为甲方工作人员及配偶、子女提供旅游、工作便利等。</w:t>
      </w:r>
    </w:p>
    <w:p>
      <w:pPr>
        <w:pStyle w:val="null3"/>
        <w:ind w:firstLine="480"/>
      </w:pPr>
      <w:r>
        <w:rPr>
          <w:sz w:val="21"/>
          <w:color w:val="000000"/>
        </w:rPr>
        <w:t>（五）不得有其他违反法律法规、党纪政纪行为。</w:t>
      </w:r>
    </w:p>
    <w:p>
      <w:pPr>
        <w:pStyle w:val="null3"/>
        <w:ind w:firstLine="482"/>
      </w:pPr>
      <w:r>
        <w:rPr>
          <w:sz w:val="21"/>
          <w:b/>
          <w:color w:val="000000"/>
        </w:rPr>
        <w:t>第三条</w:t>
      </w:r>
      <w:r>
        <w:rPr>
          <w:sz w:val="21"/>
          <w:b/>
          <w:color w:val="000000"/>
        </w:rPr>
        <w:t xml:space="preserve">  </w:t>
      </w:r>
      <w:r>
        <w:rPr>
          <w:sz w:val="21"/>
          <w:b/>
          <w:color w:val="000000"/>
        </w:rPr>
        <w:t>甲方在廉政建设方面的义务</w:t>
      </w:r>
    </w:p>
    <w:p>
      <w:pPr>
        <w:pStyle w:val="null3"/>
        <w:ind w:firstLine="480"/>
      </w:pPr>
      <w:r>
        <w:rPr>
          <w:sz w:val="21"/>
          <w:color w:val="000000"/>
        </w:rPr>
        <w:t>（一）甲方及工作人员不得干扰合作企业正常的生产经营活动，不得以任何理由要求乙方从事不属于乙方义务的工作。</w:t>
      </w:r>
    </w:p>
    <w:p>
      <w:pPr>
        <w:pStyle w:val="null3"/>
        <w:ind w:firstLine="480"/>
      </w:pPr>
      <w:r>
        <w:rPr>
          <w:sz w:val="21"/>
          <w:color w:val="000000"/>
        </w:rPr>
        <w:t>（二）甲方及工作人员不得索要或接受乙方的礼金、有价证券、支付凭证、贵重物品等。</w:t>
      </w:r>
    </w:p>
    <w:p>
      <w:pPr>
        <w:pStyle w:val="null3"/>
        <w:ind w:firstLine="480"/>
      </w:pPr>
      <w:r>
        <w:rPr>
          <w:sz w:val="21"/>
          <w:color w:val="000000"/>
        </w:rPr>
        <w:t>（三）甲方及工作人员不得在乙方报销应由甲方支付的任何费用。</w:t>
      </w:r>
    </w:p>
    <w:p>
      <w:pPr>
        <w:pStyle w:val="null3"/>
        <w:ind w:firstLine="480"/>
      </w:pPr>
      <w:r>
        <w:rPr>
          <w:sz w:val="21"/>
          <w:color w:val="000000"/>
        </w:rPr>
        <w:t>（四）甲方及工作人员不得参加乙方提供的宴请、娱乐活动、高档消费；不得要求或接受乙方提供交通工具、通讯工具、高档办公用品等。</w:t>
      </w:r>
    </w:p>
    <w:p>
      <w:pPr>
        <w:pStyle w:val="null3"/>
        <w:ind w:firstLine="480"/>
      </w:pPr>
      <w:r>
        <w:rPr>
          <w:sz w:val="21"/>
          <w:color w:val="000000"/>
        </w:rPr>
        <w:t>（五）甲方及工作人员不得要求或接受乙方为其个人、配偶、子女提供旅游、工作便利等。</w:t>
      </w:r>
    </w:p>
    <w:p>
      <w:pPr>
        <w:pStyle w:val="null3"/>
        <w:ind w:firstLine="480"/>
      </w:pPr>
      <w:r>
        <w:rPr>
          <w:sz w:val="21"/>
          <w:color w:val="000000"/>
        </w:rPr>
        <w:t>（六）甲方及工作人员不得违反规定从事与乙方项目有关的材料设备供应、工程分包等经济活动。</w:t>
      </w:r>
    </w:p>
    <w:p>
      <w:pPr>
        <w:pStyle w:val="null3"/>
        <w:ind w:firstLine="480"/>
      </w:pPr>
      <w:r>
        <w:rPr>
          <w:sz w:val="21"/>
          <w:color w:val="000000"/>
        </w:rPr>
        <w:t>（七）甲方应根据经济合同约定进度付款，不得以不正当理由拖欠款项，不得超进度拨付款项。</w:t>
      </w:r>
    </w:p>
    <w:p>
      <w:pPr>
        <w:pStyle w:val="null3"/>
        <w:ind w:firstLine="482"/>
      </w:pPr>
      <w:r>
        <w:rPr>
          <w:sz w:val="21"/>
          <w:b/>
          <w:color w:val="000000"/>
        </w:rPr>
        <w:t>第四条</w:t>
      </w:r>
      <w:r>
        <w:rPr>
          <w:sz w:val="21"/>
          <w:b/>
          <w:color w:val="000000"/>
        </w:rPr>
        <w:t xml:space="preserve">   </w:t>
      </w:r>
      <w:r>
        <w:rPr>
          <w:sz w:val="21"/>
          <w:b/>
          <w:color w:val="000000"/>
        </w:rPr>
        <w:t>违约责任</w:t>
      </w:r>
    </w:p>
    <w:p>
      <w:pPr>
        <w:pStyle w:val="null3"/>
        <w:ind w:firstLine="480"/>
      </w:pPr>
      <w:r>
        <w:rPr>
          <w:sz w:val="21"/>
          <w:color w:val="000000"/>
        </w:rPr>
        <w:t>（一）乙方违反本《廉洁购销协议》规定义务的，需向甲方承担经济合同总额</w:t>
      </w:r>
      <w:r>
        <w:rPr>
          <w:sz w:val="21"/>
          <w:color w:val="000000"/>
        </w:rPr>
        <w:t>3%</w:t>
      </w:r>
      <w:r>
        <w:rPr>
          <w:sz w:val="21"/>
          <w:color w:val="000000"/>
        </w:rPr>
        <w:t>的经济违约责任。</w:t>
      </w:r>
    </w:p>
    <w:p>
      <w:pPr>
        <w:pStyle w:val="null3"/>
        <w:ind w:firstLine="480"/>
      </w:pPr>
      <w:r>
        <w:rPr>
          <w:sz w:val="21"/>
          <w:color w:val="000000"/>
        </w:rPr>
        <w:t>（二）乙方违反本《廉洁购销协议》规定义务的，甲方有权将乙方列入黑名单，禁止</w:t>
      </w:r>
      <w:r>
        <w:rPr>
          <w:sz w:val="21"/>
          <w:color w:val="000000"/>
        </w:rPr>
        <w:t>2</w:t>
      </w:r>
      <w:r>
        <w:rPr>
          <w:sz w:val="21"/>
          <w:color w:val="000000"/>
        </w:rPr>
        <w:t>年内进入甲方作业市场；给甲方造成经济损失、社会影响较大的，甲方有权终止履行合同。</w:t>
      </w:r>
    </w:p>
    <w:p>
      <w:pPr>
        <w:pStyle w:val="null3"/>
        <w:ind w:firstLine="480"/>
      </w:pPr>
      <w:r>
        <w:rPr>
          <w:sz w:val="21"/>
          <w:color w:val="000000"/>
        </w:rPr>
        <w:t>（三）甲方若违反《廉洁购销协议》有关规定的，对违法违纪人员，由甲方主管部门依据有关规定查处，给乙方造成的损失，按有关规定予以赔偿。</w:t>
      </w:r>
    </w:p>
    <w:p>
      <w:pPr>
        <w:pStyle w:val="null3"/>
        <w:ind w:firstLine="482"/>
      </w:pPr>
      <w:r>
        <w:rPr>
          <w:sz w:val="21"/>
          <w:b/>
          <w:color w:val="000000"/>
        </w:rPr>
        <w:t>第五条</w:t>
      </w:r>
      <w:r>
        <w:rPr>
          <w:sz w:val="21"/>
          <w:b/>
          <w:color w:val="000000"/>
        </w:rPr>
        <w:t xml:space="preserve">  </w:t>
      </w:r>
      <w:r>
        <w:rPr>
          <w:sz w:val="21"/>
          <w:b/>
          <w:color w:val="000000"/>
        </w:rPr>
        <w:t>检查方式</w:t>
      </w:r>
    </w:p>
    <w:p>
      <w:pPr>
        <w:pStyle w:val="null3"/>
        <w:ind w:firstLine="480"/>
      </w:pPr>
      <w:r>
        <w:rPr>
          <w:sz w:val="21"/>
          <w:color w:val="000000"/>
        </w:rPr>
        <w:t>本协议的履约情况由甲乙双方共同监督，方式为座谈、问卷调查、查看资料或者由双方约定的其他方式。</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pPr>
            <w:r>
              <w:rPr>
                <w:sz w:val="21"/>
                <w:color w:val="000000"/>
              </w:rPr>
              <w:t>甲方：</w:t>
            </w:r>
            <w:r>
              <w:rPr>
                <w:sz w:val="21"/>
                <w:color w:val="000000"/>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pPr>
            <w:r>
              <w:rPr>
                <w:sz w:val="21"/>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pPr>
            <w:r>
              <w:rPr>
                <w:sz w:val="21"/>
                <w:color w:val="000000"/>
              </w:rPr>
              <w:t>法人（或委托人）：</w:t>
            </w:r>
            <w:r>
              <w:rPr>
                <w:sz w:val="21"/>
                <w:color w:val="000000"/>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pPr>
            <w:r>
              <w:rPr>
                <w:sz w:val="21"/>
                <w:color w:val="000000"/>
              </w:rPr>
              <w:t>法人（或委托人）：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部门负责人：</w:t>
            </w:r>
            <w:r>
              <w:rPr>
                <w:sz w:val="21"/>
                <w:color w:val="000000"/>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经办人：</w:t>
            </w:r>
            <w:r>
              <w:rPr>
                <w:sz w:val="21"/>
                <w:color w:val="000000"/>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pPr>
            <w:r>
              <w:rPr>
                <w:sz w:val="21"/>
                <w:color w:val="000000"/>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pPr>
            <w:r>
              <w:rPr>
                <w:sz w:val="21"/>
                <w:color w:val="000000"/>
              </w:rPr>
              <w:t>日期：</w:t>
            </w:r>
            <w:r>
              <w:rPr>
                <w:sz w:val="21"/>
                <w:color w:val="000000"/>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pPr>
            <w:r>
              <w:rPr>
                <w:sz w:val="21"/>
                <w:color w:val="000000"/>
              </w:rPr>
              <w:t>日期：</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442000-2025-03874</w:t>
      </w:r>
    </w:p>
    <w:p>
      <w:pPr>
        <w:pStyle w:val="null3"/>
        <w:jc w:val="center"/>
        <w:outlineLvl w:val="3"/>
      </w:pPr>
      <w:r>
        <w:rPr>
          <w:sz w:val="24"/>
          <w:b/>
        </w:rPr>
        <w:t>采购项目编号：</w:t>
      </w:r>
      <w:r>
        <w:rPr>
          <w:sz w:val="24"/>
          <w:b/>
        </w:rPr>
        <w:t>442000-2025-03874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中山市人民医院医院综合数据管理及智能分析系统建设项目</w:t>
      </w:r>
      <w:r>
        <w:rPr>
          <w:u w:val="single"/>
        </w:rPr>
        <w:t>”</w:t>
      </w:r>
      <w:r>
        <w:rPr/>
        <w:t>项目的招标[采购项目编号为：</w:t>
      </w:r>
      <w:r>
        <w:rPr>
          <w:u w:val="single"/>
        </w:rPr>
        <w:t>442000-2025-03874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中山市人民医院医院综合数据管理及智能分析系统建设项目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中山市人民医院医院综合数据管理及智能分析系统建设项目</w:t>
      </w:r>
      <w:r>
        <w:rPr/>
        <w:t>”项目采购[采购项目编号为</w:t>
      </w:r>
      <w:r>
        <w:rPr/>
        <w:t>442000-2025-03874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中山市人民医院医院综合数据管理及智能分析系统建设项目</w:t>
      </w:r>
      <w:r>
        <w:rPr/>
        <w:t>招标中获中标（采购项目编号：</w:t>
      </w:r>
      <w:r>
        <w:rPr/>
        <w:t>442000-2025-03874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中山市人民医院医院综合数据管理及智能分析系统建设项目</w:t>
      </w:r>
      <w:r>
        <w:rPr/>
        <w:t>”项目（采购项目编号：</w:t>
      </w:r>
      <w:r>
        <w:rPr/>
        <w:t>442000-2025-03874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