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442000-2026-01019</w:t>
      </w:r>
    </w:p>
    <w:p>
      <w:pPr>
        <w:pStyle w:val="null3"/>
        <w:jc w:val="center"/>
        <w:outlineLvl w:val="3"/>
      </w:pPr>
      <w:r>
        <w:rPr>
          <w:sz w:val="24"/>
          <w:b/>
        </w:rPr>
        <w:t>采购项目编号：</w:t>
      </w:r>
      <w:r>
        <w:rPr>
          <w:sz w:val="24"/>
          <w:b/>
        </w:rPr>
        <w:t>442000-2026-01019</w:t>
      </w:r>
    </w:p>
    <w:p>
      <w:pPr>
        <w:pStyle w:val="null3"/>
        <w:jc w:val="center"/>
        <w:outlineLvl w:val="3"/>
      </w:pPr>
      <w:r>
        <w:rPr>
          <w:sz w:val="24"/>
          <w:b/>
        </w:rPr>
        <w:t>项目名称：</w:t>
      </w:r>
      <w:r>
        <w:rPr>
          <w:sz w:val="24"/>
          <w:b/>
        </w:rPr>
        <w:t>中山市公权力大数据监督医保基金反欺诈模型第三方服务项目</w:t>
      </w:r>
    </w:p>
    <w:p>
      <w:pPr>
        <w:pStyle w:val="null3"/>
        <w:jc w:val="center"/>
        <w:outlineLvl w:val="3"/>
      </w:pPr>
      <w:r>
        <w:rPr>
          <w:sz w:val="24"/>
          <w:b/>
        </w:rPr>
        <w:t>采购人：</w:t>
      </w:r>
      <w:r>
        <w:rPr>
          <w:sz w:val="24"/>
          <w:b/>
        </w:rPr>
        <w:t>中山市医疗保障局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中山市医疗保障局</w:t>
      </w:r>
      <w:r>
        <w:rPr/>
        <w:t>的委托，采用</w:t>
      </w:r>
      <w:r>
        <w:rPr/>
        <w:t>公开招标</w:t>
      </w:r>
      <w:r>
        <w:rPr/>
        <w:t>方式组织采购</w:t>
      </w:r>
      <w:r>
        <w:rPr/>
        <w:t>中山市公权力大数据监督医保基金反欺诈模型第三方服务项目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中山市公权力大数据监督医保基金反欺诈模型第三方服务项目</w:t>
      </w:r>
    </w:p>
    <w:p>
      <w:pPr>
        <w:pStyle w:val="null3"/>
        <w:ind w:firstLine="480"/>
      </w:pPr>
      <w:r>
        <w:rPr/>
        <w:t>采购计划编号：</w:t>
      </w:r>
      <w:r>
        <w:rPr/>
        <w:t>442000-2026-01019</w:t>
      </w:r>
    </w:p>
    <w:p>
      <w:pPr>
        <w:pStyle w:val="null3"/>
        <w:ind w:firstLine="480"/>
      </w:pPr>
      <w:r>
        <w:rPr/>
        <w:t>采购项目编号：</w:t>
      </w:r>
      <w:r>
        <w:rPr/>
        <w:t>442000-2026-01019</w:t>
      </w:r>
    </w:p>
    <w:p>
      <w:pPr>
        <w:pStyle w:val="null3"/>
        <w:ind w:firstLine="480"/>
      </w:pPr>
      <w:r>
        <w:rPr/>
        <w:t>采购方式：</w:t>
      </w:r>
      <w:r>
        <w:rPr/>
        <w:t>公开招标</w:t>
      </w:r>
    </w:p>
    <w:p>
      <w:pPr>
        <w:pStyle w:val="null3"/>
        <w:ind w:firstLine="480"/>
      </w:pPr>
      <w:r>
        <w:rPr/>
        <w:t>预算金额：</w:t>
      </w:r>
      <w:r>
        <w:rPr/>
        <w:t>2,492,532.00</w:t>
      </w:r>
      <w:r>
        <w:rPr/>
        <w:t>元</w:t>
      </w:r>
    </w:p>
    <w:p>
      <w:pPr>
        <w:pStyle w:val="null3"/>
        <w:outlineLvl w:val="3"/>
      </w:pPr>
      <w:r>
        <w:rPr>
          <w:sz w:val="24"/>
          <w:b/>
        </w:rPr>
        <w:t>2.项目内容及需求情况（采购项目技术规格、参数及要求）</w:t>
      </w:r>
    </w:p>
    <w:p>
      <w:pPr>
        <w:pStyle w:val="null3"/>
      </w:pPr>
      <w:r>
        <w:rPr/>
        <w:t>采购包1(中山市公权力大数据监督医保基金反欺诈模型第三方服务项目):</w:t>
      </w:r>
    </w:p>
    <w:p>
      <w:pPr>
        <w:pStyle w:val="null3"/>
      </w:pPr>
      <w:r>
        <w:rPr/>
        <w:t>采购包预算金额：2,492,532.00元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中山市公权力大数据监督医保基金反欺诈模型第三方服务项目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合同履行期限：合同签订后30天内，中标供应商完成项目反欺诈模型需求调研；合同签订后90天内，中标供应商完成反欺诈模型框架搭建和主体验收； 合同签订后240天内，中标供应商完成反欺诈模型测试、调优、正式投入使用并验收；反欺诈模型正式投入使用后中标供应商需提供至少1年运行维护服务。</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采购包1（中山市公权力大数据监督医保基金反欺诈模型第三方服务项目）：</w:t>
      </w:r>
      <w:r>
        <w:rPr/>
        <w:t>无</w:t>
      </w:r>
    </w:p>
    <w:p>
      <w:pPr>
        <w:pStyle w:val="null3"/>
        <w:outlineLvl w:val="3"/>
      </w:pPr>
      <w:r>
        <w:rPr>
          <w:sz w:val="24"/>
          <w:b/>
        </w:rPr>
        <w:t>3.本项目特定的资格要求：</w:t>
      </w:r>
    </w:p>
    <w:p>
      <w:pPr>
        <w:pStyle w:val="null3"/>
      </w:pPr>
      <w:r>
        <w:rPr/>
        <w:t>采购包1（中山市公权力大数据监督医保基金反欺诈模型第三方服务项目）：</w:t>
      </w:r>
    </w:p>
    <w:p>
      <w:pPr>
        <w:pStyle w:val="null3"/>
      </w:pPr>
      <w:r>
        <w:rPr/>
        <w:t>1)投标人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中山市医疗保障局</w:t>
      </w:r>
    </w:p>
    <w:p>
      <w:pPr>
        <w:pStyle w:val="null3"/>
        <w:ind w:firstLine="480"/>
      </w:pPr>
      <w:r>
        <w:rPr/>
        <w:t xml:space="preserve"> 地址：</w:t>
      </w:r>
      <w:r>
        <w:rPr/>
        <w:t>中山市中山三路26号市政府第二办公区28楼</w:t>
      </w:r>
    </w:p>
    <w:p>
      <w:pPr>
        <w:pStyle w:val="null3"/>
        <w:ind w:firstLine="480"/>
      </w:pPr>
      <w:r>
        <w:rPr/>
        <w:t xml:space="preserve"> 联系方式：</w:t>
      </w:r>
      <w:r>
        <w:rPr/>
        <w:t>0760-88103036</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中山市公权力大数据监督医保基金反欺诈模型第三方服务项目</w:t>
      </w:r>
    </w:p>
    <w:p>
      <w:pPr>
        <w:pStyle w:val="null3"/>
        <w:jc w:val="both"/>
      </w:pPr>
      <w:r>
        <w:rPr>
          <w:sz w:val="22"/>
        </w:rPr>
        <w:t>2.采购计划编号</w:t>
      </w:r>
      <w:r>
        <w:rPr>
          <w:sz w:val="22"/>
        </w:rPr>
        <w:t>（</w:t>
      </w:r>
      <w:r>
        <w:rPr>
          <w:sz w:val="22"/>
        </w:rPr>
        <w:t>采购项目编号</w:t>
      </w:r>
      <w:r>
        <w:rPr>
          <w:sz w:val="22"/>
        </w:rPr>
        <w:t>）</w:t>
      </w:r>
      <w:r>
        <w:rPr>
          <w:sz w:val="22"/>
        </w:rPr>
        <w:t>：</w:t>
      </w:r>
      <w:r>
        <w:rPr>
          <w:sz w:val="22"/>
        </w:rPr>
        <w:t>442000-2026-01019</w:t>
      </w:r>
    </w:p>
    <w:p>
      <w:pPr>
        <w:pStyle w:val="null3"/>
        <w:jc w:val="both"/>
      </w:pPr>
      <w:r>
        <w:rPr>
          <w:sz w:val="22"/>
        </w:rPr>
        <w:t>3.采购方式：公开招标</w:t>
      </w:r>
    </w:p>
    <w:p>
      <w:pPr>
        <w:pStyle w:val="null3"/>
        <w:jc w:val="both"/>
      </w:pPr>
      <w:r>
        <w:rPr>
          <w:sz w:val="22"/>
        </w:rPr>
        <w:t>4</w:t>
      </w:r>
      <w:r>
        <w:rPr>
          <w:sz w:val="22"/>
        </w:rPr>
        <w:t>.预算金额：</w:t>
      </w:r>
      <w:r>
        <w:rPr>
          <w:sz w:val="22"/>
        </w:rPr>
        <w:t>2,492,532.00</w:t>
      </w:r>
      <w:r>
        <w:rPr>
          <w:sz w:val="22"/>
        </w:rPr>
        <w:t>元</w:t>
      </w:r>
    </w:p>
    <w:p>
      <w:pPr>
        <w:pStyle w:val="null3"/>
        <w:jc w:val="both"/>
      </w:pPr>
      <w:r>
        <w:rPr>
          <w:sz w:val="22"/>
        </w:rPr>
        <w:t>5</w:t>
      </w:r>
      <w:r>
        <w:rPr>
          <w:sz w:val="22"/>
        </w:rPr>
        <w:t>.</w:t>
      </w:r>
      <w:r>
        <w:rPr>
          <w:sz w:val="22"/>
        </w:rPr>
        <w:t>项目</w:t>
      </w:r>
      <w:r>
        <w:rPr>
          <w:sz w:val="22"/>
        </w:rPr>
        <w:t>背景概述：</w:t>
      </w:r>
      <w:r>
        <w:rPr>
          <w:sz w:val="22"/>
        </w:rPr>
        <w:t>根据工作要求，需持续加大各类大数据监管模型的研发应用力度，以典型违法违规行为、药品耗材、诊疗项目、重点人群、病种、险种等为重点，不断丰富健全大数据监管模型矩阵，</w:t>
      </w:r>
      <w:r>
        <w:rPr>
          <w:sz w:val="22"/>
        </w:rPr>
        <w:t>结合</w:t>
      </w:r>
      <w:r>
        <w:rPr>
          <w:sz w:val="22"/>
        </w:rPr>
        <w:t>中山市医保基金智能监管目前仅限在门诊事前和事中监管</w:t>
      </w:r>
      <w:r>
        <w:rPr>
          <w:sz w:val="22"/>
        </w:rPr>
        <w:t>的现状</w:t>
      </w:r>
      <w:r>
        <w:rPr>
          <w:sz w:val="22"/>
        </w:rPr>
        <w:t>，为完善事后全方位监管，拟采购本服务项目，项目内容至少包括全量搜索、天眼筛查、画像对比、哨兵预警四大方面功能和重复收费、分解收费、超标准收费等</w:t>
      </w:r>
      <w:r>
        <w:rPr>
          <w:sz w:val="22"/>
        </w:rPr>
        <w:t>95</w:t>
      </w:r>
      <w:r>
        <w:rPr>
          <w:sz w:val="22"/>
        </w:rPr>
        <w:t>个监测模块，并根据实际工作需要不断调整增加。</w:t>
      </w:r>
    </w:p>
    <w:p>
      <w:pPr>
        <w:pStyle w:val="null3"/>
        <w:jc w:val="both"/>
      </w:pPr>
      <w:r>
        <w:rPr>
          <w:sz w:val="22"/>
        </w:rPr>
        <w:t>6</w:t>
      </w:r>
      <w:r>
        <w:rPr>
          <w:sz w:val="22"/>
        </w:rPr>
        <w:t>.本项目不属于专门面向中小企业项目。</w:t>
      </w:r>
    </w:p>
    <w:p>
      <w:pPr>
        <w:pStyle w:val="null3"/>
        <w:jc w:val="both"/>
      </w:pPr>
      <w:r>
        <w:rPr>
          <w:sz w:val="22"/>
        </w:rPr>
        <w:t>6</w:t>
      </w:r>
      <w:r>
        <w:rPr>
          <w:sz w:val="22"/>
        </w:rPr>
        <w:t>.1.本项目属于服务类项目，采购标的对应的中小企业划分标准所属行业为：其他未列明行业。</w:t>
      </w:r>
    </w:p>
    <w:p>
      <w:pPr>
        <w:pStyle w:val="null3"/>
        <w:jc w:val="both"/>
      </w:pPr>
      <w:r>
        <w:rPr>
          <w:sz w:val="22"/>
        </w:rPr>
        <w:t>6</w:t>
      </w:r>
      <w:r>
        <w:rPr>
          <w:sz w:val="22"/>
        </w:rPr>
        <w:t>.2.本项目的投标人根据招标公告附件《中小企业划型标准规定》及《广东省财政厅关于进一步规范政府采购活动中落实促进中小企业发展政策的通知》要求自行判定是否属于其他未列明行业的小微企业，符合小微企业类型的方可享受《政府采购促进中小企业发展管理办法》规定的中小企业扶持政策。</w:t>
      </w:r>
    </w:p>
    <w:p>
      <w:pPr>
        <w:pStyle w:val="null3"/>
        <w:jc w:val="both"/>
      </w:pPr>
      <w:r>
        <w:rPr>
          <w:sz w:val="22"/>
        </w:rPr>
        <w:t>7</w:t>
      </w:r>
      <w:r>
        <w:rPr>
          <w:sz w:val="22"/>
        </w:rPr>
        <w:t>.本项目不接受联合体投标。</w:t>
      </w:r>
    </w:p>
    <w:p>
      <w:pPr>
        <w:pStyle w:val="null3"/>
        <w:jc w:val="both"/>
      </w:pPr>
      <w:r>
        <w:rPr>
          <w:sz w:val="22"/>
        </w:rPr>
        <w:t>8</w:t>
      </w:r>
      <w:r>
        <w:rPr>
          <w:sz w:val="22"/>
        </w:rPr>
        <w:t>.采购人有权在签订合同时对项目内容作适当修改调整或对服务内容作适量增加或减少，但不得对招标文件约定的条款作出实质性的变更。</w:t>
      </w:r>
    </w:p>
    <w:p>
      <w:pPr>
        <w:pStyle w:val="null3"/>
        <w:jc w:val="both"/>
      </w:pPr>
      <w:r>
        <w:rPr>
          <w:sz w:val="22"/>
          <w:b/>
        </w:rPr>
        <w:t>9</w:t>
      </w:r>
      <w:r>
        <w:rPr>
          <w:sz w:val="22"/>
          <w:b/>
        </w:rPr>
        <w:t>.招标文件中凡有“★”标识的内容条款为关键条款，投标人必须对此作全面响应和满足，任何负偏离则将被视为无效投标。</w:t>
      </w:r>
    </w:p>
    <w:p>
      <w:pPr>
        <w:pStyle w:val="null3"/>
        <w:jc w:val="both"/>
      </w:pPr>
      <w:r>
        <w:rPr>
          <w:sz w:val="22"/>
          <w:b/>
        </w:rPr>
        <w:t>1</w:t>
      </w:r>
      <w:r>
        <w:rPr>
          <w:sz w:val="22"/>
          <w:b/>
        </w:rPr>
        <w:t>0</w:t>
      </w:r>
      <w:r>
        <w:rPr>
          <w:sz w:val="22"/>
          <w:b/>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b/>
        </w:rPr>
        <w:t>1</w:t>
      </w:r>
      <w:r>
        <w:rPr>
          <w:sz w:val="22"/>
          <w:b/>
        </w:rPr>
        <w:t>1</w:t>
      </w:r>
      <w:r>
        <w:rPr>
          <w:sz w:val="22"/>
          <w:b/>
        </w:rPr>
        <w:t>.重要说明</w:t>
      </w:r>
    </w:p>
    <w:p>
      <w:pPr>
        <w:pStyle w:val="null3"/>
        <w:ind w:firstLine="440"/>
        <w:jc w:val="both"/>
      </w:pPr>
      <w:r>
        <w:rPr>
          <w:sz w:val="22"/>
        </w:rPr>
        <w:t>11.1</w:t>
      </w:r>
      <w:r>
        <w:rPr>
          <w:sz w:val="22"/>
        </w:rPr>
        <w:t>如投标人认为本招标文件中存在</w:t>
      </w:r>
      <w:r>
        <w:rPr>
          <w:sz w:val="22"/>
        </w:rPr>
        <w:t>“不合理的条件对供应商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ind w:firstLine="440"/>
        <w:jc w:val="both"/>
      </w:pPr>
      <w:r>
        <w:rPr>
          <w:sz w:val="22"/>
        </w:rPr>
        <w:t>11.2</w:t>
      </w:r>
      <w:r>
        <w:rPr>
          <w:sz w:val="22"/>
        </w:rPr>
        <w:t>投标人应对</w:t>
      </w:r>
      <w:r>
        <w:rPr>
          <w:sz w:val="22"/>
        </w:rPr>
        <w:t>招标</w:t>
      </w:r>
      <w:r>
        <w:rPr>
          <w:sz w:val="22"/>
        </w:rPr>
        <w:t>文件中除需要实质性响应和参与评审的条款以外的其他条款作出响应，评标委员会可根据具体响应情况综合考量投标人履约能力，如投标文件中无响应情况的，中标后一律按采购文件要求执行。</w:t>
      </w:r>
    </w:p>
    <w:p>
      <w:pPr>
        <w:pStyle w:val="null3"/>
      </w:pPr>
      <w:r>
        <w:rPr>
          <w:sz w:val="22"/>
        </w:rPr>
        <w:t>1</w:t>
      </w:r>
      <w:r>
        <w:rPr>
          <w:sz w:val="22"/>
        </w:rPr>
        <w:t>2</w:t>
      </w:r>
      <w:r>
        <w:rPr>
          <w:sz w:val="22"/>
        </w:rPr>
        <w:t>.政府采购异常低价审查</w:t>
      </w:r>
    </w:p>
    <w:p>
      <w:pPr>
        <w:pStyle w:val="null3"/>
        <w:ind w:firstLine="440"/>
      </w:pPr>
      <w:r>
        <w:rPr>
          <w:sz w:val="22"/>
        </w:rPr>
        <w:t>1</w:t>
      </w:r>
      <w:r>
        <w:rPr>
          <w:sz w:val="22"/>
        </w:rPr>
        <w:t>2</w:t>
      </w:r>
      <w:r>
        <w:rPr>
          <w:sz w:val="22"/>
        </w:rPr>
        <w:t>.1.本项目评审中出现下列情形之一的，评审委员会将启动异常低价投标（响应）审查程序：</w:t>
      </w:r>
    </w:p>
    <w:p>
      <w:pPr>
        <w:pStyle w:val="null3"/>
        <w:ind w:firstLine="440"/>
      </w:pPr>
      <w:r>
        <w:rPr>
          <w:sz w:val="22"/>
        </w:rPr>
        <w:t>1</w:t>
      </w:r>
      <w:r>
        <w:rPr>
          <w:sz w:val="22"/>
        </w:rPr>
        <w:t>2</w:t>
      </w:r>
      <w:r>
        <w:rPr>
          <w:sz w:val="22"/>
        </w:rPr>
        <w:t>.1.1.投标（响应）报价低于全部通过符合性审查供应商投标（响应）报价平均值50%的，即投标（响应）报价&lt;全部通过符合性审查供应商投标（响应）报价平均值×50%；</w:t>
      </w:r>
    </w:p>
    <w:p>
      <w:pPr>
        <w:pStyle w:val="null3"/>
        <w:ind w:firstLine="440"/>
      </w:pPr>
      <w:r>
        <w:rPr>
          <w:sz w:val="22"/>
        </w:rPr>
        <w:t>1</w:t>
      </w:r>
      <w:r>
        <w:rPr>
          <w:sz w:val="22"/>
        </w:rPr>
        <w:t>2</w:t>
      </w:r>
      <w:r>
        <w:rPr>
          <w:sz w:val="22"/>
        </w:rPr>
        <w:t>.1.2.投标（响应）报价低于通过符合性审查的次低报价供应商投标（响应）报价50%的，即投标（响应）报价&lt;通过符合性审查的次低报价供应商投标（响应）报价×50%；</w:t>
      </w:r>
    </w:p>
    <w:p>
      <w:pPr>
        <w:pStyle w:val="null3"/>
        <w:ind w:firstLine="440"/>
      </w:pPr>
      <w:r>
        <w:rPr>
          <w:sz w:val="22"/>
        </w:rPr>
        <w:t>1</w:t>
      </w:r>
      <w:r>
        <w:rPr>
          <w:sz w:val="22"/>
        </w:rPr>
        <w:t>2</w:t>
      </w:r>
      <w:r>
        <w:rPr>
          <w:sz w:val="22"/>
        </w:rPr>
        <w:t>.1.3.投标（响应）报价低于采购项目最高限价45%的，即投标（响应）报价&lt;采购项目最高限价×45%；</w:t>
      </w:r>
    </w:p>
    <w:p>
      <w:pPr>
        <w:pStyle w:val="null3"/>
        <w:ind w:firstLine="440"/>
      </w:pPr>
      <w:r>
        <w:rPr>
          <w:sz w:val="22"/>
        </w:rPr>
        <w:t>1</w:t>
      </w:r>
      <w:r>
        <w:rPr>
          <w:sz w:val="22"/>
        </w:rPr>
        <w:t>2</w:t>
      </w:r>
      <w:r>
        <w:rPr>
          <w:sz w:val="22"/>
        </w:rPr>
        <w:t>.1.4.评审委员会基于专业判断，认为供应商报价过低，有可能影响产品质量或者不能诚信履约的其他情形；</w:t>
      </w:r>
    </w:p>
    <w:p>
      <w:pPr>
        <w:pStyle w:val="null3"/>
        <w:ind w:firstLine="440"/>
      </w:pPr>
      <w:r>
        <w:rPr>
          <w:sz w:val="22"/>
        </w:rPr>
        <w:t>1</w:t>
      </w:r>
      <w:r>
        <w:rPr>
          <w:sz w:val="22"/>
        </w:rPr>
        <w:t>2</w:t>
      </w:r>
      <w:r>
        <w:rPr>
          <w:sz w:val="22"/>
        </w:rPr>
        <w:t>.2.投标人提供项目具体成本测算等与报价合理性相关的书面说明及必要的证明材料，包括但不限于原材料成本、人工成本、制造费用等足以证明其报价是符合市场竞争、法规和行业政策的；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pPr>
      <w:r>
        <w:rPr>
          <w:sz w:val="22"/>
        </w:rPr>
        <w:t>1</w:t>
      </w:r>
      <w:r>
        <w:rPr>
          <w:sz w:val="22"/>
        </w:rPr>
        <w:t>2</w:t>
      </w:r>
      <w:r>
        <w:rPr>
          <w:sz w:val="22"/>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pPr>
      <w:r>
        <w:rPr>
          <w:sz w:val="22"/>
        </w:rPr>
        <w:t>12.4属于第12.1.3项情形，投标人已随投标文件一并提交相关书面说明及必要的证明材料的，在评审现场可不再重复提交。</w:t>
      </w:r>
    </w:p>
    <w:p>
      <w:pPr>
        <w:pStyle w:val="null3"/>
      </w:pPr>
      <w:r>
        <w:rPr/>
        <w:t>采购包1（中山市公权力大数据监督医保基金反欺诈模型第三方服务项目）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合同签订后30天内，中标供应商完成项目反欺诈模型需求调研；合同签订后90天内，中标供应商完成反欺诈模型框架搭建和主体验收； 合同签订后240天内，中标供应商完成反欺诈模型测试、调优、正式投入使用并验收；反欺诈模型正式投入使用后中标供应商需提供至少1年运行维护服务。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1期：支付比例100%,1.合同签订后30天内，中标供应商完成项目反欺诈模型需求调研，根据采购人签字确认的模型需求调研确认单，采购人支付中标供应商合同金额的20%； 2.合同签订后90天内，中标供应商完成反欺诈模型框架搭建和主体验收，根据采购人签字确认的反欺诈模型主体验收报告，采购人支付中标供应商合同金额的40%； 3.合同签订后240天内，中标供应商完成反欺诈模型测试、调优、正式投入使用并验收，根据采购人签字确认的反欺诈模型正式验收报告，采购人支付中标供应商合同金额的30%； 4.反欺诈模型正式投入使用并运行维护1年后，根据采购人签字确认的项目验收及评价报告，采购人支付中标供应商合同金额的10%。 5.采购人采用银行转账或电汇付款方式。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应按照项目合同约定完成合同履约，并进行各个阶段必要的验证、确认，在项目合同期内按要求持续提供优化升级服务。按照国家、省、市大数据局（如适用）等最新相关要求，提交完善整体交付材料，包括技术资料、过程资料、服务支撑软件等项目资料。 由采购人自行组织验收小组进行验收工作。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1.，投标人须列明项目实施过程中采购人需配合的条件，采购人视情况决定是否采纳。</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1.本项目按总价报价，投标报价不得超出项目预算金额2,492,532.00元，否则作投标无效处理。 2.本项目的报价和结算支付均以人民币为货币单位。 3.投标报价应包含完成本项目所需的全部费用，包括但不限于人工费、培训费、反欺诈模型正式投入使用后至少1年运行维护服务费用、各种税务费，采购人不额外支付其他任何费用。</w:t>
            </w:r>
          </w:p>
        </w:tc>
      </w:tr>
      <w:tr>
        <w:tc>
          <w:tcPr>
            <w:tcW w:type="dxa" w:w="2076"/>
          </w:tcPr>
          <w:p/>
        </w:tc>
        <w:tc>
          <w:tcPr>
            <w:tcW w:type="dxa" w:w="2076"/>
          </w:tcPr>
          <w:p>
            <w:pPr>
              <w:pStyle w:val="null3"/>
              <w:jc w:val="center"/>
            </w:pPr>
            <w:r>
              <w:rPr/>
              <w:t>2</w:t>
            </w:r>
          </w:p>
        </w:tc>
        <w:tc>
          <w:tcPr>
            <w:tcW w:type="dxa" w:w="2076"/>
          </w:tcPr>
          <w:p>
            <w:pPr>
              <w:pStyle w:val="null3"/>
              <w:jc w:val="left"/>
            </w:pPr>
            <w:r>
              <w:rPr/>
              <w:t>培训要求</w:t>
            </w:r>
          </w:p>
        </w:tc>
        <w:tc>
          <w:tcPr>
            <w:tcW w:type="dxa" w:w="2076"/>
          </w:tcPr>
          <w:p>
            <w:pPr>
              <w:pStyle w:val="null3"/>
              <w:jc w:val="left"/>
            </w:pPr>
            <w:r>
              <w:rPr/>
              <w:t>中标供应商须为采购人制定合理、完备的培训方案，包括但不限于培训教师资质、培训内容、培训计划等。</w:t>
            </w:r>
          </w:p>
        </w:tc>
      </w:tr>
      <w:tr>
        <w:tc>
          <w:tcPr>
            <w:tcW w:type="dxa" w:w="2076"/>
          </w:tcPr>
          <w:p/>
        </w:tc>
        <w:tc>
          <w:tcPr>
            <w:tcW w:type="dxa" w:w="2076"/>
          </w:tcPr>
          <w:p>
            <w:pPr>
              <w:pStyle w:val="null3"/>
              <w:jc w:val="center"/>
            </w:pPr>
            <w:r>
              <w:rPr/>
              <w:t>3</w:t>
            </w:r>
          </w:p>
        </w:tc>
        <w:tc>
          <w:tcPr>
            <w:tcW w:type="dxa" w:w="2076"/>
          </w:tcPr>
          <w:p>
            <w:pPr>
              <w:pStyle w:val="null3"/>
              <w:jc w:val="left"/>
            </w:pPr>
            <w:r>
              <w:rPr/>
              <w:t>运维服务要求</w:t>
            </w:r>
          </w:p>
        </w:tc>
        <w:tc>
          <w:tcPr>
            <w:tcW w:type="dxa" w:w="2076"/>
          </w:tcPr>
          <w:p>
            <w:pPr>
              <w:pStyle w:val="null3"/>
              <w:jc w:val="left"/>
            </w:pPr>
            <w:r>
              <w:rPr/>
              <w:t>一、运维服务期限：反欺诈模型正式投入使用后，需提供至少1年运行维护，并安排至少1人驻场服务。 二、运维服务内容 （一）数据库维护 1.每30日定期对数据库进行全面检查维护，检查内容包括但不限于数据库可使用空间、数据库大小、索引、性能、作业执行情况、数据库占用资源情况等，并提供相应检查报告。 2.对于数据库故障应在规定时间内响应、排查并解决问题。 3.根据采购人要求提供数据库迁移服务。 4.提供定期数据库优化服务。 5.提供数据转储服务。 6.配合采购人实施数据库相关安全策略。 7.保障数据安全。 8.数据库规范化操作。 9.数据库数据归采购人所有，中标供应商未经采购人审批同意不能擅自外传数据，如发现擅自外传数据的，采购人将根据国家相关法律法规处理。 （二）运维环境维护 1.项目所需服务器或实施环境（含算力）由采购人提供。中标供应商须每30日定期检查服务器或实施环境（含算力）上应用程序运行状况、操作系统日志情况等并提供检查报告。 2.如有需要，服务期内中标供应商须提供服务器上程序迁移服务。 3.中标供应商须保障服务器上数据库、中间层软件、接口软件等相关软件稳定运行，反欺诈业务系统全年故障次数应不超过2次。 三、运维服务要求 1.中标供应商须提供每周7×24小时电话支持、远程技术支持服务，日常问题响应时间不超过2小时。 2.维护范围包含系统出现不能使用或严重影响使用故障，如遇系统故障问题，2 小时以内做出明确响应和安排，24 小时内故障处理完毕。 3.服务人员须对项目升级、故障恢复等内容进行及时响应，提供快速服务，协助采购人做好错误修正、疑难解答等系统相关工作，迅速解决问题。 4.其他服务内容具体包括：为采购人提供相关系统问题咨询解答、软件缺陷修复、系统安装维护、数据备份与恢复、性能调优等服务；对服务支撑软件进行巡检并提交巡检报告；提供开发支持，以及服务期间的日常需求升级服务（包括但不限于日常维护、应急性维护、适应性维护、完善性维护、整体优化服务、定期巡检服务、事故分析服务、需求变更处理版本变更和系统升级）。 5.在服务期内，中标供应商应提供灵活、多样的服务方式，包括但不限于电话、邮件、远程支持、现场服务等。 6.服务期结束后，对于采购人提出的技术问题咨询，中标供应商应继续提供必要的技术支持与解答。</w:t>
            </w:r>
          </w:p>
        </w:tc>
      </w:tr>
      <w:tr>
        <w:tc>
          <w:tcPr>
            <w:tcW w:type="dxa" w:w="2076"/>
          </w:tcPr>
          <w:p/>
        </w:tc>
        <w:tc>
          <w:tcPr>
            <w:tcW w:type="dxa" w:w="2076"/>
          </w:tcPr>
          <w:p>
            <w:pPr>
              <w:pStyle w:val="null3"/>
              <w:jc w:val="center"/>
            </w:pPr>
            <w:r>
              <w:rPr/>
              <w:t>4</w:t>
            </w:r>
          </w:p>
        </w:tc>
        <w:tc>
          <w:tcPr>
            <w:tcW w:type="dxa" w:w="2076"/>
          </w:tcPr>
          <w:p>
            <w:pPr>
              <w:pStyle w:val="null3"/>
              <w:jc w:val="left"/>
            </w:pPr>
            <w:r>
              <w:rPr/>
              <w:t>项目团队要求</w:t>
            </w:r>
          </w:p>
        </w:tc>
        <w:tc>
          <w:tcPr>
            <w:tcW w:type="dxa" w:w="2076"/>
          </w:tcPr>
          <w:p>
            <w:pPr>
              <w:pStyle w:val="null3"/>
              <w:jc w:val="left"/>
            </w:pPr>
            <w:r>
              <w:rPr/>
              <w:t>1.中标供应商应为本项目组建专门的项目团队，其中项目经理（限1人），负责项目实施的管理工作，项目经理需为计算机或医学类专业毕业，并具备信息技术相关专业证书。 2.除项目经理外的团队其他人员需具备本科以上学历，团队人员应包含信息类、统计类、药学类、卫生统计学、医学类等专业技术人员。 3.投标人须根据项目需要合理配备其他相关技术人员，以保障项目按期交付。</w:t>
            </w:r>
          </w:p>
        </w:tc>
      </w:tr>
      <w:tr>
        <w:tc>
          <w:tcPr>
            <w:tcW w:type="dxa" w:w="2076"/>
          </w:tcPr>
          <w:p/>
        </w:tc>
        <w:tc>
          <w:tcPr>
            <w:tcW w:type="dxa" w:w="2076"/>
          </w:tcPr>
          <w:p>
            <w:pPr>
              <w:pStyle w:val="null3"/>
              <w:jc w:val="center"/>
            </w:pPr>
            <w:r>
              <w:rPr/>
              <w:t>5</w:t>
            </w:r>
          </w:p>
        </w:tc>
        <w:tc>
          <w:tcPr>
            <w:tcW w:type="dxa" w:w="2076"/>
          </w:tcPr>
          <w:p>
            <w:pPr>
              <w:pStyle w:val="null3"/>
              <w:jc w:val="left"/>
            </w:pPr>
            <w:r>
              <w:rPr/>
              <w:t>企业管理实力</w:t>
            </w:r>
          </w:p>
        </w:tc>
        <w:tc>
          <w:tcPr>
            <w:tcW w:type="dxa" w:w="2076"/>
          </w:tcPr>
          <w:p>
            <w:pPr>
              <w:pStyle w:val="null3"/>
              <w:jc w:val="left"/>
            </w:pPr>
            <w:r>
              <w:rPr/>
              <w:t>投标人需具备保障项目顺利实施的业务抗风险能力、规范的数据治理与安全能力以及知识产权合规意识。</w:t>
            </w:r>
          </w:p>
        </w:tc>
      </w:tr>
      <w:tr>
        <w:tc>
          <w:tcPr>
            <w:tcW w:type="dxa" w:w="2076"/>
          </w:tcPr>
          <w:p/>
        </w:tc>
        <w:tc>
          <w:tcPr>
            <w:tcW w:type="dxa" w:w="2076"/>
          </w:tcPr>
          <w:p>
            <w:pPr>
              <w:pStyle w:val="null3"/>
              <w:jc w:val="center"/>
            </w:pPr>
            <w:r>
              <w:rPr/>
              <w:t>6</w:t>
            </w:r>
          </w:p>
        </w:tc>
        <w:tc>
          <w:tcPr>
            <w:tcW w:type="dxa" w:w="2076"/>
          </w:tcPr>
          <w:p>
            <w:pPr>
              <w:pStyle w:val="null3"/>
              <w:jc w:val="left"/>
            </w:pPr>
            <w:r>
              <w:rPr/>
              <w:t>企业技术实力</w:t>
            </w:r>
          </w:p>
        </w:tc>
        <w:tc>
          <w:tcPr>
            <w:tcW w:type="dxa" w:w="2076"/>
          </w:tcPr>
          <w:p>
            <w:pPr>
              <w:pStyle w:val="null3"/>
              <w:jc w:val="left"/>
            </w:pPr>
            <w:r>
              <w:rPr/>
              <w:t>投标人须具备投入本项目的医保大数据反欺诈、医保规则管理、医保基金风险评估、医疗指标构建等核心业务领域的合法使用权或所属权，如产生任何相关的知识产权纠纷，均与采购人无关。</w:t>
            </w:r>
          </w:p>
        </w:tc>
      </w:tr>
      <w:tr>
        <w:tc>
          <w:tcPr>
            <w:tcW w:type="dxa" w:w="2076"/>
          </w:tcPr>
          <w:p/>
        </w:tc>
        <w:tc>
          <w:tcPr>
            <w:tcW w:type="dxa" w:w="2076"/>
          </w:tcPr>
          <w:p>
            <w:pPr>
              <w:pStyle w:val="null3"/>
              <w:jc w:val="center"/>
            </w:pPr>
            <w:r>
              <w:rPr/>
              <w:t>7</w:t>
            </w:r>
          </w:p>
        </w:tc>
        <w:tc>
          <w:tcPr>
            <w:tcW w:type="dxa" w:w="2076"/>
          </w:tcPr>
          <w:p>
            <w:pPr>
              <w:pStyle w:val="null3"/>
              <w:jc w:val="left"/>
            </w:pPr>
            <w:r>
              <w:rPr/>
              <w:t>项目经验</w:t>
            </w:r>
          </w:p>
        </w:tc>
        <w:tc>
          <w:tcPr>
            <w:tcW w:type="dxa" w:w="2076"/>
          </w:tcPr>
          <w:p>
            <w:pPr>
              <w:pStyle w:val="null3"/>
              <w:jc w:val="left"/>
            </w:pPr>
            <w:r>
              <w:rPr/>
              <w:t>为确保本项目顺利实施，投标人应具有近年来独立承接并完成医保基金管理部门或医保经办部门的医保基金大数据反欺诈类、医保基金管理部门智能审核类、省级及以上医保基金管理部门飞行检查项目经验。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中山市公权力大数据监督医保基金反欺诈模型第三方服务项目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2,492,532.00</w:t>
            </w:r>
          </w:p>
        </w:tc>
        <w:tc>
          <w:tcPr>
            <w:tcW w:type="dxa" w:w="933"/>
          </w:tcPr>
          <w:p>
            <w:pPr>
              <w:pStyle w:val="null3"/>
              <w:jc w:val="right"/>
            </w:pPr>
            <w:r>
              <w:rPr/>
              <w:t>2,492,532.00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中山市公权力大数据监督医保基金反欺诈模型第三方服务项目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一、项目背景</w:t>
            </w:r>
          </w:p>
          <w:p>
            <w:pPr>
              <w:pStyle w:val="null3"/>
              <w:ind w:firstLine="440"/>
              <w:jc w:val="both"/>
            </w:pPr>
            <w:r>
              <w:rPr>
                <w:sz w:val="22"/>
              </w:rPr>
              <w:t>2023年5月12日，国家医疗保障局下发《国家医疗保障局关于开展医保反欺诈大数据应用监管试点工作的通知》（医保函 [2023] 20号），要求各地开展以大数据监测手段为抓手，破解医保基金监管工作中欺诈骗保行为发现难、锁定难、查处难的问题，有效提升基金监管效能。试点工作要求各省级医保部门规范数据应用模式，在省级医保信息平台建立“反欺诈数据监测专区”，鼓励省级医保开展重点领域的筛查分析。鼓励试点地市医保部门依托省级医保信息“反欺诈数据监测专区”，构建有地方优势和特色的反欺诈数据模型。文件中指出：在工作内容上，要强化已有医保反欺诈大数据模型试点应用，推动建立一批重点领域反欺诈大数据模型，推动“医保－公安反欺诈监管系统”试点应用；二是模型应用上，要涉及参保数据、住院数据、门诊数据、药店数据、异地就医数据、DRG/DIP监管数据、重点药品耗材数据；在场景应用上，要覆盖医疗机构场景监控和药店场景监控；在检测体系上，要结合医保-公安反欺诈监管系统。</w:t>
            </w:r>
          </w:p>
          <w:p>
            <w:pPr>
              <w:pStyle w:val="null3"/>
              <w:ind w:firstLine="440"/>
              <w:jc w:val="both"/>
            </w:pPr>
            <w:r>
              <w:rPr>
                <w:sz w:val="22"/>
              </w:rPr>
              <w:t>2024年4月2日，国家医保局 最高人民法院 最高人民检察院公安部 财政部 国家卫生健康委发布《关于开展医保基金违法违规问题专项整治工作的通知》（医保发 [2024] 8号），工作方案要求坚持守正创新，强化数据赋能，坚持传统监管方式和现代化监管方式相结合。国家医保局将持续发挥已验证有效的大数据模型的作用，筛查分析苗头性、倾向性、趋势性问题，实现精准打击。开展好医保反欺诈大数据监管应用试点工作，探索药品追溯码在医保基金监管中的应用，加快构建更多高效管用的大数据模型，推动大数据监管取得突破性进展。</w:t>
            </w:r>
          </w:p>
          <w:p>
            <w:pPr>
              <w:pStyle w:val="null3"/>
              <w:ind w:firstLine="440"/>
              <w:jc w:val="both"/>
            </w:pPr>
            <w:r>
              <w:rPr>
                <w:sz w:val="22"/>
              </w:rPr>
              <w:t>2026年1月29日，国家医保局会同最高人民法院、最高人民检察院、公安部、财政部、国家卫生健康委、国家税务总局、市场监管总局、国家中医药局、国家药监局，联合召开全国医保基金管理突出问题专项整治工作总结暨2026年工作部署会。会议强调要深化大数据监管提高监管效率，加强经办审核管理，健全不合规行为和费用预警处置机制，推动监管关口前移。</w:t>
            </w:r>
          </w:p>
          <w:p>
            <w:pPr>
              <w:pStyle w:val="null3"/>
              <w:ind w:firstLine="440"/>
              <w:jc w:val="both"/>
            </w:pPr>
            <w:r>
              <w:rPr>
                <w:sz w:val="22"/>
              </w:rPr>
              <w:t>2026年1月21日，国家医保局下发《国家医疗保障局关于做好2026年医疗保障基金监管工作的通知》，</w:t>
            </w:r>
            <w:r>
              <w:rPr>
                <w:sz w:val="22"/>
              </w:rPr>
              <w:t>要求持续加大各类大数据监管模型的研发应用力度，以典型违法违规行为、药品耗材、诊疗项目、重点人群、病种、险种等为重点，不断丰富健全大数据监管模型矩阵。</w:t>
            </w:r>
          </w:p>
          <w:p>
            <w:pPr>
              <w:pStyle w:val="null3"/>
            </w:pPr>
            <w:r>
              <w:rPr>
                <w:sz w:val="22"/>
              </w:rPr>
              <w:t>根据工作要求，</w:t>
            </w:r>
            <w:r>
              <w:rPr>
                <w:sz w:val="22"/>
              </w:rPr>
              <w:t>结合中山市医保基金智能监管</w:t>
            </w:r>
            <w:r>
              <w:rPr>
                <w:sz w:val="22"/>
              </w:rPr>
              <w:t>目前仅限</w:t>
            </w:r>
            <w:r>
              <w:rPr>
                <w:sz w:val="22"/>
              </w:rPr>
              <w:t>在门诊事前事中监管的现状，为完善事后全方位监管，拟采购本服务项目，项目内容至少包括全量搜索、天眼筛查、画像对比、哨兵预警四大方面功能和重复收费、分解收费、超标准收费等</w:t>
            </w:r>
            <w:r>
              <w:rPr>
                <w:sz w:val="22"/>
              </w:rPr>
              <w:t>95个</w:t>
            </w:r>
            <w:r>
              <w:rPr>
                <w:sz w:val="22"/>
              </w:rPr>
              <w:t>监测模块，并根据实际工作需要不断调整增加。</w:t>
            </w:r>
          </w:p>
        </w:tc>
      </w:tr>
      <w:tr>
        <w:tc>
          <w:tcPr>
            <w:tcW w:type="dxa" w:w="2076"/>
          </w:tcPr>
          <w:p/>
        </w:tc>
        <w:tc>
          <w:tcPr>
            <w:tcW w:type="dxa" w:w="415"/>
          </w:tcPr>
          <w:p>
            <w:pPr>
              <w:pStyle w:val="null3"/>
            </w:pPr>
            <w:r>
              <w:rPr/>
              <w:t>2</w:t>
            </w:r>
          </w:p>
        </w:tc>
        <w:tc>
          <w:tcPr>
            <w:tcW w:type="dxa" w:w="5814"/>
          </w:tcPr>
          <w:p>
            <w:pPr>
              <w:pStyle w:val="null3"/>
              <w:jc w:val="both"/>
            </w:pPr>
            <w:r>
              <w:rPr>
                <w:sz w:val="22"/>
                <w:b/>
              </w:rPr>
              <w:t>二、项目目标</w:t>
            </w:r>
          </w:p>
          <w:p>
            <w:pPr>
              <w:pStyle w:val="null3"/>
              <w:ind w:firstLine="440"/>
              <w:jc w:val="both"/>
            </w:pPr>
            <w:r>
              <w:rPr>
                <w:sz w:val="22"/>
              </w:rPr>
              <w:t>以先进的人工智能、大数据分析技术为基础，基于国家医保平台回流数据，依托医保反欺诈大数据监管模型，从病例、机构、参保人等维度，对涉及住院与门诊医疗服务的高危欺诈行为进行分析和预警，实现反欺诈数据的常态化应用，切实提升医保监管效能，维护医保基金的健康发展。具体目标如下：</w:t>
            </w:r>
          </w:p>
          <w:p>
            <w:pPr>
              <w:pStyle w:val="null3"/>
              <w:ind w:firstLine="440"/>
              <w:jc w:val="both"/>
            </w:pPr>
            <w:r>
              <w:rPr>
                <w:sz w:val="22"/>
              </w:rPr>
              <w:t>1.对标国家反欺诈政策要求，全面涉及住院与门诊的风险识别；</w:t>
            </w:r>
          </w:p>
          <w:p>
            <w:pPr>
              <w:pStyle w:val="null3"/>
              <w:ind w:firstLine="440"/>
              <w:jc w:val="both"/>
            </w:pPr>
            <w:r>
              <w:rPr>
                <w:sz w:val="22"/>
              </w:rPr>
              <w:t>2.从病种、耗材、药品、诊疗服务、医疗机构、定点药店、参保人维度建立多维监管场景；</w:t>
            </w:r>
          </w:p>
          <w:p>
            <w:pPr>
              <w:pStyle w:val="null3"/>
              <w:ind w:firstLine="440"/>
              <w:jc w:val="both"/>
            </w:pPr>
            <w:r>
              <w:rPr>
                <w:sz w:val="22"/>
              </w:rPr>
              <w:t>3.建设从风险采集、风险分析到风险处理的全流程管理闭环；</w:t>
            </w:r>
          </w:p>
          <w:p>
            <w:pPr>
              <w:pStyle w:val="null3"/>
            </w:pPr>
            <w:r>
              <w:rPr>
                <w:sz w:val="22"/>
              </w:rPr>
              <w:t>4.运用海量知识库资源、大数据分析技术、人工智能技术建立准确高效的医保反欺诈大数据模型。</w:t>
            </w:r>
          </w:p>
        </w:tc>
      </w:tr>
      <w:tr>
        <w:tc>
          <w:tcPr>
            <w:tcW w:type="dxa" w:w="2076"/>
          </w:tcPr>
          <w:p/>
        </w:tc>
        <w:tc>
          <w:tcPr>
            <w:tcW w:type="dxa" w:w="415"/>
          </w:tcPr>
          <w:p>
            <w:pPr>
              <w:pStyle w:val="null3"/>
            </w:pPr>
            <w:r>
              <w:rPr/>
              <w:t>3</w:t>
            </w:r>
          </w:p>
        </w:tc>
        <w:tc>
          <w:tcPr>
            <w:tcW w:type="dxa" w:w="5814"/>
          </w:tcPr>
          <w:p>
            <w:pPr>
              <w:pStyle w:val="null3"/>
              <w:jc w:val="both"/>
            </w:pPr>
            <w:r>
              <w:rPr>
                <w:sz w:val="22"/>
                <w:b/>
              </w:rPr>
              <w:t>三、项目要求</w:t>
            </w:r>
          </w:p>
          <w:p>
            <w:pPr>
              <w:pStyle w:val="null3"/>
              <w:ind w:firstLine="440"/>
              <w:jc w:val="both"/>
            </w:pPr>
            <w:r>
              <w:rPr>
                <w:sz w:val="22"/>
              </w:rPr>
              <w:t>1.可扩展性</w:t>
            </w:r>
          </w:p>
          <w:p>
            <w:pPr>
              <w:pStyle w:val="null3"/>
              <w:ind w:firstLine="440"/>
              <w:jc w:val="both"/>
            </w:pPr>
            <w:r>
              <w:rPr>
                <w:sz w:val="22"/>
              </w:rPr>
              <w:t>系统的应用软件设计方案须充分考虑可扩展性，模型的设计须充分考虑将来可能的扩展和业务的变动，以适应业务的迅速发展。</w:t>
            </w:r>
          </w:p>
          <w:p>
            <w:pPr>
              <w:pStyle w:val="null3"/>
              <w:ind w:firstLine="440"/>
              <w:jc w:val="both"/>
            </w:pPr>
            <w:r>
              <w:rPr>
                <w:sz w:val="22"/>
              </w:rPr>
              <w:t>2.安全性</w:t>
            </w:r>
          </w:p>
          <w:p>
            <w:pPr>
              <w:pStyle w:val="null3"/>
              <w:ind w:firstLine="440"/>
              <w:jc w:val="both"/>
            </w:pPr>
            <w:r>
              <w:rPr>
                <w:sz w:val="22"/>
              </w:rPr>
              <w:t>系统应充分考虑整个系统运行的安全策略和机制，可以根据不同的业务要求和应用处理，设置不同的安全措施。系统应具有完善的安全与容错机制，以保障系统的高可用性与不间断运行，从而提高业务运营的水平，保证服务的质量。操作安全性由用户管理、权限管理、防病毒管理、入侵管理、漏洞管理等部分组成，再加上相应的安全策略、安全规范，形成完整的安全保证体系，保证系统数据不被非法入侵者破坏和盗用，并保证数据的一致性。确保在建设过程中所使用的标准、规范，都必须严格执行国家的相关政策，立足于真实的数据，坚持实事求是，坚持公平、公正、公开的基本原则。</w:t>
            </w:r>
          </w:p>
          <w:p>
            <w:pPr>
              <w:pStyle w:val="null3"/>
              <w:ind w:firstLine="440"/>
              <w:jc w:val="both"/>
            </w:pPr>
            <w:r>
              <w:rPr>
                <w:sz w:val="22"/>
              </w:rPr>
              <w:t>3.可操作性</w:t>
            </w:r>
          </w:p>
          <w:p>
            <w:pPr>
              <w:pStyle w:val="null3"/>
            </w:pPr>
            <w:r>
              <w:rPr>
                <w:sz w:val="22"/>
              </w:rPr>
              <w:t>系统操作应易用、友善、交互友好，操作界面、系统响应速度、数据组合查询等方面要尽可能符合日常业务处理流程和使用习惯。</w:t>
            </w:r>
          </w:p>
        </w:tc>
      </w:tr>
      <w:tr>
        <w:tc>
          <w:tcPr>
            <w:tcW w:type="dxa" w:w="2076"/>
          </w:tcPr>
          <w:p/>
        </w:tc>
        <w:tc>
          <w:tcPr>
            <w:tcW w:type="dxa" w:w="415"/>
          </w:tcPr>
          <w:p>
            <w:pPr>
              <w:pStyle w:val="null3"/>
            </w:pPr>
            <w:r>
              <w:rPr/>
              <w:t>4</w:t>
            </w:r>
          </w:p>
        </w:tc>
        <w:tc>
          <w:tcPr>
            <w:tcW w:type="dxa" w:w="5814"/>
          </w:tcPr>
          <w:p>
            <w:pPr>
              <w:pStyle w:val="null3"/>
              <w:jc w:val="both"/>
            </w:pPr>
            <w:r>
              <w:rPr>
                <w:sz w:val="22"/>
                <w:b/>
              </w:rPr>
              <w:t>四、项目内容</w:t>
            </w:r>
          </w:p>
          <w:p>
            <w:pPr>
              <w:pStyle w:val="null3"/>
              <w:jc w:val="both"/>
            </w:pPr>
            <w:r>
              <w:rPr>
                <w:sz w:val="22"/>
              </w:rPr>
              <w:t>1.多场景大数据风险模型</w:t>
            </w:r>
          </w:p>
          <w:p>
            <w:pPr>
              <w:pStyle w:val="null3"/>
              <w:ind w:firstLine="440"/>
              <w:jc w:val="both"/>
            </w:pPr>
            <w:r>
              <w:rPr>
                <w:sz w:val="22"/>
              </w:rPr>
              <w:t>建设医保反欺诈大数据风险模型为开展监管工作提供支持，同时支持根据新监管要求生成新模型。医保反欺诈大数据风险模型包括但不限于：频繁结队就医模型、病组套高套低模型、低标准住院模型、分解住院模型、虚假住院模型、串换诊疗服务项目模型、捆绑收费模型、雷同病例模型、轻症频繁住院、低等级医院反复住院模型等。</w:t>
            </w:r>
          </w:p>
          <w:p>
            <w:pPr>
              <w:pStyle w:val="null3"/>
              <w:jc w:val="both"/>
            </w:pPr>
            <w:r>
              <w:rPr>
                <w:sz w:val="22"/>
              </w:rPr>
              <w:t>1.1包括但不限于以下功能要求</w:t>
            </w:r>
          </w:p>
          <w:p>
            <w:pPr>
              <w:pStyle w:val="null3"/>
              <w:jc w:val="both"/>
            </w:pPr>
            <w:r>
              <w:rPr>
                <w:sz w:val="22"/>
              </w:rPr>
              <w:t>（</w:t>
            </w:r>
            <w:r>
              <w:rPr>
                <w:sz w:val="22"/>
              </w:rPr>
              <w:t>1）全量搜索</w:t>
            </w:r>
          </w:p>
          <w:p>
            <w:pPr>
              <w:pStyle w:val="null3"/>
              <w:ind w:firstLine="440"/>
              <w:jc w:val="both"/>
            </w:pPr>
            <w:r>
              <w:rPr>
                <w:sz w:val="22"/>
              </w:rPr>
              <w:t>根据国家医保平台回流本地全量数据，快速精确定位关键信息，显著提高数据查询与分析效率。</w:t>
            </w:r>
          </w:p>
          <w:p>
            <w:pPr>
              <w:pStyle w:val="null3"/>
              <w:jc w:val="both"/>
            </w:pPr>
            <w:r>
              <w:rPr>
                <w:sz w:val="22"/>
              </w:rPr>
              <w:t>（</w:t>
            </w:r>
            <w:r>
              <w:rPr>
                <w:sz w:val="22"/>
              </w:rPr>
              <w:t>2）天眼筛查</w:t>
            </w:r>
          </w:p>
          <w:p>
            <w:pPr>
              <w:pStyle w:val="null3"/>
              <w:ind w:firstLine="440"/>
              <w:jc w:val="both"/>
            </w:pPr>
            <w:r>
              <w:rPr>
                <w:sz w:val="22"/>
              </w:rPr>
              <w:t>依据国家飞检、省内交叉检查医保基金负面清单及我市日常监管智能审核规则进行数据筛查。全面覆盖各项业务，以便及时发现和预警潜在的医保欺诈行为。</w:t>
            </w:r>
          </w:p>
          <w:p>
            <w:pPr>
              <w:pStyle w:val="null3"/>
              <w:jc w:val="both"/>
            </w:pPr>
            <w:r>
              <w:rPr>
                <w:sz w:val="22"/>
              </w:rPr>
              <w:t>（</w:t>
            </w:r>
            <w:r>
              <w:rPr>
                <w:sz w:val="22"/>
              </w:rPr>
              <w:t>3）画像比对</w:t>
            </w:r>
          </w:p>
          <w:p>
            <w:pPr>
              <w:pStyle w:val="null3"/>
              <w:ind w:firstLine="440"/>
              <w:jc w:val="both"/>
            </w:pPr>
            <w:r>
              <w:rPr>
                <w:sz w:val="22"/>
              </w:rPr>
              <w:t>根据历史数据和象限分析，构建潜在风险的详细画像，有效预测和准确识别可能出现的异常行为。包括但不限于两定机构画像、医保医师画像、参保人画像等。</w:t>
            </w:r>
          </w:p>
          <w:p>
            <w:pPr>
              <w:pStyle w:val="null3"/>
              <w:jc w:val="both"/>
            </w:pPr>
            <w:r>
              <w:rPr>
                <w:sz w:val="22"/>
              </w:rPr>
              <w:t>（</w:t>
            </w:r>
            <w:r>
              <w:rPr>
                <w:sz w:val="22"/>
              </w:rPr>
              <w:t>4）哨兵预警</w:t>
            </w:r>
          </w:p>
          <w:p>
            <w:pPr>
              <w:pStyle w:val="null3"/>
              <w:ind w:firstLine="440"/>
              <w:jc w:val="both"/>
            </w:pPr>
            <w:r>
              <w:rPr>
                <w:sz w:val="22"/>
              </w:rPr>
              <w:t>改变传统</w:t>
            </w:r>
            <w:r>
              <w:rPr>
                <w:sz w:val="22"/>
              </w:rPr>
              <w:t>“固定规则”监管模式，运用AI、机器学习等方法评估诊疗行为的合理性，通过以点串线、以线促面，形成全方位医保哨兵监管网络，对疑似欺诈数据进行风险等级标示，显著提升医保基金使用效率和质量。包括但不限于基于大模型的人机交互咨询、基于本地化政策的欺诈骗保违规行为预警等。</w:t>
            </w:r>
          </w:p>
          <w:p>
            <w:pPr>
              <w:pStyle w:val="null3"/>
              <w:jc w:val="both"/>
            </w:pPr>
            <w:r>
              <w:rPr>
                <w:sz w:val="22"/>
              </w:rPr>
              <w:t>1.2包括但不限于以下95个模型</w:t>
            </w:r>
          </w:p>
          <w:tbl>
            <w:tblPr>
              <w:tblBorders>
                <w:top w:val="none" w:color="000000" w:sz="4"/>
                <w:left w:val="none" w:color="000000" w:sz="4"/>
                <w:bottom w:val="none" w:color="000000" w:sz="4"/>
                <w:right w:val="none" w:color="000000" w:sz="4"/>
                <w:insideH w:val="none"/>
                <w:insideV w:val="none"/>
              </w:tblBorders>
            </w:tblPr>
            <w:tblGrid>
              <w:gridCol w:w="507"/>
              <w:gridCol w:w="728"/>
              <w:gridCol w:w="1042"/>
              <w:gridCol w:w="1042"/>
              <w:gridCol w:w="2259"/>
            </w:tblGrid>
            <w:tr>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名称</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释义</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数据需求</w:t>
                  </w:r>
                </w:p>
              </w:tc>
              <w:tc>
                <w:tcPr>
                  <w:tcW w:type="dxa" w:w="2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建模要求</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不合理收费</w:t>
                  </w:r>
                  <w:r>
                    <w:rPr>
                      <w:sz w:val="22"/>
                      <w:color w:val="000000"/>
                    </w:rPr>
                    <w:t>(按天收费项目同一天结算超过1）</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对医疗服务项目分类与代码按天收费的医疗服务项目是否合理收费的情形进行监管。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w:t>
                  </w:r>
                  <w:r>
                    <w:br/>
                  </w:r>
                  <w:r>
                    <w:rPr>
                      <w:sz w:val="22"/>
                      <w:color w:val="000000"/>
                    </w:rPr>
                    <w:t>2.价格政策依据；</w:t>
                  </w:r>
                  <w:r>
                    <w:br/>
                  </w:r>
                  <w:r>
                    <w:rPr>
                      <w:sz w:val="22"/>
                      <w:color w:val="000000"/>
                    </w:rPr>
                    <w:t>3.医疗机构诊疗数据；</w:t>
                  </w:r>
                  <w:r>
                    <w:br/>
                  </w:r>
                  <w:r>
                    <w:rPr>
                      <w:sz w:val="22"/>
                      <w:color w:val="000000"/>
                    </w:rPr>
                    <w:t>4.监管规则知识库。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sz w:val="22"/>
                      <w:color w:val="000000"/>
                    </w:rPr>
                    <w:t>按天收费项目同一天结算超过</w:t>
                  </w:r>
                  <w:r>
                    <w:rPr>
                      <w:sz w:val="22"/>
                      <w:color w:val="000000"/>
                    </w:rPr>
                    <w:t>1则违规。</w:t>
                  </w:r>
                  <w:r>
                    <w:br/>
                  </w:r>
                  <w:r>
                    <w:rPr>
                      <w:sz w:val="22"/>
                      <w:color w:val="000000"/>
                    </w:rPr>
                    <w:t>1.基础识别规则；</w:t>
                  </w:r>
                  <w:r>
                    <w:br/>
                  </w:r>
                  <w:r>
                    <w:rPr>
                      <w:sz w:val="22"/>
                      <w:color w:val="000000"/>
                    </w:rPr>
                    <w:t>2.例外排除规则(合理情形)</w:t>
                  </w:r>
                  <w:r>
                    <w:br/>
                  </w:r>
                  <w:r>
                    <w:rPr>
                      <w:sz w:val="22"/>
                      <w:color w:val="000000"/>
                    </w:rPr>
                    <w:t>（</w:t>
                  </w:r>
                  <w:r>
                    <w:rPr>
                      <w:sz w:val="22"/>
                      <w:color w:val="000000"/>
                    </w:rPr>
                    <w:t>1）跨科室服务场景；</w:t>
                  </w:r>
                  <w:r>
                    <w:br/>
                  </w:r>
                  <w:r>
                    <w:rPr>
                      <w:sz w:val="22"/>
                      <w:color w:val="000000"/>
                    </w:rPr>
                    <w:t>（</w:t>
                  </w:r>
                  <w:r>
                    <w:rPr>
                      <w:sz w:val="22"/>
                      <w:color w:val="000000"/>
                    </w:rPr>
                    <w:t>2）重症监护切换场景；</w:t>
                  </w:r>
                  <w:r>
                    <w:br/>
                  </w:r>
                  <w:r>
                    <w:rPr>
                      <w:sz w:val="22"/>
                      <w:color w:val="000000"/>
                    </w:rPr>
                    <w:t>（</w:t>
                  </w:r>
                  <w:r>
                    <w:rPr>
                      <w:sz w:val="22"/>
                      <w:color w:val="000000"/>
                    </w:rPr>
                    <w:t>3）多管路护理场景；</w:t>
                  </w:r>
                  <w:r>
                    <w:br/>
                  </w:r>
                  <w:r>
                    <w:rPr>
                      <w:sz w:val="22"/>
                      <w:color w:val="000000"/>
                    </w:rPr>
                    <w:t>（</w:t>
                  </w:r>
                  <w:r>
                    <w:rPr>
                      <w:sz w:val="22"/>
                      <w:color w:val="000000"/>
                    </w:rPr>
                    <w:t>4）入出院当日特殊场景；</w:t>
                  </w:r>
                  <w:r>
                    <w:br/>
                  </w:r>
                  <w:r>
                    <w:rPr>
                      <w:sz w:val="22"/>
                      <w:color w:val="000000"/>
                    </w:rPr>
                    <w:t>3.关联核验规则(提高识别准确率)；</w:t>
                  </w:r>
                  <w:r>
                    <w:br/>
                  </w:r>
                  <w:r>
                    <w:rPr>
                      <w:sz w:val="22"/>
                      <w:color w:val="000000"/>
                    </w:rPr>
                    <w:t>4.机构层面系统性违规识别指标。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重复或分解收费</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对医疗服务项目</w:t>
                  </w:r>
                  <w:r>
                    <w:rPr>
                      <w:sz w:val="22"/>
                      <w:color w:val="000000"/>
                    </w:rPr>
                    <w:t>“项目内涵”已包含的项目，或“备注”中明确不得同时收费的项目同时收取或不能分解收费的项目同时收取情形进行监管。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w:t>
                  </w:r>
                  <w:r>
                    <w:br/>
                  </w:r>
                  <w:r>
                    <w:rPr>
                      <w:sz w:val="22"/>
                      <w:color w:val="000000"/>
                    </w:rPr>
                    <w:t>2.价格政策依据；</w:t>
                  </w:r>
                  <w:r>
                    <w:br/>
                  </w:r>
                  <w:r>
                    <w:rPr>
                      <w:sz w:val="22"/>
                      <w:color w:val="000000"/>
                    </w:rPr>
                    <w:t>3.医疗机构诊疗数据；</w:t>
                  </w:r>
                  <w:r>
                    <w:br/>
                  </w:r>
                  <w:r>
                    <w:rPr>
                      <w:sz w:val="22"/>
                      <w:color w:val="000000"/>
                    </w:rPr>
                    <w:t>4.监管规则知识库。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对同一单据不得同时收费的项目或不能分解的项目同时收费则违规。</w:t>
                  </w:r>
                  <w:r>
                    <w:br/>
                  </w:r>
                  <w:r>
                    <w:rPr>
                      <w:sz w:val="22"/>
                      <w:color w:val="000000"/>
                    </w:rPr>
                    <w:t>1.基础识别规则；</w:t>
                  </w:r>
                  <w:r>
                    <w:br/>
                  </w:r>
                  <w:r>
                    <w:rPr>
                      <w:sz w:val="22"/>
                      <w:color w:val="000000"/>
                    </w:rPr>
                    <w:t>2.例外排除规则(合理情形)；</w:t>
                  </w:r>
                  <w:r>
                    <w:br/>
                  </w:r>
                  <w:r>
                    <w:rPr>
                      <w:sz w:val="22"/>
                      <w:color w:val="000000"/>
                    </w:rPr>
                    <w:t>3.延伸扩展规则(针对其他重复/分解收费场景)；</w:t>
                  </w:r>
                  <w:r>
                    <w:br/>
                  </w:r>
                  <w:r>
                    <w:rPr>
                      <w:sz w:val="22"/>
                      <w:color w:val="000000"/>
                    </w:rPr>
                    <w:t>4.机构层面系统性违规识别指标。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超标准收费</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对超出标准的医疗服务项目收费情形进行监管。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w:t>
                  </w:r>
                  <w:r>
                    <w:br/>
                  </w:r>
                  <w:r>
                    <w:rPr>
                      <w:sz w:val="22"/>
                      <w:color w:val="000000"/>
                    </w:rPr>
                    <w:t>2.价格政策基准数据库；</w:t>
                  </w:r>
                  <w:r>
                    <w:br/>
                  </w:r>
                  <w:r>
                    <w:rPr>
                      <w:sz w:val="22"/>
                      <w:color w:val="000000"/>
                    </w:rPr>
                    <w:t>3.医疗机构诊疗行为数据；</w:t>
                  </w:r>
                  <w:r>
                    <w:br/>
                  </w:r>
                  <w:r>
                    <w:rPr>
                      <w:sz w:val="22"/>
                      <w:color w:val="000000"/>
                    </w:rPr>
                    <w:t>4.监管规则知识库。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sz w:val="22"/>
                      <w:color w:val="000000"/>
                    </w:rPr>
                    <w:t>对同一单据超出收费标准的医疗服务项目进行收费则违规。</w:t>
                  </w:r>
                  <w:r>
                    <w:br/>
                  </w:r>
                  <w:r>
                    <w:rPr>
                      <w:sz w:val="22"/>
                      <w:color w:val="000000"/>
                    </w:rPr>
                    <w:t>1.本地基准库映射搭建；</w:t>
                  </w:r>
                  <w:r>
                    <w:br/>
                  </w:r>
                  <w:r>
                    <w:rPr>
                      <w:sz w:val="22"/>
                      <w:color w:val="000000"/>
                    </w:rPr>
                    <w:t>2.全量结算数据匹配；</w:t>
                  </w:r>
                  <w:r>
                    <w:br/>
                  </w:r>
                  <w:r>
                    <w:rPr>
                      <w:sz w:val="22"/>
                      <w:color w:val="000000"/>
                    </w:rPr>
                    <w:t>3.多维度规则校验；</w:t>
                  </w:r>
                  <w:r>
                    <w:br/>
                  </w:r>
                  <w:r>
                    <w:rPr>
                      <w:sz w:val="22"/>
                      <w:color w:val="000000"/>
                    </w:rPr>
                    <w:t>4.合理情形排除。</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住院期间超频次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对住院期间医疗服务项目使用数量超过医疗服务项目目录规定的最高数量情形进行监管。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w:t>
                  </w:r>
                  <w:r>
                    <w:br/>
                  </w:r>
                  <w:r>
                    <w:rPr>
                      <w:sz w:val="22"/>
                      <w:color w:val="000000"/>
                    </w:rPr>
                    <w:t>2.价格政策基准数据库；</w:t>
                  </w:r>
                  <w:r>
                    <w:br/>
                  </w:r>
                  <w:r>
                    <w:rPr>
                      <w:sz w:val="22"/>
                      <w:color w:val="000000"/>
                    </w:rPr>
                    <w:t>3.医疗机构诊疗行为数据；</w:t>
                  </w:r>
                  <w:r>
                    <w:br/>
                  </w:r>
                  <w:r>
                    <w:rPr>
                      <w:sz w:val="22"/>
                      <w:color w:val="000000"/>
                    </w:rPr>
                    <w:t>4.监管规则知识库。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对住院期间同一医疗服务项目累计使用数量超过阈值则违规。</w:t>
                  </w:r>
                  <w:r>
                    <w:br/>
                  </w:r>
                  <w:r>
                    <w:rPr>
                      <w:sz w:val="22"/>
                      <w:color w:val="000000"/>
                    </w:rPr>
                    <w:t>1.基础识别规则(通用判定标准)；</w:t>
                  </w:r>
                  <w:r>
                    <w:br/>
                  </w:r>
                  <w:r>
                    <w:rPr>
                      <w:sz w:val="22"/>
                      <w:color w:val="000000"/>
                    </w:rPr>
                    <w:t>2.场景细分规则(典型违规情形)；</w:t>
                  </w:r>
                  <w:r>
                    <w:br/>
                  </w:r>
                  <w:r>
                    <w:rPr>
                      <w:sz w:val="22"/>
                      <w:color w:val="000000"/>
                    </w:rPr>
                    <w:t>3.例外排除规则(合理情形)；</w:t>
                  </w:r>
                  <w:r>
                    <w:br/>
                  </w:r>
                  <w:r>
                    <w:rPr>
                      <w:sz w:val="22"/>
                      <w:color w:val="000000"/>
                    </w:rPr>
                    <w:t>4.机构系统性违规识别特征。</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违反治疗项目禁忌症</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对违反有禁忌症的医疗服务项目情形进行监管。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1.医保结算明细数据；</w:t>
                  </w:r>
                  <w:r>
                    <w:br/>
                  </w:r>
                  <w:r>
                    <w:rPr>
                      <w:sz w:val="22"/>
                      <w:color w:val="000000"/>
                    </w:rPr>
                    <w:t>2.参保人基础信息数据；</w:t>
                  </w:r>
                  <w:r>
                    <w:br/>
                  </w:r>
                  <w:r>
                    <w:rPr>
                      <w:sz w:val="22"/>
                      <w:color w:val="000000"/>
                    </w:rPr>
                    <w:t>3.医疗机构诊疗行为数据；</w:t>
                  </w:r>
                  <w:r>
                    <w:br/>
                  </w:r>
                  <w:r>
                    <w:rPr>
                      <w:sz w:val="22"/>
                      <w:color w:val="000000"/>
                    </w:rPr>
                    <w:t>4.监管规则知识库。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对就诊信息中有禁忌症限定的医疗服务项目进行审核，如就诊信息中存在对应的禁忌诊断信息且该医疗服务项目纳入基本医疗保险基金支付，则疑似违规。</w:t>
                  </w:r>
                  <w:r>
                    <w:br/>
                  </w:r>
                  <w:r>
                    <w:rPr>
                      <w:sz w:val="22"/>
                      <w:color w:val="000000"/>
                    </w:rPr>
                    <w:t>1.本地规则库适配；</w:t>
                  </w:r>
                  <w:r>
                    <w:br/>
                  </w:r>
                  <w:r>
                    <w:rPr>
                      <w:sz w:val="22"/>
                      <w:color w:val="000000"/>
                    </w:rPr>
                    <w:t>2.患者特征关联匹配；</w:t>
                  </w:r>
                  <w:r>
                    <w:br/>
                  </w:r>
                  <w:r>
                    <w:rPr>
                      <w:sz w:val="22"/>
                      <w:color w:val="000000"/>
                    </w:rPr>
                    <w:t>3.禁忌症冲突校验；</w:t>
                  </w:r>
                  <w:r>
                    <w:br/>
                  </w:r>
                  <w:r>
                    <w:rPr>
                      <w:sz w:val="22"/>
                      <w:color w:val="000000"/>
                    </w:rPr>
                    <w:t>4.合理例外排除；</w:t>
                  </w:r>
                  <w:r>
                    <w:br/>
                  </w:r>
                  <w:r>
                    <w:rPr>
                      <w:sz w:val="22"/>
                      <w:color w:val="000000"/>
                    </w:rPr>
                    <w:t>5.违规性质判定；</w:t>
                  </w:r>
                  <w:r>
                    <w:br/>
                  </w:r>
                  <w:r>
                    <w:rPr>
                      <w:sz w:val="22"/>
                      <w:color w:val="000000"/>
                    </w:rPr>
                    <w:t>6.机构系统性违规识别特征；</w:t>
                  </w:r>
                  <w:r>
                    <w:br/>
                  </w:r>
                  <w:r>
                    <w:rPr>
                      <w:sz w:val="22"/>
                      <w:color w:val="000000"/>
                    </w:rPr>
                    <w:t>7.核心判定规则体系。</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项目仅独立开展方能收费</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对违反仅独立开展方可收费的医疗服务项目情形进行监管。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1.医保结算明细数据；</w:t>
                  </w:r>
                  <w:r>
                    <w:br/>
                  </w:r>
                  <w:r>
                    <w:rPr>
                      <w:sz w:val="22"/>
                      <w:color w:val="000000"/>
                    </w:rPr>
                    <w:t>2.项目关系基准数据库；</w:t>
                  </w:r>
                  <w:r>
                    <w:br/>
                  </w:r>
                  <w:r>
                    <w:rPr>
                      <w:sz w:val="22"/>
                      <w:color w:val="000000"/>
                    </w:rPr>
                    <w:t>3.医疗机构诊疗行为数据；</w:t>
                  </w:r>
                  <w:r>
                    <w:br/>
                  </w:r>
                  <w:r>
                    <w:rPr>
                      <w:sz w:val="22"/>
                      <w:color w:val="000000"/>
                    </w:rPr>
                    <w:t>4.监管规则知识库。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对就诊信息中有仅独立开展方可收费的医疗服务项目进行审核，如就诊信息中存在其他对应的医疗服务项目，则疑似违规。</w:t>
                  </w:r>
                  <w:r>
                    <w:br/>
                  </w:r>
                  <w:r>
                    <w:rPr>
                      <w:sz w:val="22"/>
                      <w:color w:val="000000"/>
                    </w:rPr>
                    <w:t>1.基础识别规则(通用判定标准)；</w:t>
                  </w:r>
                  <w:r>
                    <w:br/>
                  </w:r>
                  <w:r>
                    <w:rPr>
                      <w:sz w:val="22"/>
                      <w:color w:val="000000"/>
                    </w:rPr>
                    <w:t>2.场景细分规则(典型违规情形)；</w:t>
                  </w:r>
                  <w:r>
                    <w:br/>
                  </w:r>
                  <w:r>
                    <w:rPr>
                      <w:sz w:val="22"/>
                      <w:color w:val="000000"/>
                    </w:rPr>
                    <w:t>3.例外排除规则(合理情形)；</w:t>
                  </w:r>
                  <w:r>
                    <w:br/>
                  </w:r>
                  <w:r>
                    <w:rPr>
                      <w:sz w:val="22"/>
                      <w:color w:val="000000"/>
                    </w:rPr>
                    <w:t>4.核心判定规则体系。</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药品超目录规定支付天数</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对超出药品目录中规定的医保支付天数情形进行监管。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1.医保结算明细数据；</w:t>
                  </w:r>
                  <w:r>
                    <w:br/>
                  </w:r>
                  <w:r>
                    <w:rPr>
                      <w:sz w:val="22"/>
                      <w:color w:val="000000"/>
                    </w:rPr>
                    <w:t>2.药品目录基准数据库；</w:t>
                  </w:r>
                  <w:r>
                    <w:br/>
                  </w:r>
                  <w:r>
                    <w:rPr>
                      <w:sz w:val="22"/>
                      <w:color w:val="000000"/>
                    </w:rPr>
                    <w:t>3.医疗机构诊疗行为数据；</w:t>
                  </w:r>
                  <w:r>
                    <w:br/>
                  </w:r>
                  <w:r>
                    <w:rPr>
                      <w:sz w:val="22"/>
                      <w:color w:val="000000"/>
                    </w:rPr>
                    <w:t>4.监管规则知识库。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对就诊信息中超出支付天数的医疗服务项目进行审核，如就诊信息中存在超出支付天数的医疗服务项目收费则违规。</w:t>
                  </w:r>
                  <w:r>
                    <w:br/>
                  </w:r>
                  <w:r>
                    <w:rPr>
                      <w:sz w:val="22"/>
                      <w:color w:val="000000"/>
                    </w:rPr>
                    <w:t>采用</w:t>
                  </w:r>
                  <w:r>
                    <w:rPr>
                      <w:sz w:val="22"/>
                      <w:color w:val="000000"/>
                    </w:rPr>
                    <w:t>“规则库搭建→处方可使用天数计算→阈值比对→合理排除→违规确认”五步流程，将低误判率控制在1%以内。</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年底突击使用公补基金</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对每年度年底</w:t>
                  </w:r>
                  <w:r>
                    <w:rPr>
                      <w:sz w:val="22"/>
                      <w:color w:val="000000"/>
                    </w:rPr>
                    <w:t>11月或12月公补人员突击使用公补基金的情形进行监管。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p>
                <w:p>
                  <w:pPr>
                    <w:pStyle w:val="null3"/>
                    <w:jc w:val="left"/>
                  </w:pPr>
                  <w:r>
                    <w:rPr>
                      <w:sz w:val="22"/>
                      <w:color w:val="000000"/>
                    </w:rPr>
                    <w:t>1.医保结算明细数据；</w:t>
                  </w:r>
                  <w:r>
                    <w:br/>
                  </w:r>
                  <w:r>
                    <w:rPr>
                      <w:sz w:val="22"/>
                      <w:color w:val="000000"/>
                    </w:rPr>
                    <w:t>2.定点医药机构基础数据；</w:t>
                  </w:r>
                  <w:r>
                    <w:br/>
                  </w:r>
                  <w:r>
                    <w:rPr>
                      <w:sz w:val="22"/>
                      <w:color w:val="000000"/>
                    </w:rPr>
                    <w:t>3.医疗机构诊疗行为数据。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p>
                <w:p>
                  <w:pPr>
                    <w:pStyle w:val="null3"/>
                    <w:jc w:val="left"/>
                  </w:pPr>
                  <w:r>
                    <w:rPr>
                      <w:sz w:val="19"/>
                    </w:rPr>
                    <w:t xml:space="preserve"> </w:t>
                  </w:r>
                </w:p>
                <w:p>
                  <w:pPr>
                    <w:pStyle w:val="null3"/>
                    <w:jc w:val="left"/>
                  </w:pPr>
                  <w:r>
                    <w:rPr>
                      <w:sz w:val="22"/>
                      <w:color w:val="000000"/>
                    </w:rPr>
                    <w:t>对每年度年底</w:t>
                  </w:r>
                  <w:r>
                    <w:rPr>
                      <w:sz w:val="22"/>
                      <w:color w:val="000000"/>
                    </w:rPr>
                    <w:t>11月或12月同一公补人员突击使用金额超过2000元(费用金额阈值可调)为疑似违规行为。</w:t>
                  </w:r>
                  <w:r>
                    <w:br/>
                  </w:r>
                  <w:r>
                    <w:rPr>
                      <w:sz w:val="22"/>
                      <w:color w:val="000000"/>
                    </w:rPr>
                    <w:t>1.个人层面异常规则或单月支出超阈值金额大概率存在突击使用行为；</w:t>
                  </w:r>
                  <w:r>
                    <w:br/>
                  </w:r>
                  <w:r>
                    <w:rPr>
                      <w:sz w:val="22"/>
                      <w:color w:val="000000"/>
                    </w:rPr>
                    <w:t>2.机构层面异常规则；</w:t>
                  </w:r>
                  <w:r>
                    <w:br/>
                  </w:r>
                  <w:r>
                    <w:rPr>
                      <w:sz w:val="22"/>
                      <w:color w:val="000000"/>
                    </w:rPr>
                    <w:t>3.行为层面异常规则；</w:t>
                  </w:r>
                  <w:r>
                    <w:br/>
                  </w:r>
                  <w:r>
                    <w:rPr>
                      <w:sz w:val="22"/>
                      <w:color w:val="000000"/>
                    </w:rPr>
                    <w:t>4.全流程筛查逻辑。</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院内制剂超量使用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对院内制剂超出规定的数量情形进行监管。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1.医保结算明细数据；</w:t>
                  </w:r>
                  <w:r>
                    <w:br/>
                  </w:r>
                  <w:r>
                    <w:rPr>
                      <w:sz w:val="22"/>
                      <w:color w:val="000000"/>
                    </w:rPr>
                    <w:t>2.院内制剂目录基准数据库；</w:t>
                  </w:r>
                  <w:r>
                    <w:br/>
                  </w:r>
                  <w:r>
                    <w:rPr>
                      <w:sz w:val="22"/>
                      <w:color w:val="000000"/>
                    </w:rPr>
                    <w:t>3.医疗机构诊疗行为数据；</w:t>
                  </w:r>
                  <w:r>
                    <w:br/>
                  </w:r>
                  <w:r>
                    <w:rPr>
                      <w:sz w:val="22"/>
                      <w:color w:val="000000"/>
                    </w:rPr>
                    <w:t>4.药品监管部门备案数据；</w:t>
                  </w:r>
                  <w:r>
                    <w:br/>
                  </w:r>
                  <w:r>
                    <w:rPr>
                      <w:sz w:val="22"/>
                      <w:color w:val="000000"/>
                    </w:rPr>
                    <w:t>5.监管规则知识库。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对医保结算数据中院内制剂使用数量超过阈值则违规。</w:t>
                  </w:r>
                  <w:r>
                    <w:br/>
                  </w:r>
                  <w:r>
                    <w:rPr>
                      <w:sz w:val="22"/>
                      <w:color w:val="000000"/>
                    </w:rPr>
                    <w:t>1.核心判定规则体系；</w:t>
                  </w:r>
                  <w:r>
                    <w:br/>
                  </w:r>
                  <w:r>
                    <w:rPr>
                      <w:sz w:val="22"/>
                      <w:color w:val="000000"/>
                    </w:rPr>
                    <w:t>2.全流程筛查逻辑；</w:t>
                  </w:r>
                  <w:r>
                    <w:br/>
                  </w:r>
                  <w:r>
                    <w:rPr>
                      <w:sz w:val="22"/>
                      <w:color w:val="000000"/>
                    </w:rPr>
                    <w:t>3.机构系统性违规识别特征。</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药品限性别</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该模型针对医保目录中明确标注支付范围限制的药品，通过关联参保人性别、诊断信息与结算药品明细，精准识别不符合限定条件的违规使用行为。</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1.药品结算明细数据</w:t>
                  </w:r>
                  <w:r>
                    <w:br/>
                  </w:r>
                  <w:r>
                    <w:rPr>
                      <w:sz w:val="22"/>
                      <w:color w:val="000000"/>
                    </w:rPr>
                    <w:t>2.参保人基础信息数据</w:t>
                  </w:r>
                  <w:r>
                    <w:br/>
                  </w:r>
                  <w:r>
                    <w:rPr>
                      <w:sz w:val="22"/>
                      <w:color w:val="000000"/>
                    </w:rPr>
                    <w:t>3.性别限制药品规则库</w:t>
                  </w:r>
                  <w:r>
                    <w:br/>
                  </w:r>
                  <w:r>
                    <w:rPr>
                      <w:sz w:val="22"/>
                      <w:color w:val="000000"/>
                    </w:rPr>
                    <w:t>4.诊断数据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1.核心判定逻辑</w:t>
                  </w:r>
                  <w:r>
                    <w:br/>
                  </w:r>
                  <w:r>
                    <w:rPr>
                      <w:sz w:val="22"/>
                      <w:color w:val="000000"/>
                    </w:rPr>
                    <w:t>(1)规则库构建；</w:t>
                  </w:r>
                  <w:r>
                    <w:br/>
                  </w:r>
                  <w:r>
                    <w:rPr>
                      <w:sz w:val="22"/>
                      <w:color w:val="000000"/>
                    </w:rPr>
                    <w:t>(2)违规情形判定。</w:t>
                  </w:r>
                  <w:r>
                    <w:br/>
                  </w:r>
                  <w:r>
                    <w:rPr>
                      <w:sz w:val="22"/>
                      <w:color w:val="000000"/>
                    </w:rPr>
                    <w:t>2.例外豁免规则</w:t>
                  </w:r>
                  <w:r>
                    <w:br/>
                  </w:r>
                  <w:r>
                    <w:rPr>
                      <w:sz w:val="22"/>
                      <w:color w:val="000000"/>
                    </w:rPr>
                    <w:t>(1)跨性别适应症用药场景；</w:t>
                  </w:r>
                  <w:r>
                    <w:br/>
                  </w:r>
                  <w:r>
                    <w:rPr>
                      <w:sz w:val="22"/>
                      <w:color w:val="000000"/>
                    </w:rPr>
                    <w:t>(2)特殊疾病治疗场景；</w:t>
                  </w:r>
                  <w:r>
                    <w:br/>
                  </w:r>
                  <w:r>
                    <w:rPr>
                      <w:sz w:val="22"/>
                      <w:color w:val="000000"/>
                    </w:rPr>
                    <w:t>(3)性别重置治疗场景。</w:t>
                  </w:r>
                  <w:r>
                    <w:br/>
                  </w:r>
                  <w:r>
                    <w:rPr>
                      <w:sz w:val="22"/>
                      <w:color w:val="000000"/>
                    </w:rPr>
                    <w:t>3.分级预警逻辑</w:t>
                  </w:r>
                  <w:r>
                    <w:br/>
                  </w:r>
                  <w:r>
                    <w:rPr>
                      <w:sz w:val="22"/>
                      <w:color w:val="000000"/>
                    </w:rPr>
                    <w:t>(1)高风险预警；</w:t>
                  </w:r>
                  <w:r>
                    <w:br/>
                  </w:r>
                  <w:r>
                    <w:rPr>
                      <w:sz w:val="22"/>
                      <w:color w:val="000000"/>
                    </w:rPr>
                    <w:t>(2)中风险预警；</w:t>
                  </w:r>
                  <w:r>
                    <w:br/>
                  </w:r>
                  <w:r>
                    <w:rPr>
                      <w:sz w:val="22"/>
                      <w:color w:val="000000"/>
                    </w:rPr>
                    <w:t>(3)低风险预警。</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高频就医</w:t>
                  </w:r>
                  <w:r>
                    <w:rPr>
                      <w:sz w:val="22"/>
                      <w:color w:val="000000"/>
                    </w:rPr>
                    <w:t>(门诊高频就医(年就诊≥30次）、住院高频就医(年住院≥10次））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按年度对参保人高频就医</w:t>
                  </w:r>
                  <w:r>
                    <w:rPr>
                      <w:sz w:val="22"/>
                      <w:color w:val="000000"/>
                    </w:rPr>
                    <w:t>(门诊高频就医(年就诊≥30次）、住院高频就医(年住院≥10次))情形进行监管。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1.医保结算明细数据；</w:t>
                  </w:r>
                  <w:r>
                    <w:br/>
                  </w:r>
                  <w:r>
                    <w:rPr>
                      <w:sz w:val="22"/>
                      <w:color w:val="000000"/>
                    </w:rPr>
                    <w:t>2.参保人基础信息数据；</w:t>
                  </w:r>
                  <w:r>
                    <w:br/>
                  </w:r>
                  <w:r>
                    <w:rPr>
                      <w:sz w:val="22"/>
                      <w:color w:val="000000"/>
                    </w:rPr>
                    <w:t>3.医疗机构诊疗行为数据；</w:t>
                  </w:r>
                  <w:r>
                    <w:br/>
                  </w:r>
                  <w:r>
                    <w:rPr>
                      <w:sz w:val="22"/>
                      <w:color w:val="000000"/>
                    </w:rPr>
                    <w:t>4.监管规则知识库。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对医保结算数据中参保人门诊年就诊次数</w:t>
                  </w:r>
                  <w:r>
                    <w:rPr>
                      <w:sz w:val="22"/>
                      <w:color w:val="000000"/>
                    </w:rPr>
                    <w:t>≥30次或年住院次数≥10次发生的医保结算数据为疑似违规数据。</w:t>
                  </w:r>
                  <w:r>
                    <w:br/>
                  </w:r>
                  <w:r>
                    <w:rPr>
                      <w:sz w:val="22"/>
                      <w:color w:val="000000"/>
                    </w:rPr>
                    <w:t>1.核心判定规则体系；</w:t>
                  </w:r>
                  <w:r>
                    <w:br/>
                  </w:r>
                  <w:r>
                    <w:rPr>
                      <w:sz w:val="22"/>
                      <w:color w:val="000000"/>
                    </w:rPr>
                    <w:t>2.全流程筛查逻辑；</w:t>
                  </w:r>
                  <w:r>
                    <w:br/>
                  </w:r>
                  <w:r>
                    <w:rPr>
                      <w:sz w:val="22"/>
                      <w:color w:val="000000"/>
                    </w:rPr>
                    <w:t>3.机构系统性违规识别特征。</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长期住院</w:t>
                  </w:r>
                  <w:r>
                    <w:rPr>
                      <w:sz w:val="22"/>
                      <w:color w:val="000000"/>
                    </w:rPr>
                    <w:t>(年住院≥30天）</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对参保人长期住院的情形进行监管。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1.医保结算明细数据；</w:t>
                  </w:r>
                  <w:r>
                    <w:br/>
                  </w:r>
                  <w:r>
                    <w:rPr>
                      <w:sz w:val="22"/>
                      <w:color w:val="000000"/>
                    </w:rPr>
                    <w:t>2.定点医疗机构基础数据；</w:t>
                  </w:r>
                  <w:r>
                    <w:br/>
                  </w:r>
                  <w:r>
                    <w:rPr>
                      <w:sz w:val="22"/>
                      <w:color w:val="000000"/>
                    </w:rPr>
                    <w:t>3.医疗机构诊疗行为数据；</w:t>
                  </w:r>
                  <w:r>
                    <w:br/>
                  </w:r>
                  <w:r>
                    <w:rPr>
                      <w:sz w:val="22"/>
                      <w:color w:val="000000"/>
                    </w:rPr>
                    <w:t>4.监管规则知识库。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对医保结算数据中参保人实际年住院</w:t>
                  </w:r>
                  <w:r>
                    <w:rPr>
                      <w:sz w:val="22"/>
                      <w:color w:val="000000"/>
                    </w:rPr>
                    <w:t>≥30次发生的为疑似违规行为。</w:t>
                  </w:r>
                  <w:r>
                    <w:br/>
                  </w:r>
                  <w:r>
                    <w:rPr>
                      <w:sz w:val="22"/>
                      <w:color w:val="000000"/>
                    </w:rPr>
                    <w:t>1.硬阈值初筛规则（必触发）；</w:t>
                  </w:r>
                  <w:r>
                    <w:br/>
                  </w:r>
                  <w:r>
                    <w:rPr>
                      <w:sz w:val="22"/>
                      <w:color w:val="000000"/>
                    </w:rPr>
                    <w:t>2.合规长期住院排除规则（无需后续核验，直接判定为合理）；</w:t>
                  </w:r>
                  <w:r>
                    <w:br/>
                  </w:r>
                  <w:r>
                    <w:rPr>
                      <w:sz w:val="22"/>
                      <w:color w:val="000000"/>
                    </w:rPr>
                    <w:t>3.违规高疑似判定规则；</w:t>
                  </w:r>
                  <w:r>
                    <w:br/>
                  </w:r>
                  <w:r>
                    <w:rPr>
                      <w:sz w:val="22"/>
                      <w:color w:val="000000"/>
                    </w:rPr>
                    <w:t>4.全流程筛查逻辑；</w:t>
                  </w:r>
                  <w:r>
                    <w:br/>
                  </w:r>
                  <w:r>
                    <w:rPr>
                      <w:sz w:val="22"/>
                      <w:color w:val="000000"/>
                    </w:rPr>
                    <w:t>5.机构系统性违规识别特征。</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公补金额</w:t>
                  </w:r>
                  <w:r>
                    <w:rPr>
                      <w:sz w:val="22"/>
                      <w:color w:val="000000"/>
                    </w:rPr>
                    <w:t>使用</w:t>
                  </w:r>
                  <w:r>
                    <w:rPr>
                      <w:sz w:val="22"/>
                      <w:color w:val="000000"/>
                    </w:rPr>
                    <w:t>(年门诊使用≥4500元）</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对每年度公补人员定额使用</w:t>
                  </w:r>
                  <w:r>
                    <w:rPr>
                      <w:sz w:val="22"/>
                      <w:color w:val="000000"/>
                    </w:rPr>
                    <w:t>(使用公补基金≥4500元)的情形进行监管。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1.医保结算明细数据；</w:t>
                  </w:r>
                  <w:r>
                    <w:br/>
                  </w:r>
                  <w:r>
                    <w:rPr>
                      <w:sz w:val="22"/>
                      <w:color w:val="000000"/>
                    </w:rPr>
                    <w:t>2.定点医药机构基础数据；</w:t>
                  </w:r>
                  <w:r>
                    <w:br/>
                  </w:r>
                  <w:r>
                    <w:rPr>
                      <w:sz w:val="22"/>
                      <w:color w:val="000000"/>
                    </w:rPr>
                    <w:t>3.医疗机构诊疗行为数据；</w:t>
                  </w:r>
                  <w:r>
                    <w:br/>
                  </w:r>
                  <w:r>
                    <w:rPr>
                      <w:sz w:val="22"/>
                      <w:color w:val="000000"/>
                    </w:rPr>
                    <w:t>4.监管规则知识库。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对每年度同一公补人员累计使用公补金额</w:t>
                  </w:r>
                  <w:r>
                    <w:rPr>
                      <w:sz w:val="22"/>
                      <w:color w:val="000000"/>
                    </w:rPr>
                    <w:t>≥4500元为疑似违规行为。</w:t>
                  </w:r>
                  <w:r>
                    <w:br/>
                  </w:r>
                  <w:r>
                    <w:rPr>
                      <w:sz w:val="22"/>
                      <w:color w:val="000000"/>
                    </w:rPr>
                    <w:t>1.基础阈值初筛规则；</w:t>
                  </w:r>
                  <w:r>
                    <w:br/>
                  </w:r>
                  <w:r>
                    <w:rPr>
                      <w:sz w:val="22"/>
                      <w:color w:val="000000"/>
                    </w:rPr>
                    <w:t>2.费用合理性判定规则；</w:t>
                  </w:r>
                  <w:r>
                    <w:br/>
                  </w:r>
                  <w:r>
                    <w:rPr>
                      <w:sz w:val="22"/>
                      <w:color w:val="000000"/>
                    </w:rPr>
                    <w:t>3.场景细分规则(典型违规情形)；</w:t>
                  </w:r>
                  <w:r>
                    <w:br/>
                  </w:r>
                  <w:r>
                    <w:rPr>
                      <w:sz w:val="22"/>
                      <w:color w:val="000000"/>
                    </w:rPr>
                    <w:t>4.例外排除规则(合理情形)。</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医生同名开单</w:t>
                  </w:r>
                  <w:r>
                    <w:rPr>
                      <w:sz w:val="22"/>
                      <w:color w:val="000000"/>
                    </w:rPr>
                    <w:t>(为本人开具处方)</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对医生同名开单</w:t>
                  </w:r>
                  <w:r>
                    <w:rPr>
                      <w:sz w:val="22"/>
                      <w:color w:val="000000"/>
                    </w:rPr>
                    <w:t>(为本人开具处方)的情形进行监管。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1.医保结算明细数据；</w:t>
                  </w:r>
                  <w:r>
                    <w:br/>
                  </w:r>
                  <w:r>
                    <w:rPr>
                      <w:sz w:val="22"/>
                      <w:color w:val="000000"/>
                    </w:rPr>
                    <w:t>2.医保医师备案数据库；</w:t>
                  </w:r>
                  <w:r>
                    <w:br/>
                  </w:r>
                  <w:r>
                    <w:rPr>
                      <w:sz w:val="22"/>
                      <w:color w:val="000000"/>
                    </w:rPr>
                    <w:t>3.参保人基础信息数据；</w:t>
                  </w:r>
                  <w:r>
                    <w:br/>
                  </w:r>
                  <w:r>
                    <w:rPr>
                      <w:sz w:val="22"/>
                      <w:color w:val="000000"/>
                    </w:rPr>
                    <w:t>4.医疗机构诊疗行为数据；</w:t>
                  </w:r>
                  <w:r>
                    <w:br/>
                  </w:r>
                  <w:r>
                    <w:rPr>
                      <w:sz w:val="22"/>
                      <w:color w:val="000000"/>
                    </w:rPr>
                    <w:t>5.监管规则知识库。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对开单医生为本人开具处方并医保结算的为疑似违规行为。</w:t>
                  </w:r>
                  <w:r>
                    <w:br/>
                  </w:r>
                  <w:r>
                    <w:rPr>
                      <w:sz w:val="22"/>
                      <w:color w:val="000000"/>
                    </w:rPr>
                    <w:t>1.基础身份匹配规则；</w:t>
                  </w:r>
                  <w:r>
                    <w:br/>
                  </w:r>
                  <w:r>
                    <w:rPr>
                      <w:sz w:val="22"/>
                      <w:color w:val="000000"/>
                    </w:rPr>
                    <w:t>2.处方真实性验证规则；</w:t>
                  </w:r>
                  <w:r>
                    <w:br/>
                  </w:r>
                  <w:r>
                    <w:rPr>
                      <w:sz w:val="22"/>
                      <w:color w:val="000000"/>
                    </w:rPr>
                    <w:t>3.处方合理性判定规则；</w:t>
                  </w:r>
                  <w:r>
                    <w:br/>
                  </w:r>
                  <w:r>
                    <w:rPr>
                      <w:sz w:val="22"/>
                      <w:color w:val="000000"/>
                    </w:rPr>
                    <w:t>4.场景细分规则(典型违规情形)；</w:t>
                  </w:r>
                  <w:r>
                    <w:br/>
                  </w:r>
                  <w:r>
                    <w:rPr>
                      <w:sz w:val="22"/>
                      <w:color w:val="000000"/>
                    </w:rPr>
                    <w:t>5.例外排除规则(合理情形)。</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过量开药</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对开具药品的药量超出规定药量的情形进行监管。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1.医保结算明细数据；</w:t>
                  </w:r>
                  <w:r>
                    <w:br/>
                  </w:r>
                  <w:r>
                    <w:rPr>
                      <w:sz w:val="22"/>
                      <w:color w:val="000000"/>
                    </w:rPr>
                    <w:t>2.药品基准数据库；</w:t>
                  </w:r>
                  <w:r>
                    <w:br/>
                  </w:r>
                  <w:r>
                    <w:rPr>
                      <w:sz w:val="22"/>
                      <w:color w:val="000000"/>
                    </w:rPr>
                    <w:t>3.参保人基础信息数据；</w:t>
                  </w:r>
                  <w:r>
                    <w:br/>
                  </w:r>
                  <w:r>
                    <w:rPr>
                      <w:sz w:val="22"/>
                      <w:color w:val="000000"/>
                    </w:rPr>
                    <w:t>4.医疗机构诊疗行为数据；</w:t>
                  </w:r>
                  <w:r>
                    <w:br/>
                  </w:r>
                  <w:r>
                    <w:rPr>
                      <w:sz w:val="22"/>
                      <w:color w:val="000000"/>
                    </w:rPr>
                    <w:t>5.定点医药机构基础数据。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对同一次开具药品药量超出标准药量并医保结算的为疑似违规行为。</w:t>
                  </w:r>
                  <w:r>
                    <w:br/>
                  </w:r>
                  <w:r>
                    <w:rPr>
                      <w:sz w:val="22"/>
                      <w:color w:val="000000"/>
                    </w:rPr>
                    <w:t>1.基础剂量阈值初筛规则；</w:t>
                  </w:r>
                  <w:r>
                    <w:br/>
                  </w:r>
                  <w:r>
                    <w:rPr>
                      <w:sz w:val="22"/>
                      <w:color w:val="000000"/>
                    </w:rPr>
                    <w:t>2.用药合理性判定规则；</w:t>
                  </w:r>
                  <w:r>
                    <w:br/>
                  </w:r>
                  <w:r>
                    <w:rPr>
                      <w:sz w:val="22"/>
                      <w:color w:val="000000"/>
                    </w:rPr>
                    <w:t>3.场景细分规则(典型违规情形)；</w:t>
                  </w:r>
                  <w:r>
                    <w:br/>
                  </w:r>
                  <w:r>
                    <w:rPr>
                      <w:sz w:val="22"/>
                      <w:color w:val="000000"/>
                    </w:rPr>
                    <w:t>4.例外排除规则(合理情形)。</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过度诊疗</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对为无相关疾病或无阳性指征普通患者常规开展诊疗项目的情形进行监管。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1.医保结算明细数据；</w:t>
                  </w:r>
                  <w:r>
                    <w:br/>
                  </w:r>
                  <w:r>
                    <w:rPr>
                      <w:sz w:val="22"/>
                      <w:color w:val="000000"/>
                    </w:rPr>
                    <w:t>2.医院诊疗数据；</w:t>
                  </w:r>
                  <w:r>
                    <w:br/>
                  </w:r>
                  <w:r>
                    <w:rPr>
                      <w:sz w:val="22"/>
                      <w:color w:val="000000"/>
                    </w:rPr>
                    <w:t>3.参保人基础信息数据；</w:t>
                  </w:r>
                  <w:r>
                    <w:br/>
                  </w:r>
                  <w:r>
                    <w:rPr>
                      <w:sz w:val="22"/>
                      <w:color w:val="000000"/>
                    </w:rPr>
                    <w:t>4.外部协同数据。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对为无相关疾病或无阳性指征普通患者常规开展相关的检验或检查项目并医保结算的为疑似违规行为。</w:t>
                  </w:r>
                  <w:r>
                    <w:br/>
                  </w:r>
                  <w:r>
                    <w:rPr>
                      <w:sz w:val="22"/>
                      <w:color w:val="000000"/>
                    </w:rPr>
                    <w:t>1.合理性匹配规则；</w:t>
                  </w:r>
                  <w:r>
                    <w:br/>
                  </w:r>
                  <w:r>
                    <w:rPr>
                      <w:sz w:val="22"/>
                      <w:color w:val="000000"/>
                    </w:rPr>
                    <w:t>2.诊疗规范类规则；</w:t>
                  </w:r>
                  <w:r>
                    <w:br/>
                  </w:r>
                  <w:r>
                    <w:rPr>
                      <w:sz w:val="22"/>
                      <w:color w:val="000000"/>
                    </w:rPr>
                    <w:t>3.费用结构规则；</w:t>
                  </w:r>
                  <w:r>
                    <w:br/>
                  </w:r>
                  <w:r>
                    <w:rPr>
                      <w:sz w:val="22"/>
                      <w:color w:val="000000"/>
                    </w:rPr>
                    <w:t>4.行为频次规则；</w:t>
                  </w:r>
                  <w:r>
                    <w:br/>
                  </w:r>
                  <w:r>
                    <w:rPr>
                      <w:sz w:val="22"/>
                      <w:color w:val="000000"/>
                    </w:rPr>
                    <w:t>5.DRG/DIP专项规则。</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费用转嫁</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sz w:val="22"/>
                      <w:color w:val="000000"/>
                    </w:rPr>
                    <w:t>医疗机构为减少住院期间产生的服务成本，将住院成本向门诊转移、医保费用向自费转移等行为。</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1.医保结算数据(医保结算系统)；</w:t>
                  </w:r>
                  <w:r>
                    <w:br/>
                  </w:r>
                  <w:r>
                    <w:rPr>
                      <w:sz w:val="22"/>
                      <w:color w:val="000000"/>
                    </w:rPr>
                    <w:t>2.医疗机构运行数据；</w:t>
                  </w:r>
                  <w:r>
                    <w:br/>
                  </w:r>
                  <w:r>
                    <w:rPr>
                      <w:sz w:val="22"/>
                      <w:color w:val="000000"/>
                    </w:rPr>
                    <w:t>3.外部关联数据。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1.住院费用向门诊转嫁；</w:t>
                  </w:r>
                  <w:r>
                    <w:br/>
                  </w:r>
                  <w:r>
                    <w:rPr>
                      <w:sz w:val="22"/>
                      <w:color w:val="000000"/>
                    </w:rPr>
                    <w:t>2.医保费用向自费转嫁；</w:t>
                  </w:r>
                  <w:r>
                    <w:br/>
                  </w:r>
                  <w:r>
                    <w:rPr>
                      <w:sz w:val="22"/>
                      <w:color w:val="000000"/>
                    </w:rPr>
                    <w:t>3.院内成本向院外转嫁。</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高套编码</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对将低分值的诊断、手术操作码编成高分值的医保病种编码的情形进行监管。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w:t>
                  </w:r>
                  <w:r>
                    <w:br/>
                  </w:r>
                  <w:r>
                    <w:rPr>
                      <w:sz w:val="22"/>
                      <w:color w:val="000000"/>
                    </w:rPr>
                    <w:t>2.医院诊疗数据；</w:t>
                  </w:r>
                  <w:r>
                    <w:br/>
                  </w:r>
                  <w:r>
                    <w:rPr>
                      <w:sz w:val="22"/>
                      <w:color w:val="000000"/>
                    </w:rPr>
                    <w:t>3.编码标准数据。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br/>
                  </w:r>
                  <w:r>
                    <w:rPr>
                      <w:sz w:val="22"/>
                      <w:color w:val="000000"/>
                    </w:rPr>
                    <w:t>1.主诊断高套规则；</w:t>
                  </w:r>
                  <w:r>
                    <w:br/>
                  </w:r>
                  <w:r>
                    <w:rPr>
                      <w:sz w:val="22"/>
                      <w:color w:val="000000"/>
                    </w:rPr>
                    <w:t>2.CC/MCC虚增规则；</w:t>
                  </w:r>
                  <w:r>
                    <w:br/>
                  </w:r>
                  <w:r>
                    <w:rPr>
                      <w:sz w:val="22"/>
                      <w:color w:val="000000"/>
                    </w:rPr>
                    <w:t>3.手术编码高套规则；</w:t>
                  </w:r>
                  <w:r>
                    <w:br/>
                  </w:r>
                  <w:r>
                    <w:rPr>
                      <w:sz w:val="22"/>
                      <w:color w:val="000000"/>
                    </w:rPr>
                    <w:t>4.DIP分组规则校验。</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低套编码</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对将高分值的诊断、手术操作码编成低分值的医保病种编码的情形进行监管。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w:t>
                  </w:r>
                  <w:r>
                    <w:br/>
                  </w:r>
                  <w:r>
                    <w:rPr>
                      <w:sz w:val="22"/>
                      <w:color w:val="000000"/>
                    </w:rPr>
                    <w:t>2.医院诊疗数据；</w:t>
                  </w:r>
                  <w:r>
                    <w:br/>
                  </w:r>
                  <w:r>
                    <w:rPr>
                      <w:sz w:val="22"/>
                      <w:color w:val="000000"/>
                    </w:rPr>
                    <w:t>3.编码标准数据。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1.主诊断低套规则；</w:t>
                  </w:r>
                  <w:r>
                    <w:br/>
                  </w:r>
                  <w:r>
                    <w:rPr>
                      <w:sz w:val="22"/>
                      <w:color w:val="000000"/>
                    </w:rPr>
                    <w:t>2.CC/MCC漏报规则；</w:t>
                  </w:r>
                  <w:r>
                    <w:br/>
                  </w:r>
                  <w:r>
                    <w:rPr>
                      <w:sz w:val="22"/>
                      <w:color w:val="000000"/>
                    </w:rPr>
                    <w:t>3.手术编码低套规则；</w:t>
                  </w:r>
                  <w:r>
                    <w:br/>
                  </w:r>
                  <w:r>
                    <w:rPr>
                      <w:sz w:val="22"/>
                      <w:color w:val="000000"/>
                    </w:rPr>
                    <w:t>4.DIP支付规则校验。</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无指征用药</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无指征用药是指医疗机构或医务人员违反临床诊疗规范，在患者没有明确用药适应症的情况下开具药品，造成医保基金不合理支出的违规行为进行监管。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w:t>
                  </w:r>
                  <w:r>
                    <w:br/>
                  </w:r>
                  <w:r>
                    <w:rPr>
                      <w:sz w:val="22"/>
                      <w:color w:val="000000"/>
                    </w:rPr>
                    <w:t>2.医院诊疗数据；</w:t>
                  </w:r>
                  <w:r>
                    <w:br/>
                  </w:r>
                  <w:r>
                    <w:rPr>
                      <w:sz w:val="22"/>
                      <w:color w:val="000000"/>
                    </w:rPr>
                    <w:t>3.药品标准数据。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对为无相关疾病患者开具相关疾病的药品并医保结算的为疑似违规行为。</w:t>
                  </w:r>
                  <w:r>
                    <w:br/>
                  </w:r>
                  <w:r>
                    <w:rPr>
                      <w:sz w:val="22"/>
                      <w:color w:val="000000"/>
                    </w:rPr>
                    <w:t>1.适应症匹配规则；</w:t>
                  </w:r>
                  <w:r>
                    <w:br/>
                  </w:r>
                  <w:r>
                    <w:rPr>
                      <w:sz w:val="22"/>
                      <w:color w:val="000000"/>
                    </w:rPr>
                    <w:t>2.人群限制规则；</w:t>
                  </w:r>
                  <w:r>
                    <w:br/>
                  </w:r>
                  <w:r>
                    <w:rPr>
                      <w:sz w:val="22"/>
                      <w:color w:val="000000"/>
                    </w:rPr>
                    <w:t>3.诊疗行为匹配规则；</w:t>
                  </w:r>
                  <w:r>
                    <w:br/>
                  </w:r>
                  <w:r>
                    <w:rPr>
                      <w:sz w:val="22"/>
                      <w:color w:val="000000"/>
                    </w:rPr>
                    <w:t>4.医保支付限制规则；</w:t>
                  </w:r>
                  <w:r>
                    <w:br/>
                  </w:r>
                  <w:r>
                    <w:rPr>
                      <w:sz w:val="22"/>
                      <w:color w:val="000000"/>
                    </w:rPr>
                    <w:t>5.药品联用规则；</w:t>
                  </w:r>
                  <w:r>
                    <w:br/>
                  </w:r>
                  <w:r>
                    <w:rPr>
                      <w:sz w:val="22"/>
                      <w:color w:val="000000"/>
                    </w:rPr>
                    <w:t>6.追溯码校验规则。</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串换项目</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对将非医保支付项目、低价项目或自费项目，串换为医保目录内的高价项目进行结算，套取医保基金的情形进行监管。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w:t>
                  </w:r>
                  <w:r>
                    <w:br/>
                  </w:r>
                  <w:r>
                    <w:rPr>
                      <w:sz w:val="22"/>
                      <w:color w:val="000000"/>
                    </w:rPr>
                    <w:t>2.编码标准数据；</w:t>
                  </w:r>
                  <w:r>
                    <w:br/>
                  </w:r>
                  <w:r>
                    <w:rPr>
                      <w:sz w:val="22"/>
                      <w:color w:val="000000"/>
                    </w:rPr>
                    <w:t>3.医药机构内部数据；</w:t>
                  </w:r>
                  <w:r>
                    <w:br/>
                  </w:r>
                  <w:r>
                    <w:rPr>
                      <w:sz w:val="22"/>
                      <w:color w:val="000000"/>
                    </w:rPr>
                    <w:t>4.全链条追溯数据；</w:t>
                  </w:r>
                  <w:r>
                    <w:br/>
                  </w:r>
                  <w:r>
                    <w:rPr>
                      <w:sz w:val="22"/>
                      <w:color w:val="000000"/>
                    </w:rPr>
                    <w:t>5.数据需求搭建。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1.跨系统数据对齐；</w:t>
                  </w:r>
                  <w:r>
                    <w:br/>
                  </w:r>
                  <w:r>
                    <w:rPr>
                      <w:sz w:val="22"/>
                      <w:color w:val="000000"/>
                    </w:rPr>
                    <w:t>2.多维度规则校验；</w:t>
                  </w:r>
                  <w:r>
                    <w:br/>
                  </w:r>
                  <w:r>
                    <w:rPr>
                      <w:sz w:val="22"/>
                      <w:color w:val="000000"/>
                    </w:rPr>
                    <w:t>3.合理情形排除；</w:t>
                  </w:r>
                  <w:r>
                    <w:br/>
                  </w:r>
                  <w:r>
                    <w:rPr>
                      <w:sz w:val="22"/>
                      <w:color w:val="000000"/>
                    </w:rPr>
                    <w:t>4.违规性质认定。</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分解住院</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分解住院是指医疗机构在患者尚未达到出院标准的情况下，通过人为办理出院、再重新办理住院的方式，对将一次连续的住院过程拆分为多次结算，从而套取更多医保基金的违规行为进行监管。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w:t>
                  </w:r>
                  <w:r>
                    <w:br/>
                  </w:r>
                  <w:r>
                    <w:rPr>
                      <w:sz w:val="22"/>
                      <w:color w:val="000000"/>
                    </w:rPr>
                    <w:t>2.医院诊疗数据；</w:t>
                  </w:r>
                  <w:r>
                    <w:br/>
                  </w:r>
                  <w:r>
                    <w:rPr>
                      <w:sz w:val="22"/>
                      <w:color w:val="000000"/>
                    </w:rPr>
                    <w:t>3.机构管理数据。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1.时间间隔规则；</w:t>
                  </w:r>
                  <w:r>
                    <w:br/>
                  </w:r>
                  <w:r>
                    <w:rPr>
                      <w:sz w:val="22"/>
                      <w:color w:val="000000"/>
                    </w:rPr>
                    <w:t>2.疾病关联性规则；</w:t>
                  </w:r>
                  <w:r>
                    <w:br/>
                  </w:r>
                  <w:r>
                    <w:rPr>
                      <w:sz w:val="22"/>
                      <w:color w:val="000000"/>
                    </w:rPr>
                    <w:t>3.诊疗连续性规则；</w:t>
                  </w:r>
                  <w:r>
                    <w:br/>
                  </w:r>
                  <w:r>
                    <w:rPr>
                      <w:sz w:val="22"/>
                      <w:color w:val="000000"/>
                    </w:rPr>
                    <w:t>4.费用拆分规则；</w:t>
                  </w:r>
                  <w:r>
                    <w:br/>
                  </w:r>
                  <w:r>
                    <w:rPr>
                      <w:sz w:val="22"/>
                      <w:color w:val="000000"/>
                    </w:rPr>
                    <w:t>5.患者特征规则。</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低标准住院</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对医疗机构违反临床住院标准，将无明确入院指征、可在门诊治疗的患者收治住院，或住院期间未进行实质性治疗的违规行为进行监管。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w:t>
                  </w:r>
                  <w:r>
                    <w:br/>
                  </w:r>
                  <w:r>
                    <w:rPr>
                      <w:sz w:val="22"/>
                      <w:color w:val="000000"/>
                    </w:rPr>
                    <w:t>2.医院诊疗数据；</w:t>
                  </w:r>
                  <w:r>
                    <w:br/>
                  </w:r>
                  <w:r>
                    <w:rPr>
                      <w:sz w:val="22"/>
                      <w:color w:val="000000"/>
                    </w:rPr>
                    <w:t>3.标准规则数据。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1.入院指征校验规则；</w:t>
                  </w:r>
                  <w:r>
                    <w:br/>
                  </w:r>
                  <w:r>
                    <w:rPr>
                      <w:sz w:val="22"/>
                      <w:color w:val="000000"/>
                    </w:rPr>
                    <w:t>2.诊疗实质性规则；</w:t>
                  </w:r>
                  <w:r>
                    <w:br/>
                  </w:r>
                  <w:r>
                    <w:rPr>
                      <w:sz w:val="22"/>
                      <w:color w:val="000000"/>
                    </w:rPr>
                    <w:t>3.费用结构规则；</w:t>
                  </w:r>
                  <w:r>
                    <w:br/>
                  </w:r>
                  <w:r>
                    <w:rPr>
                      <w:sz w:val="22"/>
                      <w:color w:val="000000"/>
                    </w:rPr>
                    <w:t>4.住院行为规则；</w:t>
                  </w:r>
                  <w:r>
                    <w:br/>
                  </w:r>
                  <w:r>
                    <w:rPr>
                      <w:sz w:val="22"/>
                      <w:color w:val="000000"/>
                    </w:rPr>
                    <w:t>5.患者特征规则。</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耗材虚高</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耗材虚高是指定点医疗机构通过价格违规、数量虚增、串换套用等方式，不合理抬高医用耗材费用，造成医保基金流失的违规行为。</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w:t>
                  </w:r>
                  <w:r>
                    <w:br/>
                  </w:r>
                  <w:r>
                    <w:rPr>
                      <w:sz w:val="22"/>
                      <w:color w:val="000000"/>
                    </w:rPr>
                    <w:t>2.采购平台数据；</w:t>
                  </w:r>
                  <w:r>
                    <w:br/>
                  </w:r>
                  <w:r>
                    <w:rPr>
                      <w:sz w:val="22"/>
                      <w:color w:val="000000"/>
                    </w:rPr>
                    <w:t>3.医疗机构内部数据；</w:t>
                  </w:r>
                  <w:r>
                    <w:br/>
                  </w:r>
                  <w:r>
                    <w:rPr>
                      <w:sz w:val="22"/>
                      <w:color w:val="000000"/>
                    </w:rPr>
                    <w:t>4.医保耗材目录、医疗服务价格项目规范、临床路径标准、耗材注册证信息、供应商信用记录。</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1.超出挂网限价收费：实际收费价格高于省级采购平台公布的挂网价格；</w:t>
                  </w:r>
                  <w:r>
                    <w:br/>
                  </w:r>
                  <w:r>
                    <w:rPr>
                      <w:sz w:val="22"/>
                      <w:color w:val="000000"/>
                    </w:rPr>
                    <w:t>2.违反“零差率”规定：销售价格高于医疗机构实际采购价格；</w:t>
                  </w:r>
                  <w:r>
                    <w:br/>
                  </w:r>
                  <w:r>
                    <w:rPr>
                      <w:sz w:val="22"/>
                      <w:color w:val="000000"/>
                    </w:rPr>
                    <w:t>3.串换高价格耗材：将低价耗材套用高价耗材的编码和价格收费。</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死亡后继续享受医保待遇</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对参保人死亡后继续发生医保结算等异常情况进行监管。该模型严格匹配医保基金反欺诈核心监管要求，通过跨部门死亡数据与医保结算数据的精准对碰，精准识别死亡</w:t>
                  </w:r>
                  <w:r>
                    <w:rPr>
                      <w:sz w:val="22"/>
                      <w:color w:val="000000"/>
                    </w:rPr>
                    <w:t>1个月后仍发生医保结算的冒领、套保行为，是防范死亡人员医保待遇流失的核心工具。</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1.跨部门死亡数据；</w:t>
                  </w:r>
                  <w:r>
                    <w:br/>
                  </w:r>
                  <w:r>
                    <w:rPr>
                      <w:sz w:val="22"/>
                      <w:color w:val="000000"/>
                    </w:rPr>
                    <w:t>2.医保基础数据；</w:t>
                  </w:r>
                  <w:r>
                    <w:br/>
                  </w:r>
                  <w:r>
                    <w:rPr>
                      <w:sz w:val="22"/>
                      <w:color w:val="000000"/>
                    </w:rPr>
                    <w:t>3.就医购药行为数据；</w:t>
                  </w:r>
                  <w:r>
                    <w:br/>
                  </w:r>
                  <w:r>
                    <w:rPr>
                      <w:sz w:val="22"/>
                      <w:color w:val="000000"/>
                    </w:rPr>
                    <w:t>4.核心数据源与字段要求。</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根据民政、卫健、公安部门提供的死亡人员身份证号码和死亡时间，与医保结算数据核对，死亡一个月后仍发生医保结算的为疑似违规数据。</w:t>
                  </w:r>
                  <w:r>
                    <w:br/>
                  </w:r>
                  <w:r>
                    <w:rPr>
                      <w:sz w:val="22"/>
                      <w:color w:val="000000"/>
                    </w:rPr>
                    <w:t>1.死亡人员权威库构建；</w:t>
                  </w:r>
                  <w:r>
                    <w:br/>
                  </w:r>
                  <w:r>
                    <w:rPr>
                      <w:sz w:val="22"/>
                      <w:color w:val="000000"/>
                    </w:rPr>
                    <w:t>2.全量结算数据对碰；</w:t>
                  </w:r>
                  <w:r>
                    <w:br/>
                  </w:r>
                  <w:r>
                    <w:rPr>
                      <w:sz w:val="22"/>
                      <w:color w:val="000000"/>
                    </w:rPr>
                    <w:t>3.疑似违规初筛；</w:t>
                  </w:r>
                  <w:r>
                    <w:br/>
                  </w:r>
                  <w:r>
                    <w:rPr>
                      <w:sz w:val="22"/>
                      <w:color w:val="000000"/>
                    </w:rPr>
                    <w:t>4.合理情形排除；</w:t>
                  </w:r>
                  <w:r>
                    <w:br/>
                  </w:r>
                  <w:r>
                    <w:rPr>
                      <w:sz w:val="22"/>
                      <w:color w:val="000000"/>
                    </w:rPr>
                    <w:t>5.违规性质确认。</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突击参保享受生育待遇</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对不符合参保条件的人员通过虚构劳动关系、挂靠空壳公司等方式，在怀孕后短期参保缴费，待享受生育医疗费用报销和生育津贴，套取医保基金的违规行为进行监管。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1.医保核心数据；</w:t>
                  </w:r>
                  <w:r>
                    <w:br/>
                  </w:r>
                  <w:r>
                    <w:rPr>
                      <w:sz w:val="22"/>
                      <w:color w:val="000000"/>
                    </w:rPr>
                    <w:t>2.跨部门协同数据；</w:t>
                  </w:r>
                  <w:r>
                    <w:br/>
                  </w:r>
                  <w:r>
                    <w:rPr>
                      <w:sz w:val="22"/>
                      <w:color w:val="000000"/>
                    </w:rPr>
                    <w:t>3.医疗机构数据；</w:t>
                  </w:r>
                  <w:r>
                    <w:br/>
                  </w:r>
                  <w:r>
                    <w:rPr>
                      <w:sz w:val="22"/>
                      <w:color w:val="000000"/>
                    </w:rPr>
                    <w:t>4.业务经办数据。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1.参保时间匹配规则；</w:t>
                  </w:r>
                  <w:r>
                    <w:br/>
                  </w:r>
                  <w:r>
                    <w:rPr>
                      <w:sz w:val="22"/>
                      <w:color w:val="000000"/>
                    </w:rPr>
                    <w:t>2.企业经营真实性规则；</w:t>
                  </w:r>
                  <w:r>
                    <w:br/>
                  </w:r>
                  <w:r>
                    <w:rPr>
                      <w:sz w:val="22"/>
                      <w:color w:val="000000"/>
                    </w:rPr>
                    <w:t>3.用工关系真实性规则；</w:t>
                  </w:r>
                  <w:r>
                    <w:br/>
                  </w:r>
                  <w:r>
                    <w:rPr>
                      <w:sz w:val="22"/>
                      <w:color w:val="000000"/>
                    </w:rPr>
                    <w:t>4.待遇申领合理性规则；</w:t>
                  </w:r>
                  <w:r>
                    <w:br/>
                  </w:r>
                  <w:r>
                    <w:rPr>
                      <w:sz w:val="22"/>
                      <w:color w:val="000000"/>
                    </w:rPr>
                    <w:t>5.诊疗行为匹配规则。</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贵重药品重点监控</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针对临床使用不合理率高、基金支出占比大、倒卖获利空间大的高值药品，通过大数据建模实现全流程、全链条的精准监管，遏制超适应症用药、超量开药、串换药品、倒卖回流等违规行为进行监管。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w:t>
                  </w:r>
                  <w:r>
                    <w:br/>
                  </w:r>
                  <w:r>
                    <w:rPr>
                      <w:sz w:val="22"/>
                      <w:color w:val="000000"/>
                    </w:rPr>
                    <w:t>2.药品标准数据；</w:t>
                  </w:r>
                  <w:r>
                    <w:br/>
                  </w:r>
                  <w:r>
                    <w:rPr>
                      <w:sz w:val="22"/>
                      <w:color w:val="000000"/>
                    </w:rPr>
                    <w:t>3.医药机构内部数据。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1.适应症匹配规则；</w:t>
                  </w:r>
                  <w:r>
                    <w:br/>
                  </w:r>
                  <w:r>
                    <w:rPr>
                      <w:sz w:val="22"/>
                      <w:color w:val="000000"/>
                    </w:rPr>
                    <w:t>2.人群限制规则；</w:t>
                  </w:r>
                  <w:r>
                    <w:br/>
                  </w:r>
                  <w:r>
                    <w:rPr>
                      <w:sz w:val="22"/>
                      <w:color w:val="000000"/>
                    </w:rPr>
                    <w:t>3.用法用量规则；</w:t>
                  </w:r>
                  <w:r>
                    <w:br/>
                  </w:r>
                  <w:r>
                    <w:rPr>
                      <w:sz w:val="22"/>
                      <w:color w:val="000000"/>
                    </w:rPr>
                    <w:t>4.诊疗行为匹配规则；</w:t>
                  </w:r>
                  <w:r>
                    <w:br/>
                  </w:r>
                  <w:r>
                    <w:rPr>
                      <w:sz w:val="22"/>
                      <w:color w:val="000000"/>
                    </w:rPr>
                    <w:t>5.机构与医师权限规则；</w:t>
                  </w:r>
                  <w:r>
                    <w:br/>
                  </w:r>
                  <w:r>
                    <w:rPr>
                      <w:sz w:val="22"/>
                      <w:color w:val="000000"/>
                    </w:rPr>
                    <w:t>6.追溯码校验规则。</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中药饮片汤料重点监控</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煲汤类中药饮片</w:t>
                  </w:r>
                  <w:r>
                    <w:rPr>
                      <w:sz w:val="22"/>
                      <w:color w:val="000000"/>
                    </w:rPr>
                    <w:t>(如枸杞、大枣、山药、百合、莲子、薏苡仁等药食同源品种)属于医保基金监管的重点领域，这类饮片兼具药用与食用属性，常被违规用于日常煲汤、保健等非治疗用途，通过串换结算、超量开药、无指征用药等方式套取医保基金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w:t>
                  </w:r>
                  <w:r>
                    <w:br/>
                  </w:r>
                  <w:r>
                    <w:rPr>
                      <w:sz w:val="22"/>
                      <w:color w:val="000000"/>
                    </w:rPr>
                    <w:t>2.饮片标准数据；</w:t>
                  </w:r>
                  <w:r>
                    <w:br/>
                  </w:r>
                  <w:r>
                    <w:rPr>
                      <w:sz w:val="22"/>
                      <w:color w:val="000000"/>
                    </w:rPr>
                    <w:t>3.医药机构内部数据。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对医保结算数据中中药饮片汤料超过阈值的为违规行为。</w:t>
                  </w:r>
                  <w:r>
                    <w:br/>
                  </w:r>
                  <w:r>
                    <w:rPr>
                      <w:sz w:val="22"/>
                      <w:color w:val="000000"/>
                    </w:rPr>
                    <w:t>1.支付范围校验规则；</w:t>
                  </w:r>
                  <w:r>
                    <w:br/>
                  </w:r>
                  <w:r>
                    <w:rPr>
                      <w:sz w:val="22"/>
                      <w:color w:val="000000"/>
                    </w:rPr>
                    <w:t>2.适应症匹配规则；</w:t>
                  </w:r>
                  <w:r>
                    <w:br/>
                  </w:r>
                  <w:r>
                    <w:rPr>
                      <w:sz w:val="22"/>
                      <w:color w:val="000000"/>
                    </w:rPr>
                    <w:t>3.用法用量规则；</w:t>
                  </w:r>
                  <w:r>
                    <w:br/>
                  </w:r>
                  <w:r>
                    <w:rPr>
                      <w:sz w:val="22"/>
                      <w:color w:val="000000"/>
                    </w:rPr>
                    <w:t>4.价格与进销存匹配规则；</w:t>
                  </w:r>
                  <w:r>
                    <w:br/>
                  </w:r>
                  <w:r>
                    <w:rPr>
                      <w:sz w:val="22"/>
                      <w:color w:val="000000"/>
                    </w:rPr>
                    <w:t>5.追溯码校验规则。</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某些医生长期专开某种中药饮片颗粒</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对医师在诊疗过程中偏离临床合理用药原则，长期、高频、大比例开具某一种或某几种中药配方颗粒，可能存在利益输送、不合理用药、诱导消费甚至串换结算等违规行为进行监管。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w:t>
                  </w:r>
                  <w:r>
                    <w:br/>
                  </w:r>
                  <w:r>
                    <w:rPr>
                      <w:sz w:val="22"/>
                      <w:color w:val="000000"/>
                    </w:rPr>
                    <w:t>2.药品标准数据；</w:t>
                  </w:r>
                  <w:r>
                    <w:br/>
                  </w:r>
                  <w:r>
                    <w:rPr>
                      <w:sz w:val="22"/>
                      <w:color w:val="000000"/>
                    </w:rPr>
                    <w:t>3.医药机构内部数据。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对医保结算数据中医生长期开某种中药饮片颗粒超过阈值则为违规。</w:t>
                  </w:r>
                  <w:r>
                    <w:br/>
                  </w:r>
                  <w:r>
                    <w:rPr>
                      <w:sz w:val="22"/>
                      <w:color w:val="000000"/>
                    </w:rPr>
                    <w:t>1.品种集中度规则；</w:t>
                  </w:r>
                  <w:r>
                    <w:br/>
                  </w:r>
                  <w:r>
                    <w:rPr>
                      <w:sz w:val="22"/>
                      <w:color w:val="000000"/>
                    </w:rPr>
                    <w:t>2.处方合理性规则；</w:t>
                  </w:r>
                  <w:r>
                    <w:br/>
                  </w:r>
                  <w:r>
                    <w:rPr>
                      <w:sz w:val="22"/>
                      <w:color w:val="000000"/>
                    </w:rPr>
                    <w:t>3.使用频次规则；</w:t>
                  </w:r>
                  <w:r>
                    <w:br/>
                  </w:r>
                  <w:r>
                    <w:rPr>
                      <w:sz w:val="22"/>
                      <w:color w:val="000000"/>
                    </w:rPr>
                    <w:t>4.医保支付规则；</w:t>
                  </w:r>
                  <w:r>
                    <w:br/>
                  </w:r>
                  <w:r>
                    <w:rPr>
                      <w:sz w:val="22"/>
                      <w:color w:val="000000"/>
                    </w:rPr>
                    <w:t>5.追溯码校验规则。</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弹跳式住院</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1.A医院刚出院，立刻入院B医院；</w:t>
                  </w:r>
                  <w:r>
                    <w:br/>
                  </w:r>
                  <w:r>
                    <w:rPr>
                      <w:sz w:val="22"/>
                      <w:color w:val="000000"/>
                    </w:rPr>
                    <w:t>2.前后两次住院诊断相同或相近、收治科室相同或相近、治疗方式基本相同或属于前次诊疗计划组成部分。</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1.医保结算数据；</w:t>
                  </w:r>
                  <w:r>
                    <w:br/>
                  </w:r>
                  <w:r>
                    <w:rPr>
                      <w:sz w:val="22"/>
                      <w:color w:val="000000"/>
                    </w:rPr>
                    <w:t>2.医疗机构诊疗数据；</w:t>
                  </w:r>
                  <w:r>
                    <w:br/>
                  </w:r>
                  <w:r>
                    <w:rPr>
                      <w:sz w:val="22"/>
                      <w:color w:val="000000"/>
                    </w:rPr>
                    <w:t>3.医疗机构运营数据；</w:t>
                  </w:r>
                  <w:r>
                    <w:br/>
                  </w:r>
                  <w:r>
                    <w:rPr>
                      <w:sz w:val="22"/>
                      <w:color w:val="000000"/>
                    </w:rPr>
                    <w:t>4.外部关联数据。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1.初步筛查规则(触发预警)；</w:t>
                  </w:r>
                  <w:r>
                    <w:br/>
                  </w:r>
                  <w:r>
                    <w:rPr>
                      <w:sz w:val="22"/>
                      <w:color w:val="000000"/>
                    </w:rPr>
                    <w:t>2.违规核验规则(确认嫌疑)；</w:t>
                  </w:r>
                  <w:r>
                    <w:br/>
                  </w:r>
                  <w:r>
                    <w:rPr>
                      <w:sz w:val="22"/>
                      <w:color w:val="000000"/>
                    </w:rPr>
                    <w:t>3.例外排除规则(合规情形)。</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认定工伤后骗取医保待遇</w:t>
                  </w:r>
                  <w:r>
                    <w:rPr>
                      <w:sz w:val="22"/>
                      <w:color w:val="000000"/>
                    </w:rPr>
                    <w:t>(认定工伤参保人享受医保待遇)</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工伤参保人医疗费用，医保基金先行垫付的，后续应当由工伤基金支付。</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1.人社部门工伤认定的参保人名单；</w:t>
                  </w:r>
                  <w:r>
                    <w:br/>
                  </w:r>
                  <w:r>
                    <w:rPr>
                      <w:sz w:val="22"/>
                      <w:color w:val="000000"/>
                    </w:rPr>
                    <w:t>2.医保结算数据；</w:t>
                  </w:r>
                  <w:r>
                    <w:br/>
                  </w:r>
                  <w:r>
                    <w:rPr>
                      <w:sz w:val="22"/>
                      <w:color w:val="000000"/>
                    </w:rPr>
                    <w:t>3.医疗机构诊疗数据；</w:t>
                  </w:r>
                  <w:r>
                    <w:br/>
                  </w:r>
                  <w:r>
                    <w:rPr>
                      <w:sz w:val="22"/>
                      <w:color w:val="000000"/>
                    </w:rPr>
                    <w:t>4.医疗文书数据；</w:t>
                  </w:r>
                  <w:r>
                    <w:br/>
                  </w:r>
                  <w:r>
                    <w:rPr>
                      <w:sz w:val="22"/>
                      <w:color w:val="000000"/>
                    </w:rPr>
                    <w:t>5.工伤认定数据；</w:t>
                  </w:r>
                  <w:r>
                    <w:br/>
                  </w:r>
                  <w:r>
                    <w:rPr>
                      <w:sz w:val="22"/>
                      <w:color w:val="000000"/>
                    </w:rPr>
                    <w:t>6.跨部门关联数据。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根据人社部门提供的工伤认定参保人身份证号码和工伤时间，与医保结算数据进行核对，工伤发生后就医使用医保结算，但未退回医保费用的为疑似违规数据。</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病种疾病谱对比</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各病种疾病谱对比及异常情况进行监管。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1.区域基准疾病谱数据；</w:t>
                  </w:r>
                  <w:r>
                    <w:br/>
                  </w:r>
                  <w:r>
                    <w:rPr>
                      <w:sz w:val="22"/>
                      <w:color w:val="000000"/>
                    </w:rPr>
                    <w:t>2.医疗机构诊疗数据；</w:t>
                  </w:r>
                  <w:r>
                    <w:br/>
                  </w:r>
                  <w:r>
                    <w:rPr>
                      <w:sz w:val="22"/>
                      <w:color w:val="000000"/>
                    </w:rPr>
                    <w:t>3.病例明细数据；</w:t>
                  </w:r>
                  <w:r>
                    <w:br/>
                  </w:r>
                  <w:r>
                    <w:rPr>
                      <w:sz w:val="22"/>
                      <w:color w:val="000000"/>
                    </w:rPr>
                    <w:t>4.临床规范数据。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医保住院结算数据中全市各病种疾病谱对比结果。</w:t>
                  </w:r>
                  <w:r>
                    <w:br/>
                  </w:r>
                  <w:r>
                    <w:rPr>
                      <w:sz w:val="22"/>
                      <w:color w:val="000000"/>
                    </w:rPr>
                    <w:t>1.结构层异常对比规则(宏观病种结构偏离)；</w:t>
                  </w:r>
                  <w:r>
                    <w:br/>
                  </w:r>
                  <w:r>
                    <w:rPr>
                      <w:sz w:val="22"/>
                      <w:color w:val="000000"/>
                    </w:rPr>
                    <w:t>2.行为层异常校验规则(诊疗行为与疾病谱特征不符)。</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ICD操作码与收费项目不符</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对医保结算清单中填写的</w:t>
                  </w:r>
                  <w:r>
                    <w:rPr>
                      <w:sz w:val="22"/>
                      <w:color w:val="000000"/>
                    </w:rPr>
                    <w:t>ICD操作码在结算明细中无对应医疗服务项目的情形进行监管。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1.ICD操作码与收费项目映射基准库；</w:t>
                  </w:r>
                  <w:r>
                    <w:br/>
                  </w:r>
                  <w:r>
                    <w:rPr>
                      <w:sz w:val="22"/>
                      <w:color w:val="000000"/>
                    </w:rPr>
                    <w:t>2.医保结算清单数据；</w:t>
                  </w:r>
                  <w:r>
                    <w:br/>
                  </w:r>
                  <w:r>
                    <w:rPr>
                      <w:sz w:val="22"/>
                      <w:color w:val="000000"/>
                    </w:rPr>
                    <w:t>3.医疗收费明细数据；</w:t>
                  </w:r>
                  <w:r>
                    <w:br/>
                  </w:r>
                  <w:r>
                    <w:rPr>
                      <w:sz w:val="22"/>
                      <w:color w:val="000000"/>
                    </w:rPr>
                    <w:t>4.电子病历数据。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医保结算清单中填写的</w:t>
                  </w:r>
                  <w:r>
                    <w:rPr>
                      <w:sz w:val="22"/>
                      <w:color w:val="000000"/>
                    </w:rPr>
                    <w:t>ICD操作码，如在结算明细中无对应的医疗服务项目(或药品、医用耗材)，则疑似违规。</w:t>
                  </w:r>
                  <w:r>
                    <w:br/>
                  </w:r>
                  <w:r>
                    <w:rPr>
                      <w:sz w:val="22"/>
                      <w:color w:val="000000"/>
                    </w:rPr>
                    <w:t>1.基础映射匹配规则(直接判定不符)；</w:t>
                  </w:r>
                  <w:r>
                    <w:br/>
                  </w:r>
                  <w:r>
                    <w:rPr>
                      <w:sz w:val="22"/>
                      <w:color w:val="000000"/>
                    </w:rPr>
                    <w:t>2.异常特征识别规则(高风险不符场景)；</w:t>
                  </w:r>
                  <w:r>
                    <w:br/>
                  </w:r>
                  <w:r>
                    <w:rPr>
                      <w:sz w:val="22"/>
                      <w:color w:val="000000"/>
                    </w:rPr>
                    <w:t>3.临床合理性核验规则(排除合理例外)。</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全市住院各病种三年平均费用对比</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住院各病种近三年医疗总费用、统筹费用、次均费用等费用对比及异常情况进行监管。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1.全市三年住院基准数据；</w:t>
                  </w:r>
                  <w:r>
                    <w:br/>
                  </w:r>
                  <w:r>
                    <w:rPr>
                      <w:sz w:val="22"/>
                      <w:color w:val="000000"/>
                    </w:rPr>
                    <w:t>2.医疗机构住院费用数据；</w:t>
                  </w:r>
                  <w:r>
                    <w:br/>
                  </w:r>
                  <w:r>
                    <w:rPr>
                      <w:sz w:val="22"/>
                      <w:color w:val="000000"/>
                    </w:rPr>
                    <w:t>3.病例明细数据；</w:t>
                  </w:r>
                  <w:r>
                    <w:br/>
                  </w:r>
                  <w:r>
                    <w:rPr>
                      <w:sz w:val="22"/>
                      <w:color w:val="000000"/>
                    </w:rPr>
                    <w:t>4.临床规范数据。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医保住院结算数据中全市各病种各平均费用对比结果。</w:t>
                  </w:r>
                  <w:r>
                    <w:br/>
                  </w:r>
                  <w:r>
                    <w:rPr>
                      <w:sz w:val="22"/>
                      <w:color w:val="000000"/>
                    </w:rPr>
                    <w:t>1.宏观趋势异常规则(全市层面病种费用变化监测)；</w:t>
                  </w:r>
                  <w:r>
                    <w:br/>
                  </w:r>
                  <w:r>
                    <w:rPr>
                      <w:sz w:val="22"/>
                      <w:color w:val="000000"/>
                    </w:rPr>
                    <w:t>2.中观机构对标规则(医疗机构间费用差异监测)；</w:t>
                  </w:r>
                  <w:r>
                    <w:br/>
                  </w:r>
                  <w:r>
                    <w:rPr>
                      <w:sz w:val="22"/>
                      <w:color w:val="000000"/>
                    </w:rPr>
                    <w:t>3.微观病例核验规则(异常费用的合理性验证)。</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各医院住院各病种三年平均费用对比</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住院各定点医疗机构各病种近三年医疗总费用、统筹费用、次均费用等各平均费用同比及异常情况进行监管。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1.三年费用基准数据；</w:t>
                  </w:r>
                  <w:r>
                    <w:br/>
                  </w:r>
                  <w:r>
                    <w:rPr>
                      <w:sz w:val="22"/>
                      <w:color w:val="000000"/>
                    </w:rPr>
                    <w:t>2.医院病种费用数据；</w:t>
                  </w:r>
                  <w:r>
                    <w:br/>
                  </w:r>
                  <w:r>
                    <w:rPr>
                      <w:sz w:val="22"/>
                      <w:color w:val="000000"/>
                    </w:rPr>
                    <w:t>3.病例明细数据。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医保住院结算数据中对各医疗机构各病种各平均费用同比结果。</w:t>
                  </w:r>
                  <w:r>
                    <w:br/>
                  </w:r>
                  <w:r>
                    <w:rPr>
                      <w:sz w:val="22"/>
                      <w:color w:val="000000"/>
                    </w:rPr>
                    <w:t>1.横向对标异常规则(同级别同类型医院对比)；</w:t>
                  </w:r>
                  <w:r>
                    <w:br/>
                  </w:r>
                  <w:r>
                    <w:rPr>
                      <w:sz w:val="22"/>
                      <w:color w:val="000000"/>
                    </w:rPr>
                    <w:t>2.纵向溯源异常规则(同一医院三年费用变化对比)；</w:t>
                  </w:r>
                  <w:r>
                    <w:br/>
                  </w:r>
                  <w:r>
                    <w:rPr>
                      <w:sz w:val="22"/>
                      <w:color w:val="000000"/>
                    </w:rPr>
                    <w:t>3.个案核验规则(异常病例合理性验证)。</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全市住院各病种各类诊治方式三年平均费用对比</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住院各病种各诊治方式近三年医疗总费用、统筹费用、次均费用等费用对比及异常情况进行监管。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1.三年费用基准数据；</w:t>
                  </w:r>
                  <w:r>
                    <w:br/>
                  </w:r>
                  <w:r>
                    <w:rPr>
                      <w:sz w:val="22"/>
                      <w:color w:val="000000"/>
                    </w:rPr>
                    <w:t>2.医疗机构费用数据；</w:t>
                  </w:r>
                  <w:r>
                    <w:br/>
                  </w:r>
                  <w:r>
                    <w:rPr>
                      <w:sz w:val="22"/>
                      <w:color w:val="000000"/>
                    </w:rPr>
                    <w:t>3.病例明细数据。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医保住院结算数据中全市各病种各诊治方式的平均费用对比结果。</w:t>
                  </w:r>
                  <w:r>
                    <w:br/>
                  </w:r>
                  <w:r>
                    <w:rPr>
                      <w:sz w:val="22"/>
                      <w:color w:val="000000"/>
                    </w:rPr>
                    <w:t>1.诊治方式分类校验规则(基础一致性校验)；</w:t>
                  </w:r>
                  <w:r>
                    <w:br/>
                  </w:r>
                  <w:r>
                    <w:rPr>
                      <w:sz w:val="22"/>
                      <w:color w:val="000000"/>
                    </w:rPr>
                    <w:t>2.费用差异识别规则(多维度对比找异常)；</w:t>
                  </w:r>
                  <w:r>
                    <w:br/>
                  </w:r>
                  <w:r>
                    <w:rPr>
                      <w:sz w:val="22"/>
                      <w:color w:val="000000"/>
                    </w:rPr>
                    <w:t>3.临床合理性核验规则(排除合理例外)。</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各医院住院各病种各类诊治方式三年平均费用对比</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住院各定点医疗机构各病种各诊治方式近三年医疗总费用、统筹费用、次均费用等各平均费用同比及异常情况进行监管。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1.诊治方式分类基准库；</w:t>
                  </w:r>
                  <w:r>
                    <w:br/>
                  </w:r>
                  <w:r>
                    <w:rPr>
                      <w:sz w:val="22"/>
                      <w:color w:val="000000"/>
                    </w:rPr>
                    <w:t>2.同级别医院三年费用基准数据；</w:t>
                  </w:r>
                  <w:r>
                    <w:br/>
                  </w:r>
                  <w:r>
                    <w:rPr>
                      <w:sz w:val="22"/>
                      <w:color w:val="000000"/>
                    </w:rPr>
                    <w:t>3.医院病种诊治费用数据；</w:t>
                  </w:r>
                  <w:r>
                    <w:br/>
                  </w:r>
                  <w:r>
                    <w:rPr>
                      <w:sz w:val="22"/>
                      <w:color w:val="000000"/>
                    </w:rPr>
                    <w:t>4.病例明细数据。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医保住院结算数据中对各医疗机构各病种各诊治方式的平均费用同比结果。</w:t>
                  </w:r>
                  <w:r>
                    <w:br/>
                  </w:r>
                  <w:r>
                    <w:rPr>
                      <w:sz w:val="22"/>
                      <w:color w:val="000000"/>
                    </w:rPr>
                    <w:t>1.分类一致性校验规则(基础数据质量校验)；</w:t>
                  </w:r>
                  <w:r>
                    <w:br/>
                  </w:r>
                  <w:r>
                    <w:rPr>
                      <w:sz w:val="22"/>
                      <w:color w:val="000000"/>
                    </w:rPr>
                    <w:t>2.多维度差异识别规则(横向+纵向对比找异常)；</w:t>
                  </w:r>
                  <w:r>
                    <w:br/>
                  </w:r>
                  <w:r>
                    <w:rPr>
                      <w:sz w:val="22"/>
                      <w:color w:val="000000"/>
                    </w:rPr>
                    <w:t>3.临床合理性核验规则(排除合理例外)。</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中医特色病种三年住院人次比较</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各中医特色病种近三年住院人次对比及异常情况进行监管。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1.中医特色病种目录；</w:t>
                  </w:r>
                  <w:r>
                    <w:br/>
                  </w:r>
                  <w:r>
                    <w:rPr>
                      <w:sz w:val="22"/>
                      <w:color w:val="000000"/>
                    </w:rPr>
                    <w:t>2.三年基准数据；</w:t>
                  </w:r>
                  <w:r>
                    <w:br/>
                  </w:r>
                  <w:r>
                    <w:rPr>
                      <w:sz w:val="22"/>
                      <w:color w:val="000000"/>
                    </w:rPr>
                    <w:t>3.机构收治数据；</w:t>
                  </w:r>
                  <w:r>
                    <w:br/>
                  </w:r>
                  <w:r>
                    <w:rPr>
                      <w:sz w:val="22"/>
                      <w:color w:val="000000"/>
                    </w:rPr>
                    <w:t>4.病例明细数据。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医保住院结算数据中中医特色病种住院人次对比结果。</w:t>
                  </w:r>
                  <w:r>
                    <w:br/>
                  </w:r>
                  <w:r>
                    <w:rPr>
                      <w:sz w:val="22"/>
                      <w:color w:val="000000"/>
                    </w:rPr>
                    <w:t>1.基础资质校验规则(前置条件校验)；</w:t>
                  </w:r>
                  <w:r>
                    <w:br/>
                  </w:r>
                  <w:r>
                    <w:rPr>
                      <w:sz w:val="22"/>
                      <w:color w:val="000000"/>
                    </w:rPr>
                    <w:t>2.人次异常对比规则(多维度趋势分析)；</w:t>
                  </w:r>
                  <w:r>
                    <w:br/>
                  </w:r>
                  <w:r>
                    <w:rPr>
                      <w:sz w:val="22"/>
                      <w:color w:val="000000"/>
                    </w:rPr>
                    <w:t>3.个案核验规则(合理性验证)。</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中医特色病种中治比</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各中医特色病种中治比情况进行监管。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1.中医特色病种目录及中治比标准；</w:t>
                  </w:r>
                  <w:r>
                    <w:br/>
                  </w:r>
                  <w:r>
                    <w:rPr>
                      <w:sz w:val="22"/>
                      <w:color w:val="000000"/>
                    </w:rPr>
                    <w:t>2.中医服务项目映射库；</w:t>
                  </w:r>
                  <w:r>
                    <w:br/>
                  </w:r>
                  <w:r>
                    <w:rPr>
                      <w:sz w:val="22"/>
                      <w:color w:val="000000"/>
                    </w:rPr>
                    <w:t>3.病例结算数据；</w:t>
                  </w:r>
                  <w:r>
                    <w:br/>
                  </w:r>
                  <w:r>
                    <w:rPr>
                      <w:sz w:val="22"/>
                      <w:color w:val="000000"/>
                    </w:rPr>
                    <w:t>4.电子病历数据。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医保住院结算数据中中医特色病种中治占比结果。</w:t>
                  </w:r>
                  <w:r>
                    <w:br/>
                  </w:r>
                  <w:r>
                    <w:rPr>
                      <w:sz w:val="22"/>
                      <w:color w:val="000000"/>
                    </w:rPr>
                    <w:t>1.基础核算规则(中治比自动计算)；</w:t>
                  </w:r>
                  <w:r>
                    <w:br/>
                  </w:r>
                  <w:r>
                    <w:rPr>
                      <w:sz w:val="22"/>
                      <w:color w:val="000000"/>
                    </w:rPr>
                    <w:t>2.阈值对比异常规则(多维度异常识别)；</w:t>
                  </w:r>
                  <w:r>
                    <w:br/>
                  </w:r>
                  <w:r>
                    <w:rPr>
                      <w:sz w:val="22"/>
                      <w:color w:val="000000"/>
                    </w:rPr>
                    <w:t>3.真实性核验规则(排除合理例外，识别违规行为)。</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精神病人住院</w:t>
                  </w:r>
                  <w:r>
                    <w:rPr>
                      <w:sz w:val="22"/>
                      <w:color w:val="000000"/>
                    </w:rPr>
                    <w:t>1-3年内MR、CT检查次数</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对精神病人住院</w:t>
                  </w:r>
                  <w:r>
                    <w:rPr>
                      <w:sz w:val="22"/>
                      <w:color w:val="000000"/>
                    </w:rPr>
                    <w:t>1-3年内MR、CT检查情形进行监管。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1.临床指征基准库；</w:t>
                  </w:r>
                  <w:r>
                    <w:br/>
                  </w:r>
                  <w:r>
                    <w:rPr>
                      <w:sz w:val="22"/>
                      <w:color w:val="000000"/>
                    </w:rPr>
                    <w:t>2.患者基本信息；</w:t>
                  </w:r>
                  <w:r>
                    <w:br/>
                  </w:r>
                  <w:r>
                    <w:rPr>
                      <w:sz w:val="22"/>
                      <w:color w:val="000000"/>
                    </w:rPr>
                    <w:t>3.费用明细数据；</w:t>
                  </w:r>
                  <w:r>
                    <w:br/>
                  </w:r>
                  <w:r>
                    <w:rPr>
                      <w:sz w:val="22"/>
                      <w:color w:val="000000"/>
                    </w:rPr>
                    <w:t>4.电子病历数据。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医保住院结算数据中同一精神病人住院期间</w:t>
                  </w:r>
                  <w:r>
                    <w:rPr>
                      <w:sz w:val="22"/>
                      <w:color w:val="000000"/>
                    </w:rPr>
                    <w:t>MR、CT检查人次结果。</w:t>
                  </w:r>
                  <w:r>
                    <w:br/>
                  </w:r>
                  <w:r>
                    <w:rPr>
                      <w:sz w:val="22"/>
                      <w:color w:val="000000"/>
                    </w:rPr>
                    <w:t>1.基础频次统计规则(数据预处理)；</w:t>
                  </w:r>
                  <w:r>
                    <w:br/>
                  </w:r>
                  <w:r>
                    <w:rPr>
                      <w:sz w:val="22"/>
                      <w:color w:val="000000"/>
                    </w:rPr>
                    <w:t>2.阈值对比异常规则(异常识别)；</w:t>
                  </w:r>
                  <w:r>
                    <w:br/>
                  </w:r>
                  <w:r>
                    <w:rPr>
                      <w:sz w:val="22"/>
                      <w:color w:val="000000"/>
                    </w:rPr>
                    <w:t>3.合理性核验规则(排除合理例外)。</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全市各门特病种三年平均费用对比</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对各门特病种近三年医疗总费用、统筹费用、次均费用等费用对比情况进行监管。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1.门特病种目录及待遇标准库；</w:t>
                  </w:r>
                  <w:r>
                    <w:br/>
                  </w:r>
                  <w:r>
                    <w:rPr>
                      <w:sz w:val="22"/>
                      <w:color w:val="000000"/>
                    </w:rPr>
                    <w:t>2.三年费用基准数据；</w:t>
                  </w:r>
                  <w:r>
                    <w:br/>
                  </w:r>
                  <w:r>
                    <w:rPr>
                      <w:sz w:val="22"/>
                      <w:color w:val="000000"/>
                    </w:rPr>
                    <w:t>3.参保人门特资格数据；</w:t>
                  </w:r>
                  <w:r>
                    <w:br/>
                  </w:r>
                  <w:r>
                    <w:rPr>
                      <w:sz w:val="22"/>
                      <w:color w:val="000000"/>
                    </w:rPr>
                    <w:t>4.门特病种结算明细数据；</w:t>
                  </w:r>
                  <w:r>
                    <w:br/>
                  </w:r>
                  <w:r>
                    <w:rPr>
                      <w:sz w:val="22"/>
                      <w:color w:val="000000"/>
                    </w:rPr>
                    <w:t>5.机构属性数据。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医保门慢病结算数据中全市各门特病种各平均费用对比结果。</w:t>
                  </w:r>
                  <w:r>
                    <w:br/>
                  </w:r>
                  <w:r>
                    <w:rPr>
                      <w:sz w:val="22"/>
                      <w:color w:val="000000"/>
                    </w:rPr>
                    <w:t>1.基础对比规则(多维度费用对标)；</w:t>
                  </w:r>
                  <w:r>
                    <w:br/>
                  </w:r>
                  <w:r>
                    <w:rPr>
                      <w:sz w:val="22"/>
                      <w:color w:val="000000"/>
                    </w:rPr>
                    <w:t>2.异常特征识别规则(精准定位违规场景)；</w:t>
                  </w:r>
                  <w:r>
                    <w:br/>
                  </w:r>
                  <w:r>
                    <w:rPr>
                      <w:sz w:val="22"/>
                      <w:color w:val="000000"/>
                    </w:rPr>
                    <w:t>3.合理性核验规则(排除合理例外)。</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各医院各门特病种三年平均费用对比</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对各定点医疗机构各门特病种近三年医疗总费用、统筹费用、次均费用等各平均费用同比情况进行监管。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1.门特病种目录及待遇标准库；</w:t>
                  </w:r>
                  <w:r>
                    <w:br/>
                  </w:r>
                  <w:r>
                    <w:rPr>
                      <w:sz w:val="22"/>
                      <w:color w:val="000000"/>
                    </w:rPr>
                    <w:t>2.同级别医院三年费用基准数据；</w:t>
                  </w:r>
                  <w:r>
                    <w:br/>
                  </w:r>
                  <w:r>
                    <w:rPr>
                      <w:sz w:val="22"/>
                      <w:color w:val="000000"/>
                    </w:rPr>
                    <w:t>3.医院门特病种结算数据；</w:t>
                  </w:r>
                  <w:r>
                    <w:br/>
                  </w:r>
                  <w:r>
                    <w:rPr>
                      <w:sz w:val="22"/>
                      <w:color w:val="000000"/>
                    </w:rPr>
                    <w:t>4.病例明细数据。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医保门慢病结算数据中对各医疗机构各门特病种各平均费用同比结果。</w:t>
                  </w:r>
                  <w:r>
                    <w:br/>
                  </w:r>
                  <w:r>
                    <w:rPr>
                      <w:sz w:val="22"/>
                      <w:color w:val="000000"/>
                    </w:rPr>
                    <w:t>1.横向对标异常规则(同级别同类型医院对比)；</w:t>
                  </w:r>
                  <w:r>
                    <w:br/>
                  </w:r>
                  <w:r>
                    <w:rPr>
                      <w:sz w:val="22"/>
                      <w:color w:val="000000"/>
                    </w:rPr>
                    <w:t>2.纵向溯源异常规则(同一医院三年费用变化对比)；</w:t>
                  </w:r>
                  <w:r>
                    <w:br/>
                  </w:r>
                  <w:r>
                    <w:rPr>
                      <w:sz w:val="22"/>
                      <w:color w:val="000000"/>
                    </w:rPr>
                    <w:t>3.个案核验规则(排除合理例外)。</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门诊开了输液项目但没有配料</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对所有门诊医保结算数据中开了输液项目但没有对应的耗材收费结算的情形进行监管。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1.输液项目-耗材关联规则库；</w:t>
                  </w:r>
                  <w:r>
                    <w:br/>
                  </w:r>
                  <w:r>
                    <w:rPr>
                      <w:sz w:val="22"/>
                      <w:color w:val="000000"/>
                    </w:rPr>
                    <w:t>2.门诊结算明细数据；</w:t>
                  </w:r>
                  <w:r>
                    <w:br/>
                  </w:r>
                  <w:r>
                    <w:rPr>
                      <w:sz w:val="22"/>
                      <w:color w:val="000000"/>
                    </w:rPr>
                    <w:t>3.定点机构基础信息；</w:t>
                  </w:r>
                  <w:r>
                    <w:br/>
                  </w:r>
                  <w:r>
                    <w:rPr>
                      <w:sz w:val="22"/>
                      <w:color w:val="000000"/>
                    </w:rPr>
                    <w:t>4.核心关联规则库构建。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同一参保人同一天结算单据中开具了输液项目但未有对应的耗材收费结算的数据为疑似违规数据。</w:t>
                  </w:r>
                  <w:r>
                    <w:br/>
                  </w:r>
                  <w:r>
                    <w:rPr>
                      <w:sz w:val="22"/>
                      <w:color w:val="000000"/>
                    </w:rPr>
                    <w:t>1.目标病例筛选；</w:t>
                  </w:r>
                  <w:r>
                    <w:br/>
                  </w:r>
                  <w:r>
                    <w:rPr>
                      <w:sz w:val="22"/>
                      <w:color w:val="000000"/>
                    </w:rPr>
                    <w:t>2.耗材匹配校验；</w:t>
                  </w:r>
                  <w:r>
                    <w:br/>
                  </w:r>
                  <w:r>
                    <w:rPr>
                      <w:sz w:val="22"/>
                      <w:color w:val="000000"/>
                    </w:rPr>
                    <w:t>3.合理情形排除；</w:t>
                  </w:r>
                  <w:r>
                    <w:br/>
                  </w:r>
                  <w:r>
                    <w:rPr>
                      <w:sz w:val="22"/>
                      <w:color w:val="000000"/>
                    </w:rPr>
                    <w:t>4.违规性质判定；</w:t>
                  </w:r>
                  <w:r>
                    <w:br/>
                  </w:r>
                  <w:r>
                    <w:rPr>
                      <w:sz w:val="22"/>
                      <w:color w:val="000000"/>
                    </w:rPr>
                    <w:t>5.重点违规场景与机构风险识别。</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低倍率病例占比和人头人次占比</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对医保结算数据中低倍率病例占总病例人数、人次对比的情形进行监管。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1.DRG/DIP分组结果数据；</w:t>
                  </w:r>
                  <w:r>
                    <w:br/>
                  </w:r>
                  <w:r>
                    <w:rPr>
                      <w:sz w:val="22"/>
                      <w:color w:val="000000"/>
                    </w:rPr>
                    <w:t>2.住院结算与病案数据；</w:t>
                  </w:r>
                  <w:r>
                    <w:br/>
                  </w:r>
                  <w:r>
                    <w:rPr>
                      <w:sz w:val="22"/>
                      <w:color w:val="000000"/>
                    </w:rPr>
                    <w:t>3.基础规则库；</w:t>
                  </w:r>
                  <w:r>
                    <w:br/>
                  </w:r>
                  <w:r>
                    <w:rPr>
                      <w:sz w:val="22"/>
                      <w:color w:val="000000"/>
                    </w:rPr>
                    <w:t>4.分析指标体系。</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低倍率病例占总病例人数、人次对比结果。</w:t>
                  </w:r>
                  <w:r>
                    <w:br/>
                  </w:r>
                  <w:r>
                    <w:rPr>
                      <w:sz w:val="22"/>
                      <w:color w:val="000000"/>
                    </w:rPr>
                    <w:t>1.低倍率病例识别；</w:t>
                  </w:r>
                  <w:r>
                    <w:br/>
                  </w:r>
                  <w:r>
                    <w:rPr>
                      <w:sz w:val="22"/>
                      <w:color w:val="000000"/>
                    </w:rPr>
                    <w:t>2.合理低倍率情形排除；</w:t>
                  </w:r>
                  <w:r>
                    <w:br/>
                  </w:r>
                  <w:r>
                    <w:rPr>
                      <w:sz w:val="22"/>
                      <w:color w:val="000000"/>
                    </w:rPr>
                    <w:t>3.占比异常初筛；</w:t>
                  </w:r>
                  <w:r>
                    <w:br/>
                  </w:r>
                  <w:r>
                    <w:rPr>
                      <w:sz w:val="22"/>
                      <w:color w:val="000000"/>
                    </w:rPr>
                    <w:t>4.人头人次关联核验；</w:t>
                  </w:r>
                  <w:r>
                    <w:br/>
                  </w:r>
                  <w:r>
                    <w:rPr>
                      <w:sz w:val="22"/>
                      <w:color w:val="000000"/>
                    </w:rPr>
                    <w:t>5.机构系统性违规识别。</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全市同一病人三年内再次入院对比</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对医保结算数据中同一参保人近三年内再次入院对比的情形进行监管。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1.参保人唯一标识库；</w:t>
                  </w:r>
                  <w:r>
                    <w:br/>
                  </w:r>
                  <w:r>
                    <w:rPr>
                      <w:sz w:val="22"/>
                      <w:color w:val="000000"/>
                    </w:rPr>
                    <w:t>2.住院结算与病案数据；</w:t>
                  </w:r>
                  <w:r>
                    <w:br/>
                  </w:r>
                  <w:r>
                    <w:rPr>
                      <w:sz w:val="22"/>
                      <w:color w:val="000000"/>
                    </w:rPr>
                    <w:t>3.合理再入院规则库；</w:t>
                  </w:r>
                  <w:r>
                    <w:br/>
                  </w:r>
                  <w:r>
                    <w:rPr>
                      <w:sz w:val="22"/>
                      <w:color w:val="000000"/>
                    </w:rPr>
                    <w:t>4.分析指标体系。</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全市同一参保人再次入院对比结果。</w:t>
                  </w:r>
                  <w:r>
                    <w:br/>
                  </w:r>
                  <w:r>
                    <w:rPr>
                      <w:sz w:val="22"/>
                      <w:color w:val="000000"/>
                    </w:rPr>
                    <w:t>1.同一参保人住院记录归集；</w:t>
                  </w:r>
                  <w:r>
                    <w:br/>
                  </w:r>
                  <w:r>
                    <w:rPr>
                      <w:sz w:val="22"/>
                      <w:color w:val="000000"/>
                    </w:rPr>
                    <w:t>2.合理再入院排除；</w:t>
                  </w:r>
                  <w:r>
                    <w:br/>
                  </w:r>
                  <w:r>
                    <w:rPr>
                      <w:sz w:val="22"/>
                      <w:color w:val="000000"/>
                    </w:rPr>
                    <w:t>3.疑似违规初筛；</w:t>
                  </w:r>
                  <w:r>
                    <w:br/>
                  </w:r>
                  <w:r>
                    <w:rPr>
                      <w:sz w:val="22"/>
                      <w:color w:val="000000"/>
                    </w:rPr>
                    <w:t>4.违规性质判定；</w:t>
                  </w:r>
                  <w:r>
                    <w:br/>
                  </w:r>
                  <w:r>
                    <w:rPr>
                      <w:sz w:val="22"/>
                      <w:color w:val="000000"/>
                    </w:rPr>
                    <w:t>5.机构系统性违规识别。</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全市同类药品价格对比</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对医保结算数据中同类药品各定点医疗机构价格对比的情形进行监管。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1.药品价格基准库；</w:t>
                  </w:r>
                  <w:r>
                    <w:br/>
                  </w:r>
                  <w:r>
                    <w:rPr>
                      <w:sz w:val="22"/>
                      <w:color w:val="000000"/>
                    </w:rPr>
                    <w:t>2.医保结算药品明细数据；</w:t>
                  </w:r>
                  <w:r>
                    <w:br/>
                  </w:r>
                  <w:r>
                    <w:rPr>
                      <w:sz w:val="22"/>
                      <w:color w:val="000000"/>
                    </w:rPr>
                    <w:t>3.定点医药机构基础信息；</w:t>
                  </w:r>
                  <w:r>
                    <w:br/>
                  </w:r>
                  <w:r>
                    <w:rPr>
                      <w:sz w:val="22"/>
                      <w:color w:val="000000"/>
                    </w:rPr>
                    <w:t>4.价格对比标准体系。</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各定点医疗机构同类药品价格对比结果。</w:t>
                  </w:r>
                  <w:r>
                    <w:br/>
                  </w:r>
                  <w:r>
                    <w:rPr>
                      <w:sz w:val="22"/>
                      <w:color w:val="000000"/>
                    </w:rPr>
                    <w:t>1.基准匹配；</w:t>
                  </w:r>
                  <w:r>
                    <w:br/>
                  </w:r>
                  <w:r>
                    <w:rPr>
                      <w:sz w:val="22"/>
                      <w:color w:val="000000"/>
                    </w:rPr>
                    <w:t>2.异常初筛；</w:t>
                  </w:r>
                  <w:r>
                    <w:br/>
                  </w:r>
                  <w:r>
                    <w:rPr>
                      <w:sz w:val="22"/>
                      <w:color w:val="000000"/>
                    </w:rPr>
                    <w:t>3.合理因素排除；</w:t>
                  </w:r>
                  <w:r>
                    <w:br/>
                  </w:r>
                  <w:r>
                    <w:rPr>
                      <w:sz w:val="22"/>
                      <w:color w:val="000000"/>
                    </w:rPr>
                    <w:t>4.违规确认；</w:t>
                  </w:r>
                  <w:r>
                    <w:br/>
                  </w:r>
                  <w:r>
                    <w:rPr>
                      <w:sz w:val="22"/>
                      <w:color w:val="000000"/>
                    </w:rPr>
                    <w:t>5.重点监管场景与机构风险识别。</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某些特定编码病种与手术操作码的关联性</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对医保结算清单中某些特定编码病种与手术操作码关联性的情形进行监管。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1.诊断-手术关联性规则库；</w:t>
                  </w:r>
                  <w:r>
                    <w:br/>
                  </w:r>
                  <w:r>
                    <w:rPr>
                      <w:sz w:val="22"/>
                      <w:color w:val="000000"/>
                    </w:rPr>
                    <w:t>2.医保结算清单数据；</w:t>
                  </w:r>
                  <w:r>
                    <w:br/>
                  </w:r>
                  <w:r>
                    <w:rPr>
                      <w:sz w:val="22"/>
                      <w:color w:val="000000"/>
                    </w:rPr>
                    <w:t>3.医疗机构诊疗数据；</w:t>
                  </w:r>
                  <w:r>
                    <w:br/>
                  </w:r>
                  <w:r>
                    <w:rPr>
                      <w:sz w:val="22"/>
                      <w:color w:val="000000"/>
                    </w:rPr>
                    <w:t>4.关联性规则库构建。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对医保结算清单中填报的特定编码病种主要诊断编码和手术操作编码的关联性进行判断，不相关则疑似违规。</w:t>
                  </w:r>
                  <w:r>
                    <w:br/>
                  </w:r>
                  <w:r>
                    <w:rPr>
                      <w:sz w:val="22"/>
                      <w:color w:val="000000"/>
                    </w:rPr>
                    <w:t>1.全量匹配校验；</w:t>
                  </w:r>
                  <w:r>
                    <w:br/>
                  </w:r>
                  <w:r>
                    <w:rPr>
                      <w:sz w:val="22"/>
                      <w:color w:val="000000"/>
                    </w:rPr>
                    <w:t>2.合理例外排除；</w:t>
                  </w:r>
                  <w:r>
                    <w:br/>
                  </w:r>
                  <w:r>
                    <w:rPr>
                      <w:sz w:val="22"/>
                      <w:color w:val="000000"/>
                    </w:rPr>
                    <w:t>3.重点筛查场景与机构层面违规识别。</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全市各定点医疗机构普通门诊三年平均费用对比</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各定点医疗机构普通门诊近三年医疗总费用、次均费用与平均各费用对比及异常情况进行监管。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1.近三年普通门诊结算数据（医保结算系统）；</w:t>
                  </w:r>
                  <w:r>
                    <w:br/>
                  </w:r>
                  <w:r>
                    <w:rPr>
                      <w:sz w:val="22"/>
                      <w:color w:val="000000"/>
                    </w:rPr>
                    <w:t>2.定点机构基础信息；</w:t>
                  </w:r>
                  <w:r>
                    <w:br/>
                  </w:r>
                  <w:r>
                    <w:rPr>
                      <w:sz w:val="22"/>
                      <w:color w:val="000000"/>
                    </w:rPr>
                    <w:t>3.市域校正因子数据；</w:t>
                  </w:r>
                  <w:r>
                    <w:br/>
                  </w:r>
                  <w:r>
                    <w:rPr>
                      <w:sz w:val="22"/>
                      <w:color w:val="000000"/>
                    </w:rPr>
                    <w:t>4.全市对比指标体系。</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sz w:val="22"/>
                      <w:color w:val="000000"/>
                    </w:rPr>
                    <w:t>对各定点医疗机构普通门诊结算数据各费用与全市平均各费用对比结果。</w:t>
                  </w:r>
                  <w:r>
                    <w:br/>
                  </w:r>
                  <w:r>
                    <w:rPr>
                      <w:sz w:val="22"/>
                      <w:color w:val="000000"/>
                    </w:rPr>
                    <w:t>1.全市分层基准线测算；</w:t>
                  </w:r>
                  <w:r>
                    <w:br/>
                  </w:r>
                  <w:r>
                    <w:rPr>
                      <w:sz w:val="22"/>
                      <w:color w:val="000000"/>
                    </w:rPr>
                    <w:t>2.异常机构初筛；</w:t>
                  </w:r>
                  <w:r>
                    <w:br/>
                  </w:r>
                  <w:r>
                    <w:rPr>
                      <w:sz w:val="22"/>
                      <w:color w:val="000000"/>
                    </w:rPr>
                    <w:t>3.合理因素排除；</w:t>
                  </w:r>
                  <w:r>
                    <w:br/>
                  </w:r>
                  <w:r>
                    <w:rPr>
                      <w:sz w:val="22"/>
                      <w:color w:val="000000"/>
                    </w:rPr>
                    <w:t>4.高风险机构确认；</w:t>
                  </w:r>
                  <w:r>
                    <w:br/>
                  </w:r>
                  <w:r>
                    <w:rPr>
                      <w:sz w:val="22"/>
                      <w:color w:val="000000"/>
                    </w:rPr>
                    <w:t>5.全市对比结果应用核心产出物。</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各定点医疗机构各普通门诊三年平均费用对比</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各定点医疗机构普通门诊近三年平均医疗总费用、平均次均费用等费用同比及异常情况进行监管。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1.近三年门诊结算数据（医保结算系统）；</w:t>
                  </w:r>
                  <w:r>
                    <w:br/>
                  </w:r>
                  <w:r>
                    <w:rPr>
                      <w:sz w:val="22"/>
                      <w:color w:val="000000"/>
                    </w:rPr>
                    <w:t>2.医疗机构基础信息；</w:t>
                  </w:r>
                  <w:r>
                    <w:br/>
                  </w:r>
                  <w:r>
                    <w:rPr>
                      <w:sz w:val="22"/>
                      <w:color w:val="000000"/>
                    </w:rPr>
                    <w:t>3.校正因子数据；</w:t>
                  </w:r>
                  <w:r>
                    <w:br/>
                  </w:r>
                  <w:r>
                    <w:rPr>
                      <w:sz w:val="22"/>
                      <w:color w:val="000000"/>
                    </w:rPr>
                    <w:t>4.分析指标体系。</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对各定点医疗机构普通门诊结算数据各费用同比结果。</w:t>
                  </w:r>
                  <w:r>
                    <w:br/>
                  </w:r>
                  <w:r>
                    <w:rPr>
                      <w:sz w:val="22"/>
                      <w:color w:val="000000"/>
                    </w:rPr>
                    <w:t>1.基准线测算；</w:t>
                  </w:r>
                  <w:r>
                    <w:br/>
                  </w:r>
                  <w:r>
                    <w:rPr>
                      <w:sz w:val="22"/>
                      <w:color w:val="000000"/>
                    </w:rPr>
                    <w:t>2.异常初筛；</w:t>
                  </w:r>
                  <w:r>
                    <w:br/>
                  </w:r>
                  <w:r>
                    <w:rPr>
                      <w:sz w:val="22"/>
                      <w:color w:val="000000"/>
                    </w:rPr>
                    <w:t>3.合理因素排除；</w:t>
                  </w:r>
                  <w:r>
                    <w:br/>
                  </w:r>
                  <w:r>
                    <w:rPr>
                      <w:sz w:val="22"/>
                      <w:color w:val="000000"/>
                    </w:rPr>
                    <w:t>4.违规线索确认；</w:t>
                  </w:r>
                  <w:r>
                    <w:br/>
                  </w:r>
                  <w:r>
                    <w:rPr>
                      <w:sz w:val="22"/>
                      <w:color w:val="000000"/>
                    </w:rPr>
                    <w:t>5.系统性违规识别指标。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药品限工伤保险</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仅限工伤保险基金可支付，基本医疗保险基金不予支付。</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1.限工伤保险药品规则库；</w:t>
                  </w:r>
                  <w:r>
                    <w:br/>
                  </w:r>
                  <w:r>
                    <w:rPr>
                      <w:sz w:val="22"/>
                      <w:color w:val="000000"/>
                    </w:rPr>
                    <w:t>2.参保人基础信息库；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就诊信息中的药品，仅限工伤保险基金可支付，若由基本医疗保险基金支付则违反此规则。</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药品限生育保险</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参保人险种非生育保险。</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1.限生育保险药品规则库；</w:t>
                  </w:r>
                  <w:r>
                    <w:br/>
                  </w:r>
                  <w:r>
                    <w:rPr>
                      <w:sz w:val="22"/>
                      <w:color w:val="000000"/>
                    </w:rPr>
                    <w:t>2.参保人基础信息库；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参保人险种非生育保险使用限生育保险药品目录产生的医保结算数据为违规数据。</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中药饮片单复方均不予支付</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未纳入基金支付范围的中药饮片医保不予支付。</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1.全拒付中药饮片规则库；</w:t>
                  </w:r>
                  <w:r>
                    <w:br/>
                  </w:r>
                  <w:r>
                    <w:rPr>
                      <w:sz w:val="22"/>
                      <w:color w:val="000000"/>
                    </w:rPr>
                    <w:t>2.医保结算数据；</w:t>
                  </w:r>
                  <w:r>
                    <w:br/>
                  </w:r>
                  <w:r>
                    <w:rPr>
                      <w:sz w:val="22"/>
                      <w:color w:val="000000"/>
                    </w:rPr>
                    <w:t>3.医疗机构诊疗数据；</w:t>
                  </w:r>
                  <w:r>
                    <w:br/>
                  </w:r>
                  <w:r>
                    <w:rPr>
                      <w:sz w:val="22"/>
                      <w:color w:val="000000"/>
                    </w:rPr>
                    <w:t>4.基础规则库构建。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将不得纳入基金支付范围的中药饮片纳入医保结算为违规。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中药饮片单方使用不予支付</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单独使用时统筹基金不予支付，且全部由这些饮片组成的处方统筹基金也不予支付。</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1.中药饮片单方不予支付规则库；</w:t>
                  </w:r>
                  <w:r>
                    <w:br/>
                  </w:r>
                  <w:r>
                    <w:rPr>
                      <w:sz w:val="22"/>
                      <w:color w:val="000000"/>
                    </w:rPr>
                    <w:t>2.医保结算数据；</w:t>
                  </w:r>
                  <w:r>
                    <w:br/>
                  </w:r>
                  <w:r>
                    <w:rPr>
                      <w:sz w:val="22"/>
                      <w:color w:val="000000"/>
                    </w:rPr>
                    <w:t>3.医疗机构诊疗数据；</w:t>
                  </w:r>
                  <w:r>
                    <w:br/>
                  </w:r>
                  <w:r>
                    <w:rPr>
                      <w:sz w:val="22"/>
                      <w:color w:val="000000"/>
                    </w:rPr>
                    <w:t>4.基础规则库构建。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单独使用且全部由不予支付的中药饮片单方组成的处方纳入医保结算为违规。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药品限新生儿使用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仅限新生儿时可支付的药品，非新生儿人群使用且纳入基本医疗保险基金支付。</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1.限新生儿药品规则库；</w:t>
                  </w:r>
                  <w:r>
                    <w:br/>
                  </w:r>
                  <w:r>
                    <w:rPr>
                      <w:sz w:val="22"/>
                      <w:color w:val="000000"/>
                    </w:rPr>
                    <w:t>2.参保人基础信息库；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就诊信息中仅限新生儿可支付的药品，由非新生儿人群使用且纳入基本医疗保险基金支付则为违规。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药品限儿童使用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参保人年龄超出儿童年龄限制。</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1.限儿童药品规则库；</w:t>
                  </w:r>
                  <w:r>
                    <w:br/>
                  </w:r>
                  <w:r>
                    <w:rPr>
                      <w:sz w:val="22"/>
                      <w:color w:val="000000"/>
                    </w:rPr>
                    <w:t>2.参保人基础信息库；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参保人年龄超出儿童年龄限制，却使用限儿童药品目录，产生的医保结算数据为违规数据。</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药品限适应症</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有适应症支付限定的药品，如无相应适应症使用且纳入基本医疗保险基金支付。</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1.限适应症药品规则库；</w:t>
                  </w:r>
                  <w:r>
                    <w:br/>
                  </w:r>
                  <w:r>
                    <w:rPr>
                      <w:sz w:val="22"/>
                      <w:color w:val="000000"/>
                    </w:rPr>
                    <w:t>2.医保结算数据；</w:t>
                  </w:r>
                  <w:r>
                    <w:br/>
                  </w:r>
                  <w:r>
                    <w:rPr>
                      <w:sz w:val="22"/>
                      <w:color w:val="000000"/>
                    </w:rPr>
                    <w:t xml:space="preserve">3.参保人历史就诊数据； </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就诊信息中有适应症支付限定的药品，如无相应适应症使用且纳入基本医疗保险基金支付为疑似违规。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医疗服务项目限新生儿使用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仅限新生儿时可支付的医疗服务项目，非新生儿人群使用且纳入基本医疗保险基金支付。</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1.新生儿专用医疗服务项目规则库；</w:t>
                  </w:r>
                  <w:r>
                    <w:br/>
                  </w:r>
                  <w:r>
                    <w:rPr>
                      <w:sz w:val="22"/>
                      <w:color w:val="000000"/>
                    </w:rPr>
                    <w:t>2.参保人基础信息库；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就诊信息中仅限新生儿时可支付的医疗服务项目，非新生儿人群使用且纳入基本医疗保险基金支付为违规。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医疗服务项目限儿童使用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仅限儿童可支付的医疗服务项目，非儿童人群使用且纳入基本医疗保险基金支付。</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1.儿童专用医疗服务项目规则库；</w:t>
                  </w:r>
                  <w:r>
                    <w:br/>
                  </w:r>
                  <w:r>
                    <w:rPr>
                      <w:sz w:val="22"/>
                      <w:color w:val="000000"/>
                    </w:rPr>
                    <w:t>2.参保人基础信息库；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就诊信息中仅限儿童可支付的医疗服务项目，非儿童人群使用且纳入基本医疗保险基金支付为违规。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医疗服务项目限定频次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对医疗服务项目分类与代码中有使用频次限定的医疗服务项目进行监管。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1.限频次医疗服务项目规则库；</w:t>
                  </w:r>
                  <w:r>
                    <w:br/>
                  </w:r>
                  <w:r>
                    <w:rPr>
                      <w:sz w:val="22"/>
                      <w:color w:val="000000"/>
                    </w:rPr>
                    <w:t>2.参保人就诊历史数据库；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使用项目的数量总计超过上限数量。</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医疗服务项目限年龄</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对医疗服务项目分类与代码中限年龄使用的医疗服务项目进行监管。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1.限年龄医疗服务项目规则库；</w:t>
                  </w:r>
                  <w:r>
                    <w:br/>
                  </w:r>
                  <w:r>
                    <w:rPr>
                      <w:sz w:val="22"/>
                      <w:color w:val="000000"/>
                    </w:rPr>
                    <w:t>2.参保人基础信息库；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就诊信息中仅限年龄可支付的医疗服务项目，若超龄人群使用且纳入基本医疗保险基金支付则违反此规则。</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耗材限新生儿使用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对《医保医用耗材分类与代码数据库》中限新生儿使用的医用耗材进行监管。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1.新生儿专用耗材规则库；</w:t>
                  </w:r>
                  <w:r>
                    <w:br/>
                  </w:r>
                  <w:r>
                    <w:rPr>
                      <w:sz w:val="22"/>
                      <w:color w:val="000000"/>
                    </w:rPr>
                    <w:t>2.参保人基础信息库；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就诊信息中仅限新生儿时可支付的耗材，非新生儿人群使用且纳入基本医疗保险基金支付则违反此规则。</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耗材限儿童使用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对《医保医用耗材分类与代码数据库》中限儿童使用的耗材进行监管。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1.儿童专用耗材规则库；</w:t>
                  </w:r>
                  <w:r>
                    <w:br/>
                  </w:r>
                  <w:r>
                    <w:rPr>
                      <w:sz w:val="22"/>
                      <w:color w:val="000000"/>
                    </w:rPr>
                    <w:t>2.参保人基础信息库；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就诊信息中仅限儿童可支付的耗材，非儿童人群使用且纳入基本医疗保险基金支付则违反此规则。</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疾病诊断编码异常</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对医保结算清单中填写的诊断编码在结算明细中无对应医疗服务项目</w:t>
                  </w:r>
                  <w:r>
                    <w:rPr>
                      <w:sz w:val="22"/>
                      <w:color w:val="000000"/>
                    </w:rPr>
                    <w:t>(或药品、医用耗材)的情形进行监管。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1.诊断编码关联规则库；</w:t>
                  </w:r>
                  <w:r>
                    <w:br/>
                  </w:r>
                  <w:r>
                    <w:rPr>
                      <w:sz w:val="22"/>
                      <w:color w:val="000000"/>
                    </w:rPr>
                    <w:t>2.医保结算清单数据；</w:t>
                  </w:r>
                  <w:r>
                    <w:br/>
                  </w:r>
                  <w:r>
                    <w:rPr>
                      <w:sz w:val="22"/>
                      <w:color w:val="000000"/>
                    </w:rPr>
                    <w:t>3.医保收费明细数据；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医保结算清单中填写的诊断编码，如在结算明细中无对应的医疗服务项目</w:t>
                  </w:r>
                  <w:r>
                    <w:rPr>
                      <w:sz w:val="22"/>
                      <w:color w:val="000000"/>
                    </w:rPr>
                    <w:t>(或药品、医用耗材)，则疑似违规。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手术操作编码异常</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对医保结算清单中手术操作编码信息缺失、错编、主手术选择错误情形进行监管。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1.手术编码关联规则库；</w:t>
                  </w:r>
                  <w:r>
                    <w:br/>
                  </w:r>
                  <w:r>
                    <w:rPr>
                      <w:sz w:val="22"/>
                      <w:color w:val="000000"/>
                    </w:rPr>
                    <w:t>2.医保结算清单数据；</w:t>
                  </w:r>
                  <w:r>
                    <w:br/>
                  </w:r>
                  <w:r>
                    <w:rPr>
                      <w:sz w:val="22"/>
                      <w:color w:val="000000"/>
                    </w:rPr>
                    <w:t>3.医保收费明细数据；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1.医保结算清单中填报的手术操作编码必须与结算明细中对应的医疗服务项目、耗材、药品同时出现，否则违反此规则；</w:t>
                  </w:r>
                  <w:r>
                    <w:br/>
                  </w:r>
                  <w:r>
                    <w:rPr>
                      <w:sz w:val="22"/>
                      <w:color w:val="000000"/>
                    </w:rPr>
                    <w:t>2.结算明细中出现的医疗服务项目、医用耗材必须对应手术操作，但医保结算清单未上传该手术操作编码则违反此规则；</w:t>
                  </w:r>
                  <w:r>
                    <w:br/>
                  </w:r>
                  <w:r>
                    <w:rPr>
                      <w:sz w:val="22"/>
                      <w:color w:val="000000"/>
                    </w:rPr>
                    <w:t>3.医保结算清单中填报的多个手术操作编码，主要手术操作编码不符合上传要求则疑似违规。</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手术操作编码与性别不符</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对医保结算清单中手术操作编码与参保人性别不符的情形进行监管。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1.性别特异性手术规则库；</w:t>
                  </w:r>
                  <w:r>
                    <w:br/>
                  </w:r>
                  <w:r>
                    <w:rPr>
                      <w:sz w:val="22"/>
                      <w:color w:val="000000"/>
                    </w:rPr>
                    <w:t>2.参保人基础信息库 ；</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医保结算清单中填报了仅限某一性别使用的手术操作编码，但患者性别与该手术不符则疑似违规。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诊断编码与手术操作编码不符</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对医保结算清单中主要诊断编码和主要手术操作编码的相关性进行监管。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1.诊断-手术匹配规则库；</w:t>
                  </w:r>
                  <w:r>
                    <w:br/>
                  </w:r>
                  <w:r>
                    <w:rPr>
                      <w:sz w:val="22"/>
                      <w:color w:val="000000"/>
                    </w:rPr>
                    <w:t>2.不入组编码库；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对医保结算清单中填报的主要诊断编码和主要手术操作编码的相关性进行判断，不相关则疑似违规。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诊断与患者性别不符</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对参保人诊断与性别不符的情形进行监管。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1.性别特异性疾病规则库；</w:t>
                  </w:r>
                  <w:r>
                    <w:br/>
                  </w:r>
                  <w:r>
                    <w:rPr>
                      <w:sz w:val="22"/>
                      <w:color w:val="000000"/>
                    </w:rPr>
                    <w:t>2.参保人基础信息库；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就诊信息中出现仅限某一性别人群所患疾病时，若诊断与患者性别不符则疑似违规。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诊断与患者年龄不符</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对参保人诊断与年龄不符情形进行监管。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1.年龄相关性疾病规则库；</w:t>
                  </w:r>
                  <w:r>
                    <w:br/>
                  </w:r>
                  <w:r>
                    <w:rPr>
                      <w:sz w:val="22"/>
                      <w:color w:val="000000"/>
                    </w:rPr>
                    <w:t>2.参保人基础信息库；</w:t>
                  </w:r>
                  <w:r>
                    <w:br/>
                  </w:r>
                  <w:r>
                    <w:rPr>
                      <w:sz w:val="22"/>
                      <w:color w:val="000000"/>
                    </w:rPr>
                    <w:t>3.医保结算数据；</w:t>
                  </w:r>
                  <w:r>
                    <w:br/>
                  </w:r>
                  <w:r>
                    <w:rPr>
                      <w:sz w:val="22"/>
                      <w:color w:val="000000"/>
                    </w:rPr>
                    <w:t>4.医疗机构诊疗数据；</w:t>
                  </w:r>
                </w:p>
                <w:p>
                  <w:pPr>
                    <w:pStyle w:val="null3"/>
                    <w:jc w:val="left"/>
                  </w:pP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就诊信息中出现仅限某年龄人群所患疾病时，若诊断与患者年龄不符则疑似违规。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药品儿童禁用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对儿童禁忌使用的药物进行监管。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1.儿童禁用药品规则库；</w:t>
                  </w:r>
                  <w:r>
                    <w:br/>
                  </w:r>
                  <w:r>
                    <w:rPr>
                      <w:sz w:val="22"/>
                      <w:color w:val="000000"/>
                    </w:rPr>
                    <w:t>2.参保人基础信息库；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就诊信息中有儿童禁用的药品，儿童人群使用则违反此规则。</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老年人用药安全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对《广东省基本医疗保险、工伤保险和生育保险药品目录》及《医保药品分类与代码数据库》中有老年人使用禁忌的药品进行监管。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1.老年潜在不适当用药规则库；</w:t>
                  </w:r>
                  <w:r>
                    <w:br/>
                  </w:r>
                  <w:r>
                    <w:rPr>
                      <w:sz w:val="22"/>
                      <w:color w:val="000000"/>
                    </w:rPr>
                    <w:t>2.参保人基础信息库；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就诊信息中有老年人使用禁忌的药品，如参保人为老年人且该药品纳入基本医疗保险基金支付则疑似违规。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妊娠期及哺乳期用药安全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对《广东省基本医疗保险、工伤保险和生育保险药品目录》及《医保药品分类与代码数据库》中有妊娠期或哺乳期人群禁忌的药品进行监管。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1.药品妊娠/哺乳期禁忌规则库；</w:t>
                  </w:r>
                  <w:r>
                    <w:br/>
                  </w:r>
                  <w:r>
                    <w:rPr>
                      <w:sz w:val="22"/>
                      <w:color w:val="000000"/>
                    </w:rPr>
                    <w:t>2.参保人基础信息库；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就诊信息中有妊娠期或哺乳期人群禁忌的药品，如参保人为妊娠期或哺乳期人群且该药品纳入基本医疗保险基金支付则疑似违规。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药品相互作用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对《广东省基本医疗保险、工伤保险和生育保险药品目录》及《医保药品分类与代码数据库》中有不良相互作用的药品进行监管。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1.药品相互作用规则库；</w:t>
                  </w:r>
                  <w:r>
                    <w:br/>
                  </w:r>
                  <w:r>
                    <w:rPr>
                      <w:sz w:val="22"/>
                      <w:color w:val="000000"/>
                    </w:rPr>
                    <w:t>2.医保结算数据；</w:t>
                  </w:r>
                  <w:r>
                    <w:br/>
                  </w:r>
                  <w:r>
                    <w:rPr>
                      <w:sz w:val="22"/>
                      <w:color w:val="000000"/>
                    </w:rPr>
                    <w:t>3.医疗机构诊疗数据；</w:t>
                  </w:r>
                  <w:r>
                    <w:br/>
                  </w:r>
                  <w:r>
                    <w:rPr>
                      <w:sz w:val="22"/>
                      <w:color w:val="000000"/>
                    </w:rPr>
                    <w:t>4.临床规范数据库；</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对就诊信息中的药品进行审核，若使用的两种及以上药品存在不良的相互作用，则疑似违规。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中药饮片配伍禁忌</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对《国家基本医疗保险、工伤保险和生育保险药品目录》及《医保药品分类与代码数据库》的中药饮片配伍进行监管。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1.中药饮片配伍禁忌规则库；</w:t>
                  </w:r>
                  <w:r>
                    <w:br/>
                  </w:r>
                  <w:r>
                    <w:rPr>
                      <w:sz w:val="22"/>
                      <w:color w:val="000000"/>
                    </w:rPr>
                    <w:t>2.医保结算数据；</w:t>
                  </w:r>
                  <w:r>
                    <w:br/>
                  </w:r>
                  <w:r>
                    <w:rPr>
                      <w:sz w:val="22"/>
                      <w:color w:val="000000"/>
                    </w:rPr>
                    <w:t>3.医疗机构诊疗数据；</w:t>
                  </w:r>
                  <w:r>
                    <w:br/>
                  </w:r>
                  <w:r>
                    <w:rPr>
                      <w:sz w:val="22"/>
                      <w:color w:val="000000"/>
                    </w:rPr>
                    <w:t>4.临床规范数据库；</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就诊信息中的任意两味中药饮片，如存在配伍禁忌且纳入基本医疗保险基金支付则违反此规则。</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中药饮片超大处方</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对《国家基本医疗保险、工伤保险和生育保险药品目录》及《医保药品分类与代码数据库》的</w:t>
                  </w:r>
                  <w:r>
                    <w:rPr>
                      <w:sz w:val="22"/>
                      <w:color w:val="000000"/>
                    </w:rPr>
                    <w:t>中药饮片处方味数</w:t>
                  </w:r>
                  <w:r>
                    <w:rPr>
                      <w:sz w:val="22"/>
                      <w:color w:val="000000"/>
                    </w:rPr>
                    <w:t>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1.中药饮片处方味数规则库；</w:t>
                  </w:r>
                  <w:r>
                    <w:br/>
                  </w:r>
                  <w:r>
                    <w:rPr>
                      <w:sz w:val="22"/>
                      <w:color w:val="000000"/>
                    </w:rPr>
                    <w:t>2.医保结算数据；</w:t>
                  </w:r>
                  <w:r>
                    <w:br/>
                  </w:r>
                  <w:r>
                    <w:rPr>
                      <w:sz w:val="22"/>
                      <w:color w:val="000000"/>
                    </w:rPr>
                    <w:t>3.医疗机构诊疗数据；</w:t>
                  </w:r>
                  <w:r>
                    <w:br/>
                  </w:r>
                  <w:r>
                    <w:rPr>
                      <w:sz w:val="22"/>
                      <w:color w:val="000000"/>
                    </w:rPr>
                    <w:t>4.临床规范数据库；</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就诊信息中药饮片上传味数，超出限定味数则疑似违规。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无指征检验检查</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对检验检查无相应适应症等情形进行监管。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1.检验检查项目适应症规则库；</w:t>
                  </w:r>
                  <w:r>
                    <w:br/>
                  </w:r>
                  <w:r>
                    <w:rPr>
                      <w:sz w:val="22"/>
                      <w:color w:val="000000"/>
                    </w:rPr>
                    <w:t>2.参保人基础信息库；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就诊信息中检验检查相对应的适应症等情形未出现在就诊信息中出现则疑似违规。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无指征治疗</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对医疗服务项目分类与代码中与疾病无关或无治疗依据而反复多次使用的医疗服务项目进行监管。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1.诊疗项目指征规则库；</w:t>
                  </w:r>
                  <w:r>
                    <w:br/>
                  </w:r>
                  <w:r>
                    <w:rPr>
                      <w:sz w:val="22"/>
                      <w:color w:val="000000"/>
                    </w:rPr>
                    <w:t>2.医保结算数据；</w:t>
                  </w:r>
                  <w:r>
                    <w:br/>
                  </w:r>
                  <w:r>
                    <w:rPr>
                      <w:sz w:val="22"/>
                      <w:color w:val="000000"/>
                    </w:rPr>
                    <w:t>3.医疗机构诊疗数据；</w:t>
                  </w:r>
                  <w:r>
                    <w:br/>
                  </w:r>
                  <w:r>
                    <w:rPr>
                      <w:sz w:val="22"/>
                      <w:color w:val="000000"/>
                    </w:rPr>
                    <w:t>4.临床规范数据库；</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就诊信息中对有特定指征的治疗项目进行审核，若就诊信息不满足限定条件，则疑似违规。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医疗服务项目儿童禁用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在保障儿童就医权益、落实儿科倾斜支持政策的前提下，精准识别</w:t>
                  </w:r>
                  <w:r>
                    <w:rPr>
                      <w:sz w:val="22"/>
                      <w:color w:val="000000"/>
                    </w:rPr>
                    <w:t>“成人违规套用儿童专用项目、超年龄申请儿童服务价格加收、串换项目套取基金”等违规行为进行监管。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1.医保结算明细数据；</w:t>
                  </w:r>
                  <w:r>
                    <w:br/>
                  </w:r>
                  <w:r>
                    <w:rPr>
                      <w:sz w:val="22"/>
                      <w:color w:val="000000"/>
                    </w:rPr>
                    <w:t>2.参保人基础信息数据；</w:t>
                  </w:r>
                  <w:r>
                    <w:br/>
                  </w:r>
                  <w:r>
                    <w:rPr>
                      <w:sz w:val="22"/>
                      <w:color w:val="000000"/>
                    </w:rPr>
                    <w:t>3.医疗服务项目规则库；</w:t>
                  </w:r>
                  <w:r>
                    <w:br/>
                  </w:r>
                  <w:r>
                    <w:rPr>
                      <w:sz w:val="22"/>
                      <w:color w:val="000000"/>
                    </w:rPr>
                    <w:t>4.临床诊疗知识库。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1.核心判定逻辑</w:t>
                  </w:r>
                  <w:r>
                    <w:br/>
                  </w:r>
                  <w:r>
                    <w:rPr>
                      <w:sz w:val="22"/>
                      <w:color w:val="000000"/>
                    </w:rPr>
                    <w:t>(1)儿童身份判定；</w:t>
                  </w:r>
                  <w:r>
                    <w:br/>
                  </w:r>
                  <w:r>
                    <w:rPr>
                      <w:sz w:val="22"/>
                      <w:color w:val="000000"/>
                    </w:rPr>
                    <w:t>(2)项目适配性判定。</w:t>
                  </w:r>
                  <w:r>
                    <w:br/>
                  </w:r>
                  <w:r>
                    <w:rPr>
                      <w:sz w:val="22"/>
                      <w:color w:val="000000"/>
                    </w:rPr>
                    <w:t>2.例外豁免逻辑</w:t>
                  </w:r>
                  <w:r>
                    <w:br/>
                  </w:r>
                  <w:r>
                    <w:rPr>
                      <w:sz w:val="22"/>
                      <w:color w:val="000000"/>
                    </w:rPr>
                    <w:t>(1)紧急救治场景下；</w:t>
                  </w:r>
                  <w:r>
                    <w:br/>
                  </w:r>
                  <w:r>
                    <w:rPr>
                      <w:sz w:val="22"/>
                      <w:color w:val="000000"/>
                    </w:rPr>
                    <w:t>(2)罕见病、特殊疾病诊疗；</w:t>
                  </w:r>
                  <w:r>
                    <w:br/>
                  </w:r>
                  <w:r>
                    <w:rPr>
                      <w:sz w:val="22"/>
                      <w:color w:val="000000"/>
                    </w:rPr>
                    <w:t>(3)纳入临床研究项目且通过伦理审查的超范围使用。</w:t>
                  </w:r>
                  <w:r>
                    <w:br/>
                  </w:r>
                  <w:r>
                    <w:rPr>
                      <w:sz w:val="22"/>
                      <w:color w:val="000000"/>
                    </w:rPr>
                    <w:t>3.分级处置逻辑。</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医疗服务项目区分性别使用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对医疗服务项目分类与代码区分性别使用的医疗服务项目进行监管。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1.性别特异性项目规则库；</w:t>
                  </w:r>
                  <w:r>
                    <w:br/>
                  </w:r>
                  <w:r>
                    <w:rPr>
                      <w:sz w:val="22"/>
                      <w:color w:val="000000"/>
                    </w:rPr>
                    <w:t>2.参保人基础信息库；</w:t>
                  </w:r>
                  <w:r>
                    <w:br/>
                  </w:r>
                  <w:r>
                    <w:rPr>
                      <w:sz w:val="22"/>
                      <w:color w:val="000000"/>
                    </w:rPr>
                    <w:t>3.医保结算数据；</w:t>
                  </w:r>
                  <w:r>
                    <w:br/>
                  </w:r>
                  <w:r>
                    <w:rPr>
                      <w:sz w:val="22"/>
                      <w:color w:val="000000"/>
                    </w:rPr>
                    <w:t>4.医疗机构诊疗数据；</w:t>
                  </w:r>
                  <w:r>
                    <w:br/>
                  </w:r>
                  <w:r>
                    <w:rPr>
                      <w:sz w:val="22"/>
                      <w:color w:val="000000"/>
                    </w:rPr>
                    <w:t>5.基础规则库构建。</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就诊信息中诊疗项目与限定性别不符产生的医保结算数据为违规数据。</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医疗服务项目超适应症使用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对未按照适应症范围使用医疗服务项目的情形进行监管。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1.《中山市基本医疗服务价格目录》(本地或省级医保部门价格政策库)；</w:t>
                  </w:r>
                  <w:r>
                    <w:br/>
                  </w:r>
                  <w:r>
                    <w:rPr>
                      <w:sz w:val="22"/>
                      <w:color w:val="000000"/>
                    </w:rPr>
                    <w:t>2.临床诊疗规范数据库；</w:t>
                  </w:r>
                  <w:r>
                    <w:br/>
                  </w:r>
                  <w:r>
                    <w:rPr>
                      <w:sz w:val="22"/>
                      <w:color w:val="000000"/>
                    </w:rPr>
                    <w:t>3.医保结算数据；</w:t>
                  </w:r>
                  <w:r>
                    <w:br/>
                  </w:r>
                  <w:r>
                    <w:rPr>
                      <w:sz w:val="22"/>
                      <w:color w:val="000000"/>
                    </w:rPr>
                    <w:t>4.医疗机构诊疗数据；</w:t>
                  </w:r>
                  <w:r>
                    <w:br/>
                  </w:r>
                  <w:r>
                    <w:rPr>
                      <w:sz w:val="22"/>
                      <w:color w:val="000000"/>
                    </w:rPr>
                    <w:t>5.基于省级医保医疗服务项目目录和临床诊疗规范。</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就诊信息中无相应的适应症，则就诊信息中医疗服务项目疑似违规。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医用耗材与医疗服务项目不符</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对《医保医用耗材分类与代码数据库》中需与特定医疗服务项目同时使用的耗材进行监管。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1.《中山市基本医疗服务价格目录》(本地或省级医保部门价格政策库)；</w:t>
                  </w:r>
                  <w:r>
                    <w:br/>
                  </w:r>
                  <w:r>
                    <w:rPr>
                      <w:sz w:val="22"/>
                      <w:color w:val="000000"/>
                    </w:rPr>
                    <w:t>2.整理《医保医用耗材分类与代码数据库》形成《耗材-项目对应规则库》；</w:t>
                  </w:r>
                  <w:r>
                    <w:br/>
                  </w:r>
                  <w:r>
                    <w:rPr>
                      <w:sz w:val="22"/>
                      <w:color w:val="000000"/>
                    </w:rPr>
                    <w:t>3.医保结算数据；</w:t>
                  </w:r>
                  <w:r>
                    <w:br/>
                  </w:r>
                  <w:r>
                    <w:rPr>
                      <w:sz w:val="22"/>
                      <w:color w:val="000000"/>
                    </w:rPr>
                    <w:t>4.医疗机构诊疗数据；</w:t>
                  </w:r>
                  <w:r>
                    <w:br/>
                  </w:r>
                  <w:r>
                    <w:rPr>
                      <w:sz w:val="22"/>
                      <w:color w:val="000000"/>
                    </w:rPr>
                    <w:t>5.基于医疗服务价格项目规范和医保耗材目录。</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就诊信息中有需与特定医疗服务项目同时使用的耗材，如无对应项目且该耗材纳入基本医疗保险基金支付则疑似违规。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医用耗材数量超标</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对《医保医用耗材分类与代码数据库》中有使用数量限定的耗材进行监管。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1.《医保医用耗材分类与代码数据库》(省级或地方医保部门组织专家论证制定)；</w:t>
                  </w:r>
                  <w:r>
                    <w:br/>
                  </w:r>
                  <w:r>
                    <w:rPr>
                      <w:sz w:val="22"/>
                      <w:color w:val="000000"/>
                    </w:rPr>
                    <w:t>2.医保结算数据；</w:t>
                  </w:r>
                  <w:r>
                    <w:br/>
                  </w:r>
                  <w:r>
                    <w:rPr>
                      <w:sz w:val="22"/>
                      <w:color w:val="000000"/>
                    </w:rPr>
                    <w:t>3.医疗机构诊疗数据；</w:t>
                  </w:r>
                  <w:r>
                    <w:br/>
                  </w:r>
                  <w:r>
                    <w:rPr>
                      <w:sz w:val="22"/>
                      <w:color w:val="000000"/>
                    </w:rPr>
                    <w:t>4.临床路径数据库；</w:t>
                  </w:r>
                  <w:r>
                    <w:br/>
                  </w:r>
                  <w:r>
                    <w:rPr>
                      <w:sz w:val="22"/>
                      <w:color w:val="000000"/>
                    </w:rPr>
                    <w:t>5.基于临床路径、专家论证和大数据统计，梳理形成“手术/项目-耗材”用量标准库。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就诊信息中有使用数量标准的耗材，如使用数量超出标准且超出部分纳入基本医疗保险基金支付则疑似违规。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医用耗材与性别不符</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对《医保医用耗材分类与代码数据库》中与性别对应的医用耗材进行监管。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1.参保人基础信息库；</w:t>
                  </w:r>
                  <w:r>
                    <w:br/>
                  </w:r>
                  <w:r>
                    <w:rPr>
                      <w:sz w:val="22"/>
                      <w:color w:val="000000"/>
                    </w:rPr>
                    <w:t>2.《医保医用耗材分类与代码数据库》(省级医保部门)；</w:t>
                  </w:r>
                  <w:r>
                    <w:br/>
                  </w:r>
                  <w:r>
                    <w:rPr>
                      <w:sz w:val="22"/>
                      <w:color w:val="000000"/>
                    </w:rPr>
                    <w:t>3.医保结算数据(医保结算系统)；</w:t>
                  </w:r>
                  <w:r>
                    <w:br/>
                  </w:r>
                  <w:r>
                    <w:rPr>
                      <w:sz w:val="22"/>
                      <w:color w:val="000000"/>
                    </w:rPr>
                    <w:t>4.耗材注册数据库(药监部门数据库)；</w:t>
                  </w:r>
                  <w:r>
                    <w:br/>
                  </w:r>
                  <w:r>
                    <w:rPr>
                      <w:sz w:val="22"/>
                      <w:color w:val="000000"/>
                    </w:rPr>
                    <w:t>5.基于省级医保耗材目录和药监部门注册信息，梳理形成性别限制性耗材清单。</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就诊信息中医用耗材与性别不符合，如使用纳入基本医疗保险基金支付则违反此规则。</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医用耗材限疾病使用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对《医保医用耗材分类与代码数据库》中有限定疾病诊断的医用耗材进行监管。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1.《医保医用耗材分类与代码数据库》(省级医保部门)；</w:t>
                  </w:r>
                  <w:r>
                    <w:br/>
                  </w:r>
                  <w:r>
                    <w:rPr>
                      <w:sz w:val="22"/>
                      <w:color w:val="000000"/>
                    </w:rPr>
                    <w:t>2.医保结算数据；</w:t>
                  </w:r>
                  <w:r>
                    <w:br/>
                  </w:r>
                  <w:r>
                    <w:rPr>
                      <w:sz w:val="22"/>
                      <w:color w:val="000000"/>
                    </w:rPr>
                    <w:t>3.医疗机构诊疗数据；</w:t>
                  </w:r>
                  <w:r>
                    <w:br/>
                  </w:r>
                  <w:r>
                    <w:rPr>
                      <w:sz w:val="22"/>
                      <w:color w:val="000000"/>
                    </w:rPr>
                    <w:t>4.耗材注册数据库。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就诊信息中医用耗材与疾病诊断不匹配，如使用并纳入基本医疗保险基金支付则疑似违规。</w:t>
                  </w:r>
                  <w:r>
                    <w:br/>
                  </w:r>
                  <w:r>
                    <w:rPr>
                      <w:sz w:val="22"/>
                      <w:color w:val="000000"/>
                    </w:rPr>
                    <w:t>1.初步匹配规则（触发预警）；</w:t>
                  </w:r>
                  <w:r>
                    <w:br/>
                  </w:r>
                  <w:r>
                    <w:rPr>
                      <w:sz w:val="22"/>
                      <w:color w:val="000000"/>
                    </w:rPr>
                    <w:t>2.违规核验规则（确认嫌疑）；</w:t>
                  </w:r>
                  <w:r>
                    <w:br/>
                  </w:r>
                  <w:r>
                    <w:rPr>
                      <w:sz w:val="22"/>
                      <w:color w:val="000000"/>
                    </w:rPr>
                    <w:t>3.例外排除规则（合规情形）；</w:t>
                  </w:r>
                  <w:r>
                    <w:br/>
                  </w:r>
                  <w:r>
                    <w:rPr>
                      <w:sz w:val="22"/>
                      <w:color w:val="000000"/>
                    </w:rPr>
                    <w:t>4.重点筛查场景；</w:t>
                  </w:r>
                  <w:r>
                    <w:br/>
                  </w:r>
                  <w:r>
                    <w:rPr>
                      <w:sz w:val="22"/>
                      <w:color w:val="000000"/>
                    </w:rPr>
                    <w:t>5.机构层面系统性违规识别指标。</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交通事故就医的责任分担比例识别</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参保人因交通事故就医的，应当根据交管等部门的责任认定书，第三方责任应由第三方支付，医保只支付己方责任对应比例的费用。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1.交管部门责任认定数据；</w:t>
                  </w:r>
                  <w:r>
                    <w:br/>
                  </w:r>
                  <w:r>
                    <w:rPr>
                      <w:sz w:val="22"/>
                      <w:color w:val="000000"/>
                    </w:rPr>
                    <w:t>2.医保结算数据；</w:t>
                  </w:r>
                  <w:r>
                    <w:br/>
                  </w:r>
                  <w:r>
                    <w:rPr>
                      <w:sz w:val="22"/>
                      <w:color w:val="000000"/>
                    </w:rPr>
                    <w:t>3.医疗机构诊疗数据；</w:t>
                  </w:r>
                  <w:r>
                    <w:br/>
                  </w:r>
                  <w:r>
                    <w:rPr>
                      <w:sz w:val="22"/>
                      <w:color w:val="000000"/>
                    </w:rPr>
                    <w:t>4.补充核验数据。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根据交管部门提供的事故责任认定书涉及的身份证号码、事故发生时间、责任比例，与医保结算数据进行核对，事故发生后就医使用医保结算，非己方责任的医保费用为疑似违规数据。</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人身伤害就医的责任分担比例识别</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涉及人身伤害就医的，应当根据公安、法院等司法部门的认定书或判决书，第三方责任应由第三方支付，医保只支付己方责任对应比例的费用。</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2"/>
                      <w:color w:val="000000"/>
                    </w:rPr>
                    <w:t>1.医保结算数据；</w:t>
                  </w:r>
                  <w:r>
                    <w:br/>
                  </w:r>
                  <w:r>
                    <w:rPr>
                      <w:sz w:val="22"/>
                      <w:color w:val="000000"/>
                    </w:rPr>
                    <w:t>2.司法/行政责任认定数据；</w:t>
                  </w:r>
                  <w:r>
                    <w:br/>
                  </w:r>
                  <w:r>
                    <w:rPr>
                      <w:sz w:val="22"/>
                      <w:color w:val="000000"/>
                    </w:rPr>
                    <w:t>3.医疗机构诊疗数据；</w:t>
                  </w:r>
                  <w:r>
                    <w:br/>
                  </w:r>
                  <w:r>
                    <w:rPr>
                      <w:sz w:val="22"/>
                      <w:color w:val="000000"/>
                    </w:rPr>
                    <w:t>4.医保举报线索库。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涉及人身伤害就医的，应当根据公安、法院等司法部门的认定书或判决书，第三方责任应由第三方支付，医保只支付己方责任对应比例的费用。根据公安、法院等司法部门的认定书或判决书涉及的身份证号码、伤害发生时间、责任比例，与期间医保结算数据进行核对，伤害发生后就医使用医保结算，非己方责任的医保费用为疑似违规数据。</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耗材限工伤保险</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指纳入《基本医疗保险、工伤保险和生育保险医用耗材目录》且明确标注</w:t>
                  </w:r>
                  <w:r>
                    <w:rPr>
                      <w:sz w:val="22"/>
                      <w:color w:val="000000"/>
                    </w:rPr>
                    <w:t>“仅限工伤保险基金支付”的医用耗材，仅可在参保人员被认定为工伤、享受工伤保险待遇的场景下纳入基金报销范围，不得使用基本医疗保险（含职工医保、居民医保）、生育保险基金进行支付。</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1.医保结算明细数据；</w:t>
                  </w:r>
                  <w:r>
                    <w:br/>
                  </w:r>
                  <w:r>
                    <w:rPr>
                      <w:sz w:val="22"/>
                      <w:color w:val="000000"/>
                    </w:rPr>
                    <w:t>2.参保人基础信息数据；</w:t>
                  </w:r>
                  <w:r>
                    <w:br/>
                  </w:r>
                  <w:r>
                    <w:rPr>
                      <w:sz w:val="22"/>
                      <w:color w:val="000000"/>
                    </w:rPr>
                    <w:t>3.医用耗材规则库；</w:t>
                  </w:r>
                  <w:r>
                    <w:br/>
                  </w:r>
                  <w:r>
                    <w:rPr>
                      <w:sz w:val="22"/>
                      <w:color w:val="000000"/>
                    </w:rPr>
                    <w:t>4.工伤认定备案数据。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1.核心判定逻辑</w:t>
                  </w:r>
                  <w:r>
                    <w:br/>
                  </w:r>
                  <w:r>
                    <w:rPr>
                      <w:sz w:val="22"/>
                      <w:color w:val="000000"/>
                    </w:rPr>
                    <w:t>(1)工伤保险待遇场景判定；</w:t>
                  </w:r>
                  <w:r>
                    <w:br/>
                  </w:r>
                  <w:r>
                    <w:rPr>
                      <w:sz w:val="22"/>
                      <w:color w:val="000000"/>
                    </w:rPr>
                    <w:t>(2)耗材适配性判定。</w:t>
                  </w:r>
                  <w:r>
                    <w:br/>
                  </w:r>
                  <w:r>
                    <w:rPr>
                      <w:sz w:val="22"/>
                      <w:color w:val="000000"/>
                    </w:rPr>
                    <w:t>2.例外豁免规则</w:t>
                  </w:r>
                  <w:r>
                    <w:br/>
                  </w:r>
                  <w:r>
                    <w:rPr>
                      <w:sz w:val="22"/>
                      <w:color w:val="000000"/>
                    </w:rPr>
                    <w:t>(1)工伤认定前的紧急救治场景下使用限工伤保险耗材；</w:t>
                  </w:r>
                  <w:r>
                    <w:br/>
                  </w:r>
                  <w:r>
                    <w:rPr>
                      <w:sz w:val="22"/>
                      <w:color w:val="000000"/>
                    </w:rPr>
                    <w:t>(2)工伤合并其他疾病诊疗；</w:t>
                  </w:r>
                  <w:r>
                    <w:br/>
                  </w:r>
                  <w:r>
                    <w:rPr>
                      <w:sz w:val="22"/>
                      <w:color w:val="000000"/>
                    </w:rPr>
                    <w:t>(3)纳入工伤保险诊疗项目目录且符合工伤康复指征的耗材使用。</w:t>
                  </w:r>
                  <w:r>
                    <w:br/>
                  </w:r>
                  <w:r>
                    <w:rPr>
                      <w:sz w:val="22"/>
                      <w:color w:val="000000"/>
                    </w:rPr>
                    <w:t>3.分级预警逻辑</w:t>
                  </w:r>
                  <w:r>
                    <w:br/>
                  </w:r>
                  <w:r>
                    <w:rPr>
                      <w:sz w:val="22"/>
                      <w:color w:val="000000"/>
                    </w:rPr>
                    <w:t>(1)高风险预警；</w:t>
                  </w:r>
                  <w:r>
                    <w:br/>
                  </w:r>
                  <w:r>
                    <w:rPr>
                      <w:sz w:val="22"/>
                      <w:color w:val="000000"/>
                    </w:rPr>
                    <w:t>(2)中风险预警；</w:t>
                  </w:r>
                  <w:r>
                    <w:br/>
                  </w:r>
                  <w:r>
                    <w:rPr>
                      <w:sz w:val="22"/>
                      <w:color w:val="000000"/>
                    </w:rPr>
                    <w:t>(3)低风险预警。</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药品限医疗机构级别</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指纳入《基本医疗保险、工伤保险和生育保险药品目录》且明确标注</w:t>
                  </w:r>
                  <w:r>
                    <w:rPr>
                      <w:sz w:val="22"/>
                      <w:color w:val="000000"/>
                    </w:rPr>
                    <w:t>“限二级及以上医疗机构使用”等级别限制的药品，仅可在符合限定级别要求的定点医疗机构使用时纳入医保基金支付范围；若低于限定级别的医疗机构（如一级医院、基层诊所、社区卫生服务中心等）违规开具该类药品并纳入医保结算，即属于套取医保基金的违规行为。</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1.医疗服务结算数据；</w:t>
                  </w:r>
                  <w:r>
                    <w:br/>
                  </w:r>
                  <w:r>
                    <w:rPr>
                      <w:sz w:val="22"/>
                      <w:color w:val="000000"/>
                    </w:rPr>
                    <w:t>2.医疗机构基础信息；</w:t>
                  </w:r>
                  <w:r>
                    <w:br/>
                  </w:r>
                  <w:r>
                    <w:rPr>
                      <w:sz w:val="22"/>
                      <w:color w:val="000000"/>
                    </w:rPr>
                    <w:t>3.药品规则库。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1.核心判定逻辑</w:t>
                  </w:r>
                  <w:r>
                    <w:br/>
                  </w:r>
                  <w:r>
                    <w:rPr>
                      <w:sz w:val="22"/>
                      <w:color w:val="000000"/>
                    </w:rPr>
                    <w:t>(1)医疗机构级别判定；</w:t>
                  </w:r>
                  <w:r>
                    <w:br/>
                  </w:r>
                  <w:r>
                    <w:rPr>
                      <w:sz w:val="22"/>
                      <w:color w:val="000000"/>
                    </w:rPr>
                    <w:t>(2)药品适配性判定。</w:t>
                  </w:r>
                  <w:r>
                    <w:br/>
                  </w:r>
                  <w:r>
                    <w:rPr>
                      <w:sz w:val="22"/>
                      <w:color w:val="000000"/>
                    </w:rPr>
                    <w:t>2.例外豁免规则</w:t>
                  </w:r>
                  <w:r>
                    <w:br/>
                  </w:r>
                  <w:r>
                    <w:rPr>
                      <w:sz w:val="22"/>
                      <w:color w:val="000000"/>
                    </w:rPr>
                    <w:t>(1)急危重症抢救场景；</w:t>
                  </w:r>
                  <w:r>
                    <w:br/>
                  </w:r>
                  <w:r>
                    <w:rPr>
                      <w:sz w:val="22"/>
                      <w:color w:val="000000"/>
                    </w:rPr>
                    <w:t>(2)医联体内部上下级医疗机构药品调配场景；</w:t>
                  </w:r>
                  <w:r>
                    <w:br/>
                  </w:r>
                  <w:r>
                    <w:rPr>
                      <w:sz w:val="22"/>
                      <w:color w:val="000000"/>
                    </w:rPr>
                    <w:t>(3)纳入国家基本药物目录且临床路径明确允许基层使用的药品。</w:t>
                  </w:r>
                  <w:r>
                    <w:br/>
                  </w:r>
                  <w:r>
                    <w:rPr>
                      <w:sz w:val="22"/>
                      <w:color w:val="000000"/>
                    </w:rPr>
                    <w:t>3.分级预警逻辑</w:t>
                  </w:r>
                  <w:r>
                    <w:br/>
                  </w:r>
                  <w:r>
                    <w:rPr>
                      <w:sz w:val="22"/>
                      <w:color w:val="000000"/>
                    </w:rPr>
                    <w:t>(1)高风险预警；</w:t>
                  </w:r>
                  <w:r>
                    <w:br/>
                  </w:r>
                  <w:r>
                    <w:rPr>
                      <w:sz w:val="22"/>
                      <w:color w:val="000000"/>
                    </w:rPr>
                    <w:t>(2)中风险预警；</w:t>
                  </w:r>
                  <w:r>
                    <w:br/>
                  </w:r>
                  <w:r>
                    <w:rPr>
                      <w:sz w:val="22"/>
                      <w:color w:val="000000"/>
                    </w:rPr>
                    <w:t>(3)低风险预警。</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药品限就医方式</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指纳入《基本医疗保险、工伤保险和生育保险药品目录》且明确标注</w:t>
                  </w:r>
                  <w:r>
                    <w:rPr>
                      <w:sz w:val="22"/>
                      <w:color w:val="000000"/>
                    </w:rPr>
                    <w:t>“限门诊使用”“限住院使用”等就医方式限制的药品，仅可在限定的就医场景下使用时纳入医保基金支付范围。常见的限制类型包括两类：一是限门诊使用，该类药品仅在门诊就诊、购药场景下可纳入医保报销，住院期间使用不予支付；二是限住院使用，该类药品仅在住院诊疗场景下可纳入医保报销，门诊购药不予支付。若医疗机构或定点零售药店违反上述限定场景结算，即属于套取医保基金的违规行为。</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1.医疗服务结算数据；</w:t>
                  </w:r>
                  <w:r>
                    <w:br/>
                  </w:r>
                  <w:r>
                    <w:rPr>
                      <w:sz w:val="22"/>
                      <w:color w:val="000000"/>
                    </w:rPr>
                    <w:t>2.就医场景标识数据；</w:t>
                  </w:r>
                  <w:r>
                    <w:br/>
                  </w:r>
                  <w:r>
                    <w:rPr>
                      <w:sz w:val="22"/>
                      <w:color w:val="000000"/>
                    </w:rPr>
                    <w:t>3.药品规则库。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1.核心判定逻辑</w:t>
                  </w:r>
                  <w:r>
                    <w:br/>
                  </w:r>
                  <w:r>
                    <w:rPr>
                      <w:sz w:val="22"/>
                      <w:color w:val="000000"/>
                    </w:rPr>
                    <w:t>(1)就医场景判定；</w:t>
                  </w:r>
                  <w:r>
                    <w:br/>
                  </w:r>
                  <w:r>
                    <w:rPr>
                      <w:sz w:val="22"/>
                      <w:color w:val="000000"/>
                    </w:rPr>
                    <w:t>(2)药品适配性判定。</w:t>
                  </w:r>
                  <w:r>
                    <w:br/>
                  </w:r>
                  <w:r>
                    <w:rPr>
                      <w:sz w:val="22"/>
                      <w:color w:val="000000"/>
                    </w:rPr>
                    <w:t>2.例外豁免规则</w:t>
                  </w:r>
                  <w:r>
                    <w:br/>
                  </w:r>
                  <w:r>
                    <w:rPr>
                      <w:sz w:val="22"/>
                      <w:color w:val="000000"/>
                    </w:rPr>
                    <w:t>(1)急危重症抢救场景；</w:t>
                  </w:r>
                  <w:r>
                    <w:br/>
                  </w:r>
                  <w:r>
                    <w:rPr>
                      <w:sz w:val="22"/>
                      <w:color w:val="000000"/>
                    </w:rPr>
                    <w:t>(2)住院患者出院带药场景；</w:t>
                  </w:r>
                  <w:r>
                    <w:br/>
                  </w:r>
                  <w:r>
                    <w:rPr>
                      <w:sz w:val="22"/>
                      <w:color w:val="000000"/>
                    </w:rPr>
                    <w:t>(3)门诊特定病种患者在门诊使用限住院的特殊治疗药品。</w:t>
                  </w:r>
                  <w:r>
                    <w:br/>
                  </w:r>
                  <w:r>
                    <w:rPr>
                      <w:sz w:val="22"/>
                      <w:color w:val="000000"/>
                    </w:rPr>
                    <w:t>3.分级预警逻辑</w:t>
                  </w:r>
                  <w:r>
                    <w:br/>
                  </w:r>
                  <w:r>
                    <w:rPr>
                      <w:sz w:val="22"/>
                      <w:color w:val="000000"/>
                    </w:rPr>
                    <w:t>(1)高风险预警；</w:t>
                  </w:r>
                  <w:r>
                    <w:br/>
                  </w:r>
                  <w:r>
                    <w:rPr>
                      <w:sz w:val="22"/>
                      <w:color w:val="000000"/>
                    </w:rPr>
                    <w:t>(2)中风险预警；</w:t>
                  </w:r>
                  <w:r>
                    <w:br/>
                  </w:r>
                  <w:r>
                    <w:rPr>
                      <w:sz w:val="22"/>
                      <w:color w:val="000000"/>
                    </w:rPr>
                    <w:t>(3)低风险预警。</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医疗服务项目限生育保险</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指纳入《基本医疗保险、工伤保险和生育保险医疗服务项目目录》且明确标注</w:t>
                  </w:r>
                  <w:r>
                    <w:rPr>
                      <w:sz w:val="22"/>
                      <w:color w:val="000000"/>
                    </w:rPr>
                    <w:t>“限生育保险支付”的医疗服务项目，仅可在参保人员符合生育保险待遇享受条件、发生生育相关诊疗（含产前检查、分娩、计划生育手术、生育并发症诊治等）场景下，由生育保险基金按规定支付费用；不得在非生育诊疗场景下使用基本医疗保险（含职工医保、居民医保）、工伤保险基金进行报销。若医疗机构违规将该类项目在非生育保险场景下纳入</w:t>
                  </w:r>
                  <w:r>
                    <w:rPr>
                      <w:sz w:val="22"/>
                      <w:color w:val="000000"/>
                    </w:rPr>
                    <w:t>生育保险基金结算</w:t>
                  </w:r>
                  <w:r>
                    <w:rPr>
                      <w:sz w:val="22"/>
                      <w:color w:val="000000"/>
                    </w:rPr>
                    <w:t>，即属于套取医保基金的违规行为。</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1.医疗服务结算数据；</w:t>
                  </w:r>
                  <w:r>
                    <w:br/>
                  </w:r>
                  <w:r>
                    <w:rPr>
                      <w:sz w:val="22"/>
                      <w:color w:val="000000"/>
                    </w:rPr>
                    <w:t>2.参保人基础信息；</w:t>
                  </w:r>
                  <w:r>
                    <w:br/>
                  </w:r>
                  <w:r>
                    <w:rPr>
                      <w:sz w:val="22"/>
                      <w:color w:val="000000"/>
                    </w:rPr>
                    <w:t>3.医疗服务项目规则库；</w:t>
                  </w:r>
                  <w:r>
                    <w:br/>
                  </w:r>
                  <w:r>
                    <w:rPr>
                      <w:sz w:val="22"/>
                      <w:color w:val="000000"/>
                    </w:rPr>
                    <w:t>4.生育备案数据。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1.核心判定逻辑</w:t>
                  </w:r>
                  <w:r>
                    <w:br/>
                  </w:r>
                  <w:r>
                    <w:rPr>
                      <w:sz w:val="22"/>
                      <w:color w:val="000000"/>
                    </w:rPr>
                    <w:t>(1)生育保险待遇场景判定；</w:t>
                  </w:r>
                  <w:r>
                    <w:br/>
                  </w:r>
                  <w:r>
                    <w:rPr>
                      <w:sz w:val="22"/>
                      <w:color w:val="000000"/>
                    </w:rPr>
                    <w:t>(2)项目适配性判定。</w:t>
                  </w:r>
                  <w:r>
                    <w:br/>
                  </w:r>
                  <w:r>
                    <w:rPr>
                      <w:sz w:val="22"/>
                      <w:color w:val="000000"/>
                    </w:rPr>
                    <w:t>2.例外豁免规则</w:t>
                  </w:r>
                  <w:r>
                    <w:br/>
                  </w:r>
                  <w:r>
                    <w:rPr>
                      <w:sz w:val="22"/>
                      <w:color w:val="000000"/>
                    </w:rPr>
                    <w:t>(1)急危重症抢救场景；</w:t>
                  </w:r>
                  <w:r>
                    <w:br/>
                  </w:r>
                  <w:r>
                    <w:rPr>
                      <w:sz w:val="22"/>
                      <w:color w:val="000000"/>
                    </w:rPr>
                    <w:t>(2)生育合并其他严重疾病诊疗；</w:t>
                  </w:r>
                  <w:r>
                    <w:br/>
                  </w:r>
                  <w:r>
                    <w:rPr>
                      <w:sz w:val="22"/>
                      <w:color w:val="000000"/>
                    </w:rPr>
                    <w:t>(3)经省级医保部门批准的特殊生育支持政策覆盖的项目。</w:t>
                  </w:r>
                  <w:r>
                    <w:br/>
                  </w:r>
                  <w:r>
                    <w:rPr>
                      <w:sz w:val="22"/>
                      <w:color w:val="000000"/>
                    </w:rPr>
                    <w:t>3.分级预警逻辑</w:t>
                  </w:r>
                  <w:r>
                    <w:br/>
                  </w:r>
                  <w:r>
                    <w:rPr>
                      <w:sz w:val="22"/>
                      <w:color w:val="000000"/>
                    </w:rPr>
                    <w:t>(1)高风险预警；</w:t>
                  </w:r>
                  <w:r>
                    <w:br/>
                  </w:r>
                  <w:r>
                    <w:rPr>
                      <w:sz w:val="22"/>
                      <w:color w:val="000000"/>
                    </w:rPr>
                    <w:t>(2)中风险预警；</w:t>
                  </w:r>
                  <w:r>
                    <w:br/>
                  </w:r>
                  <w:r>
                    <w:rPr>
                      <w:sz w:val="22"/>
                      <w:color w:val="000000"/>
                    </w:rPr>
                    <w:t>(3)低风险预警。</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医疗服务项目限就医方式</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指纳入《基本医疗保险、工伤保险和生育保险医疗服务项目目录》且明确标注</w:t>
                  </w:r>
                  <w:r>
                    <w:rPr>
                      <w:sz w:val="22"/>
                      <w:color w:val="000000"/>
                    </w:rPr>
                    <w:t>“限门诊使用”“限住院使用”等就医方式限制的医疗服务项目，仅可在限定的就医场景下使用时纳入医保基金支付范围。常见的限制类型包括两类：一是限门诊使用，该类项目仅在普通门诊、门诊慢特病、日间手术等门诊就诊场景下可纳入医保报销，住院期间使用不予支付；二是限住院使用，该类项目仅在住院诊疗、急诊留观转住院等住院场景下可纳入医保报销，门诊就诊时不予支付。若医疗机构违反上述限定场景结算，即属于套取医保基金的违规行为。</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1.医疗服务结算数据；</w:t>
                  </w:r>
                  <w:r>
                    <w:br/>
                  </w:r>
                  <w:r>
                    <w:rPr>
                      <w:sz w:val="22"/>
                      <w:color w:val="000000"/>
                    </w:rPr>
                    <w:t>2.就医场景标识数据；</w:t>
                  </w:r>
                  <w:r>
                    <w:br/>
                  </w:r>
                  <w:r>
                    <w:rPr>
                      <w:sz w:val="22"/>
                      <w:color w:val="000000"/>
                    </w:rPr>
                    <w:t>3.医疗服务项目规则库；</w:t>
                  </w:r>
                  <w:r>
                    <w:br/>
                  </w:r>
                  <w:r>
                    <w:rPr>
                      <w:sz w:val="22"/>
                      <w:color w:val="000000"/>
                    </w:rPr>
                    <w:t>4.急诊抢救数据。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1.核心判定逻辑</w:t>
                  </w:r>
                  <w:r>
                    <w:br/>
                  </w:r>
                  <w:r>
                    <w:rPr>
                      <w:sz w:val="22"/>
                      <w:color w:val="000000"/>
                    </w:rPr>
                    <w:t>(1)就医场景判定；</w:t>
                  </w:r>
                  <w:r>
                    <w:br/>
                  </w:r>
                  <w:r>
                    <w:rPr>
                      <w:sz w:val="22"/>
                      <w:color w:val="000000"/>
                    </w:rPr>
                    <w:t>(2)项目适配性判定。</w:t>
                  </w:r>
                  <w:r>
                    <w:br/>
                  </w:r>
                  <w:r>
                    <w:rPr>
                      <w:sz w:val="22"/>
                      <w:color w:val="000000"/>
                    </w:rPr>
                    <w:t>2.例外豁免规则</w:t>
                  </w:r>
                  <w:r>
                    <w:br/>
                  </w:r>
                  <w:r>
                    <w:rPr>
                      <w:sz w:val="22"/>
                      <w:color w:val="000000"/>
                    </w:rPr>
                    <w:t>(1)急危重症抢救场景；</w:t>
                  </w:r>
                  <w:r>
                    <w:br/>
                  </w:r>
                  <w:r>
                    <w:rPr>
                      <w:sz w:val="22"/>
                      <w:color w:val="000000"/>
                    </w:rPr>
                    <w:t>(2)住院患者出院后随访场景；</w:t>
                  </w:r>
                  <w:r>
                    <w:br/>
                  </w:r>
                  <w:r>
                    <w:rPr>
                      <w:sz w:val="22"/>
                      <w:color w:val="000000"/>
                    </w:rPr>
                    <w:t>(3)门诊特定病种患者在门诊开展限住院的特殊治疗项目。</w:t>
                  </w:r>
                  <w:r>
                    <w:br/>
                  </w:r>
                  <w:r>
                    <w:rPr>
                      <w:sz w:val="22"/>
                      <w:color w:val="000000"/>
                    </w:rPr>
                    <w:t>3.分级预警逻辑</w:t>
                  </w:r>
                  <w:r>
                    <w:br/>
                  </w:r>
                  <w:r>
                    <w:rPr>
                      <w:sz w:val="22"/>
                      <w:color w:val="000000"/>
                    </w:rPr>
                    <w:t>(1)高风险预警；</w:t>
                  </w:r>
                  <w:r>
                    <w:br/>
                  </w:r>
                  <w:r>
                    <w:rPr>
                      <w:sz w:val="22"/>
                      <w:color w:val="000000"/>
                    </w:rPr>
                    <w:t>(2)中风险预警；</w:t>
                  </w:r>
                  <w:r>
                    <w:br/>
                  </w:r>
                  <w:r>
                    <w:rPr>
                      <w:sz w:val="22"/>
                      <w:color w:val="000000"/>
                    </w:rPr>
                    <w:t>(3)低风险预警。</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医疗服务项目限医疗机构级别</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指纳入《基本医疗保险、工伤保险和生育保险医疗服务项目目录》且明确标注</w:t>
                  </w:r>
                  <w:r>
                    <w:rPr>
                      <w:sz w:val="22"/>
                      <w:color w:val="000000"/>
                    </w:rPr>
                    <w:t>“限二级及以上医疗机构使用”“限三级医疗机构使用”“限A类定点医疗机构使用”等级别限制的医疗服务项目，仅可在符合限定级别要求的定点医疗机构开展时纳入医保基金支付范围；若低于限定级别的医疗机构（如一级医院、基层诊所、社区卫生服务中心、非A类定点机构等）违规开展该类项目并纳入医保结算，即属于套取医保基金的违规行为。</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1.医疗服务结算数据；</w:t>
                  </w:r>
                  <w:r>
                    <w:br/>
                  </w:r>
                  <w:r>
                    <w:rPr>
                      <w:sz w:val="22"/>
                      <w:color w:val="000000"/>
                    </w:rPr>
                    <w:t>2.医疗机构基础信息；</w:t>
                  </w:r>
                  <w:r>
                    <w:br/>
                  </w:r>
                  <w:r>
                    <w:rPr>
                      <w:sz w:val="22"/>
                      <w:color w:val="000000"/>
                    </w:rPr>
                    <w:t>3.医疗服务项目规则库。</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1.核心判定逻辑</w:t>
                  </w:r>
                  <w:r>
                    <w:br/>
                  </w:r>
                  <w:r>
                    <w:rPr>
                      <w:sz w:val="22"/>
                      <w:color w:val="000000"/>
                    </w:rPr>
                    <w:t>(1)医疗机构资质判定；</w:t>
                  </w:r>
                  <w:r>
                    <w:br/>
                  </w:r>
                  <w:r>
                    <w:rPr>
                      <w:sz w:val="22"/>
                      <w:color w:val="000000"/>
                    </w:rPr>
                    <w:t>(2)项目适配性判定；</w:t>
                  </w:r>
                  <w:r>
                    <w:br/>
                  </w:r>
                  <w:r>
                    <w:rPr>
                      <w:sz w:val="22"/>
                      <w:color w:val="000000"/>
                    </w:rPr>
                    <w:t>2.例外豁免规则</w:t>
                  </w:r>
                  <w:r>
                    <w:br/>
                  </w:r>
                  <w:r>
                    <w:rPr>
                      <w:sz w:val="22"/>
                      <w:color w:val="000000"/>
                    </w:rPr>
                    <w:t>(1)急危重症抢救场景；</w:t>
                  </w:r>
                  <w:r>
                    <w:br/>
                  </w:r>
                  <w:r>
                    <w:rPr>
                      <w:sz w:val="22"/>
                      <w:color w:val="000000"/>
                    </w:rPr>
                    <w:t>(2)医联体内部上下级医疗机构技术协作场景；</w:t>
                  </w:r>
                  <w:r>
                    <w:br/>
                  </w:r>
                  <w:r>
                    <w:rPr>
                      <w:sz w:val="22"/>
                      <w:color w:val="000000"/>
                    </w:rPr>
                    <w:t>(3)经省级医保部门批准的基层医疗技术试点项目。</w:t>
                  </w:r>
                  <w:r>
                    <w:br/>
                  </w:r>
                  <w:r>
                    <w:rPr>
                      <w:sz w:val="22"/>
                      <w:color w:val="000000"/>
                    </w:rPr>
                    <w:t>3.分级预警逻辑</w:t>
                  </w:r>
                  <w:r>
                    <w:br/>
                  </w:r>
                  <w:r>
                    <w:rPr>
                      <w:sz w:val="22"/>
                      <w:color w:val="000000"/>
                    </w:rPr>
                    <w:t>(1)高风险预警；</w:t>
                  </w:r>
                  <w:r>
                    <w:br/>
                  </w:r>
                  <w:r>
                    <w:rPr>
                      <w:sz w:val="22"/>
                      <w:color w:val="000000"/>
                    </w:rPr>
                    <w:t>(2)中风险预警；</w:t>
                  </w:r>
                  <w:r>
                    <w:br/>
                  </w:r>
                  <w:r>
                    <w:rPr>
                      <w:sz w:val="22"/>
                      <w:color w:val="000000"/>
                    </w:rPr>
                    <w:t>(3)低风险预警。</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计费日期与住院时间不符</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指医疗机构向医保部门申报的医疗服务项目、药品、耗材的计费日期，超出患者实际住院时间段（入院日期至出院日期）范围，或与诊疗行为发生时间逻辑矛盾的违规收费行为。该规则的监管核心是确保医疗费用发生的时间与实际住院诊疗行为相匹配，防范虚构诊疗项目、重复收费、提前</w:t>
                  </w:r>
                  <w:r>
                    <w:rPr>
                      <w:sz w:val="22"/>
                      <w:color w:val="000000"/>
                    </w:rPr>
                    <w:t>/延后计费等套取医保基金的风险。</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1.费用明细数据；</w:t>
                  </w:r>
                  <w:r>
                    <w:br/>
                  </w:r>
                  <w:r>
                    <w:rPr>
                      <w:sz w:val="22"/>
                      <w:color w:val="000000"/>
                    </w:rPr>
                    <w:t>2.医疗服务项目规则库；</w:t>
                  </w:r>
                  <w:r>
                    <w:br/>
                  </w:r>
                  <w:r>
                    <w:rPr>
                      <w:sz w:val="22"/>
                      <w:color w:val="000000"/>
                    </w:rPr>
                    <w:t>3.住院登记数据；</w:t>
                  </w:r>
                  <w:r>
                    <w:br/>
                  </w:r>
                  <w:r>
                    <w:rPr>
                      <w:sz w:val="22"/>
                      <w:color w:val="000000"/>
                    </w:rPr>
                    <w:t>4.诊疗行为数据；</w:t>
                  </w:r>
                  <w:r>
                    <w:br/>
                  </w:r>
                  <w:r>
                    <w:rPr>
                      <w:sz w:val="22"/>
                      <w:color w:val="000000"/>
                    </w:rPr>
                    <w:t>5.出院结算数据。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1.核心判定逻辑</w:t>
                  </w:r>
                  <w:r>
                    <w:br/>
                  </w:r>
                  <w:r>
                    <w:rPr>
                      <w:sz w:val="22"/>
                      <w:color w:val="000000"/>
                    </w:rPr>
                    <w:t>(1)住院时间段基准判定；</w:t>
                  </w:r>
                  <w:r>
                    <w:br/>
                  </w:r>
                  <w:r>
                    <w:rPr>
                      <w:sz w:val="22"/>
                      <w:color w:val="000000"/>
                    </w:rPr>
                    <w:t>(2)违规情形判定。</w:t>
                  </w:r>
                  <w:r>
                    <w:br/>
                  </w:r>
                  <w:r>
                    <w:rPr>
                      <w:sz w:val="22"/>
                      <w:color w:val="000000"/>
                    </w:rPr>
                    <w:t>2.例外豁免规则</w:t>
                  </w:r>
                  <w:r>
                    <w:br/>
                  </w:r>
                  <w:r>
                    <w:rPr>
                      <w:sz w:val="22"/>
                      <w:color w:val="000000"/>
                    </w:rPr>
                    <w:t>(1)急诊留观转住院场景；</w:t>
                  </w:r>
                  <w:r>
                    <w:br/>
                  </w:r>
                  <w:r>
                    <w:rPr>
                      <w:sz w:val="22"/>
                      <w:color w:val="000000"/>
                    </w:rPr>
                    <w:t>(2)出院带药场景；</w:t>
                  </w:r>
                  <w:r>
                    <w:br/>
                  </w:r>
                  <w:r>
                    <w:rPr>
                      <w:sz w:val="22"/>
                      <w:color w:val="000000"/>
                    </w:rPr>
                    <w:t>(3)住院期间进行的院外检查、会诊等项目。</w:t>
                  </w:r>
                  <w:r>
                    <w:br/>
                  </w:r>
                  <w:r>
                    <w:rPr>
                      <w:sz w:val="22"/>
                      <w:color w:val="000000"/>
                    </w:rPr>
                    <w:t>3.分级预警逻辑</w:t>
                  </w:r>
                  <w:r>
                    <w:br/>
                  </w:r>
                  <w:r>
                    <w:rPr>
                      <w:sz w:val="22"/>
                      <w:color w:val="000000"/>
                    </w:rPr>
                    <w:t>(1)高风险预警；</w:t>
                  </w:r>
                  <w:r>
                    <w:br/>
                  </w:r>
                  <w:r>
                    <w:rPr>
                      <w:sz w:val="22"/>
                      <w:color w:val="000000"/>
                    </w:rPr>
                    <w:t>(2)中风险预警；</w:t>
                  </w:r>
                  <w:r>
                    <w:br/>
                  </w:r>
                  <w:r>
                    <w:rPr>
                      <w:sz w:val="22"/>
                      <w:color w:val="000000"/>
                    </w:rPr>
                    <w:t>(3)低风险预警。</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全市药品用量最大的前</w:t>
                  </w:r>
                  <w:r>
                    <w:rPr>
                      <w:sz w:val="22"/>
                      <w:color w:val="000000"/>
                    </w:rPr>
                    <w:t>5名</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指医保部门通过对全市定点医疗机构在一定统计周期内（通常为月度、季度或年度）的全部医保结算药品数据进行汇总分析，按药品使用总金额、总数量或特定类别药品（如高值药、重点监控药、易倒卖药品）的使用量排序，筛选出排名前</w:t>
                  </w:r>
                  <w:r>
                    <w:rPr>
                      <w:sz w:val="22"/>
                      <w:color w:val="000000"/>
                    </w:rPr>
                    <w:t>5位的医疗机构并开展重点核查的监管机制。</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1.医保结算明细数据；</w:t>
                  </w:r>
                  <w:r>
                    <w:br/>
                  </w:r>
                  <w:r>
                    <w:rPr>
                      <w:sz w:val="22"/>
                      <w:color w:val="000000"/>
                    </w:rPr>
                    <w:t>2.医疗机构基础信息；</w:t>
                  </w:r>
                  <w:r>
                    <w:br/>
                  </w:r>
                  <w:r>
                    <w:rPr>
                      <w:sz w:val="22"/>
                      <w:color w:val="000000"/>
                    </w:rPr>
                    <w:t>3.药品目录信息；</w:t>
                  </w:r>
                  <w:r>
                    <w:br/>
                  </w:r>
                  <w:r>
                    <w:rPr>
                      <w:sz w:val="22"/>
                      <w:color w:val="000000"/>
                    </w:rPr>
                    <w:t>4.诊疗服务量数据。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1.核心判定逻辑</w:t>
                  </w:r>
                  <w:r>
                    <w:br/>
                  </w:r>
                  <w:r>
                    <w:rPr>
                      <w:sz w:val="22"/>
                      <w:color w:val="000000"/>
                    </w:rPr>
                    <w:t>(1)统计维度设置；</w:t>
                  </w:r>
                  <w:r>
                    <w:br/>
                  </w:r>
                  <w:r>
                    <w:rPr>
                      <w:sz w:val="22"/>
                      <w:color w:val="000000"/>
                    </w:rPr>
                    <w:t>(2)排名规则设计。</w:t>
                  </w:r>
                  <w:r>
                    <w:br/>
                  </w:r>
                  <w:r>
                    <w:rPr>
                      <w:sz w:val="22"/>
                      <w:color w:val="000000"/>
                    </w:rPr>
                    <w:t>2.异常判定逻辑</w:t>
                  </w:r>
                  <w:r>
                    <w:br/>
                  </w:r>
                  <w:r>
                    <w:rPr>
                      <w:sz w:val="22"/>
                      <w:color w:val="000000"/>
                    </w:rPr>
                    <w:t>(1)同层级对比规则；</w:t>
                  </w:r>
                  <w:r>
                    <w:br/>
                  </w:r>
                  <w:r>
                    <w:rPr>
                      <w:sz w:val="22"/>
                      <w:color w:val="000000"/>
                    </w:rPr>
                    <w:t>(2)同比增长规则；</w:t>
                  </w:r>
                  <w:r>
                    <w:br/>
                  </w:r>
                  <w:r>
                    <w:rPr>
                      <w:sz w:val="22"/>
                      <w:color w:val="000000"/>
                    </w:rPr>
                    <w:t>(3)历史违规规则。</w:t>
                  </w:r>
                  <w:r>
                    <w:br/>
                  </w:r>
                  <w:r>
                    <w:rPr>
                      <w:sz w:val="22"/>
                      <w:color w:val="000000"/>
                    </w:rPr>
                    <w:t>3.分级预警逻辑</w:t>
                  </w:r>
                  <w:r>
                    <w:br/>
                  </w:r>
                  <w:r>
                    <w:rPr>
                      <w:sz w:val="22"/>
                      <w:color w:val="000000"/>
                    </w:rPr>
                    <w:t>(1)高风险预警；</w:t>
                  </w:r>
                  <w:r>
                    <w:br/>
                  </w:r>
                  <w:r>
                    <w:rPr>
                      <w:sz w:val="22"/>
                      <w:color w:val="000000"/>
                    </w:rPr>
                    <w:t>(2)中风险预警；</w:t>
                  </w:r>
                  <w:r>
                    <w:br/>
                  </w:r>
                  <w:r>
                    <w:rPr>
                      <w:sz w:val="22"/>
                      <w:color w:val="000000"/>
                    </w:rPr>
                    <w:t>(3)低风险预警。</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全市药品使用基金最多的前</w:t>
                  </w:r>
                  <w:r>
                    <w:rPr>
                      <w:sz w:val="22"/>
                      <w:color w:val="000000"/>
                    </w:rPr>
                    <w:t>5名</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指医保部门对全市定点医疗机构在一定统计周期内（通常为月度、季度或年度）的药品费用医保基金实际支付金额进行汇总统计，按基金支出规模排序筛选出排名前</w:t>
                  </w:r>
                  <w:r>
                    <w:rPr>
                      <w:sz w:val="22"/>
                      <w:color w:val="000000"/>
                    </w:rPr>
                    <w:t>5位的医疗机构，开展重点监测、核查和绩效评估的监管机制。</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1.医保结算明细数据；</w:t>
                  </w:r>
                  <w:r>
                    <w:br/>
                  </w:r>
                  <w:r>
                    <w:rPr>
                      <w:sz w:val="22"/>
                      <w:color w:val="000000"/>
                    </w:rPr>
                    <w:t>2.医疗机构基础信息；</w:t>
                  </w:r>
                  <w:r>
                    <w:br/>
                  </w:r>
                  <w:r>
                    <w:rPr>
                      <w:sz w:val="22"/>
                      <w:color w:val="000000"/>
                    </w:rPr>
                    <w:t>3.药品目录信息；</w:t>
                  </w:r>
                  <w:r>
                    <w:br/>
                  </w:r>
                  <w:r>
                    <w:rPr>
                      <w:sz w:val="22"/>
                      <w:color w:val="000000"/>
                    </w:rPr>
                    <w:t>4.医疗服务量数据。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1.核心判定逻辑</w:t>
                  </w:r>
                  <w:r>
                    <w:br/>
                  </w:r>
                  <w:r>
                    <w:rPr>
                      <w:sz w:val="22"/>
                      <w:color w:val="000000"/>
                    </w:rPr>
                    <w:t>(1)统计维度设置；</w:t>
                  </w:r>
                  <w:r>
                    <w:br/>
                  </w:r>
                  <w:r>
                    <w:rPr>
                      <w:sz w:val="22"/>
                      <w:color w:val="000000"/>
                    </w:rPr>
                    <w:t>(2)排名规则设计。</w:t>
                  </w:r>
                  <w:r>
                    <w:br/>
                  </w:r>
                  <w:r>
                    <w:rPr>
                      <w:sz w:val="22"/>
                      <w:color w:val="000000"/>
                    </w:rPr>
                    <w:t>2.异常判定逻辑</w:t>
                  </w:r>
                  <w:r>
                    <w:br/>
                  </w:r>
                  <w:r>
                    <w:rPr>
                      <w:sz w:val="22"/>
                      <w:color w:val="000000"/>
                    </w:rPr>
                    <w:t>(1)同层级对比；</w:t>
                  </w:r>
                  <w:r>
                    <w:br/>
                  </w:r>
                  <w:r>
                    <w:rPr>
                      <w:sz w:val="22"/>
                      <w:color w:val="000000"/>
                    </w:rPr>
                    <w:t>(2)同比增速对比；</w:t>
                  </w:r>
                  <w:r>
                    <w:br/>
                  </w:r>
                  <w:r>
                    <w:rPr>
                      <w:sz w:val="22"/>
                      <w:color w:val="000000"/>
                    </w:rPr>
                    <w:t>(3)绩效指标对比。</w:t>
                  </w:r>
                  <w:r>
                    <w:br/>
                  </w:r>
                  <w:r>
                    <w:rPr>
                      <w:sz w:val="22"/>
                      <w:color w:val="000000"/>
                    </w:rPr>
                    <w:t>3.分级预警逻辑</w:t>
                  </w:r>
                  <w:r>
                    <w:br/>
                  </w:r>
                  <w:r>
                    <w:rPr>
                      <w:sz w:val="22"/>
                      <w:color w:val="000000"/>
                    </w:rPr>
                    <w:t>(1)高风险预警；</w:t>
                  </w:r>
                  <w:r>
                    <w:br/>
                  </w:r>
                  <w:r>
                    <w:rPr>
                      <w:sz w:val="22"/>
                      <w:color w:val="000000"/>
                    </w:rPr>
                    <w:t>(2)中风险预警；</w:t>
                  </w:r>
                  <w:r>
                    <w:br/>
                  </w:r>
                  <w:r>
                    <w:rPr>
                      <w:sz w:val="22"/>
                      <w:color w:val="000000"/>
                    </w:rPr>
                    <w:t>(3)低风险预警。</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药品与医疗服务项目不符</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指医疗机构在医保结算过程中，开具的药品与同期开展的医疗服务项目之间不存在临床逻辑关联，或不符合诊疗常规的违规结算行为。该规则的核心监管逻辑是</w:t>
                  </w:r>
                  <w:r>
                    <w:rPr>
                      <w:sz w:val="22"/>
                      <w:color w:val="000000"/>
                    </w:rPr>
                    <w:t>“医疗服务项目决定用药范围”，即药品的使用必须与当前开展的诊疗项目、实施的手术、进行的检查操作相匹配，否则可能存在串换项目、虚开药品、不合理用药等套取医保基金的风险。</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1.医疗服务项目结算数据；</w:t>
                  </w:r>
                  <w:r>
                    <w:br/>
                  </w:r>
                  <w:r>
                    <w:rPr>
                      <w:sz w:val="22"/>
                      <w:color w:val="000000"/>
                    </w:rPr>
                    <w:t>2.药品结算明细数据；</w:t>
                  </w:r>
                  <w:r>
                    <w:br/>
                  </w:r>
                  <w:r>
                    <w:rPr>
                      <w:sz w:val="22"/>
                      <w:color w:val="000000"/>
                    </w:rPr>
                    <w:t>3.药临床路径/诊疗指南数据库；</w:t>
                  </w:r>
                  <w:r>
                    <w:br/>
                  </w:r>
                  <w:r>
                    <w:rPr>
                      <w:sz w:val="22"/>
                      <w:color w:val="000000"/>
                    </w:rPr>
                    <w:t>4.诊断数据。</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1.核心判定逻辑</w:t>
                  </w:r>
                  <w:r>
                    <w:br/>
                  </w:r>
                  <w:r>
                    <w:rPr>
                      <w:sz w:val="22"/>
                      <w:color w:val="000000"/>
                    </w:rPr>
                    <w:t>(1)匹配基准构建；</w:t>
                  </w:r>
                  <w:r>
                    <w:br/>
                  </w:r>
                  <w:r>
                    <w:rPr>
                      <w:sz w:val="22"/>
                      <w:color w:val="000000"/>
                    </w:rPr>
                    <w:t>(2)违规情形判定。</w:t>
                  </w:r>
                  <w:r>
                    <w:br/>
                  </w:r>
                  <w:r>
                    <w:rPr>
                      <w:sz w:val="22"/>
                      <w:color w:val="000000"/>
                    </w:rPr>
                    <w:t>2.例外豁免规则</w:t>
                  </w:r>
                  <w:r>
                    <w:br/>
                  </w:r>
                  <w:r>
                    <w:rPr>
                      <w:sz w:val="22"/>
                      <w:color w:val="000000"/>
                    </w:rPr>
                    <w:t>(1)合并疾病用药场景；</w:t>
                  </w:r>
                  <w:r>
                    <w:br/>
                  </w:r>
                  <w:r>
                    <w:rPr>
                      <w:sz w:val="22"/>
                      <w:color w:val="000000"/>
                    </w:rPr>
                    <w:t>(2)急危重症抢救场景；</w:t>
                  </w:r>
                  <w:r>
                    <w:br/>
                  </w:r>
                  <w:r>
                    <w:rPr>
                      <w:sz w:val="22"/>
                      <w:color w:val="000000"/>
                    </w:rPr>
                    <w:t>(3)特殊人群用药场景。</w:t>
                  </w:r>
                  <w:r>
                    <w:br/>
                  </w:r>
                  <w:r>
                    <w:rPr>
                      <w:sz w:val="22"/>
                      <w:color w:val="000000"/>
                    </w:rPr>
                    <w:t>3.分级预警逻辑</w:t>
                  </w:r>
                  <w:r>
                    <w:br/>
                  </w:r>
                  <w:r>
                    <w:rPr>
                      <w:sz w:val="22"/>
                      <w:color w:val="000000"/>
                    </w:rPr>
                    <w:t>(1)高风险预警；</w:t>
                  </w:r>
                  <w:r>
                    <w:br/>
                  </w:r>
                  <w:r>
                    <w:rPr>
                      <w:sz w:val="22"/>
                      <w:color w:val="000000"/>
                    </w:rPr>
                    <w:t>(2)中风险预警；</w:t>
                  </w:r>
                  <w:r>
                    <w:br/>
                  </w:r>
                  <w:r>
                    <w:rPr>
                      <w:sz w:val="22"/>
                      <w:color w:val="000000"/>
                    </w:rPr>
                    <w:t>(3)低风险预警。</w:t>
                  </w:r>
                </w:p>
              </w:tc>
            </w:tr>
          </w:tbl>
          <w:p>
            <w:pPr>
              <w:pStyle w:val="null3"/>
              <w:jc w:val="both"/>
            </w:pPr>
            <w:r>
              <w:rPr>
                <w:sz w:val="22"/>
              </w:rPr>
              <w:t>2.人工智能辅助病例分析</w:t>
            </w:r>
          </w:p>
          <w:p>
            <w:pPr>
              <w:pStyle w:val="null3"/>
              <w:jc w:val="both"/>
            </w:pPr>
            <w:r>
              <w:rPr>
                <w:sz w:val="22"/>
              </w:rPr>
              <w:t xml:space="preserve">       通过对各类数据特征的定位和采集，以人工智能与机器学习模型开展DRG/DIP下的病例辅助分析，在事后阶段实现疑点</w:t>
            </w:r>
            <w:r>
              <w:rPr>
                <w:sz w:val="22"/>
              </w:rPr>
              <w:t>筛查，包括但不限于：DRG/DIP分组模拟模型、费用结构分析模型、诊疗路径大数据分析模型、主诊断预测模型、参保人就诊曲线分析模型、重点药品耗材监控模型。</w:t>
            </w:r>
          </w:p>
          <w:p>
            <w:pPr>
              <w:pStyle w:val="null3"/>
              <w:jc w:val="both"/>
            </w:pPr>
            <w:r>
              <w:rPr>
                <w:sz w:val="22"/>
              </w:rPr>
              <w:t>3.多维度风险聚合分析</w:t>
            </w:r>
          </w:p>
          <w:p>
            <w:pPr>
              <w:pStyle w:val="null3"/>
              <w:ind w:firstLine="440"/>
              <w:jc w:val="both"/>
            </w:pPr>
            <w:r>
              <w:rPr>
                <w:sz w:val="22"/>
              </w:rPr>
              <w:t>大数据分析模型涉及数据类型与维度众多，传统的文字列表性结果展示方式难以将密切相关的线索横向拉通。可视化风险分析系统即按照不同的分析维度，将所有涉及的分析模型、违规线索横向拉通，并通过可视化手段，将分析模型的结果进行直观展示，协助风险分析人员快速形成风险线索的综合印象，提高风险处理效率。</w:t>
            </w:r>
          </w:p>
          <w:p>
            <w:pPr>
              <w:pStyle w:val="null3"/>
              <w:jc w:val="both"/>
            </w:pPr>
            <w:r>
              <w:rPr>
                <w:sz w:val="22"/>
              </w:rPr>
              <w:t>4.从线索到稽核的全流程处理</w:t>
            </w:r>
          </w:p>
          <w:p>
            <w:pPr>
              <w:pStyle w:val="null3"/>
              <w:ind w:firstLine="440"/>
              <w:jc w:val="both"/>
            </w:pPr>
            <w:r>
              <w:rPr>
                <w:sz w:val="22"/>
              </w:rPr>
              <w:t>包括从欺诈风险采集到欺诈风险预警再到欺诈风险处理的完整业务流程。欺诈风险采集提供风险数据的采集选项，用以建立采集任务，查看采集任务详情。欺诈风险预警提供对住院行为进行风险分析和预警展示与初步处理功能，每个风险预警维度，都包括风险列表与风险详细分析。欺诈风险处理提供对确认的风险线索的分配、处理、结果录入功能，完成风险管理闭环。</w:t>
            </w:r>
          </w:p>
          <w:p>
            <w:pPr>
              <w:pStyle w:val="null3"/>
              <w:jc w:val="both"/>
            </w:pPr>
            <w:r>
              <w:rPr>
                <w:sz w:val="22"/>
              </w:rPr>
              <w:t>5.运行服务</w:t>
            </w:r>
          </w:p>
          <w:p>
            <w:pPr>
              <w:pStyle w:val="null3"/>
              <w:ind w:firstLine="440"/>
              <w:jc w:val="both"/>
            </w:pPr>
            <w:r>
              <w:rPr>
                <w:sz w:val="22"/>
              </w:rPr>
              <w:t>主要包括运行服务完成大数据反欺诈模型建立和维护、模型分析和训练、评估和优化；核实大数据模型筛查出的疑点。</w:t>
            </w:r>
          </w:p>
          <w:p>
            <w:pPr>
              <w:pStyle w:val="null3"/>
              <w:jc w:val="both"/>
            </w:pPr>
            <w:r>
              <w:rPr>
                <w:sz w:val="22"/>
              </w:rPr>
              <w:t>6.反欺诈模型要求</w:t>
            </w:r>
          </w:p>
          <w:p>
            <w:pPr>
              <w:pStyle w:val="null3"/>
              <w:ind w:firstLine="440"/>
              <w:jc w:val="both"/>
            </w:pPr>
            <w:r>
              <w:rPr>
                <w:sz w:val="22"/>
              </w:rPr>
              <w:t>通过智能手段，实现对医保数据的实时监控、分析和预警，快速识别异常行为和潜在的欺诈风险，提升监管效率。系统整合多源数据，利用大数据分析和人工智能技术，精准定位欺诈模式，减少人工核查的误差和滞后性。系统加强数据共享与协同，促进跨部门合作，形成全方位的反欺诈网络，有效遏制医保基金的滥用和流失，保障医保资金的安全与合理使用。</w:t>
            </w:r>
          </w:p>
          <w:p>
            <w:pPr>
              <w:pStyle w:val="null3"/>
            </w:pPr>
            <w:r>
              <w:rPr>
                <w:sz w:val="22"/>
              </w:rPr>
              <w:t>模型功能包括但不限于：风险概览、风险采集、风险分析、风险处理、场景分析、系统管理等功能模块。</w:t>
            </w:r>
          </w:p>
        </w:tc>
      </w:tr>
      <w:tr>
        <w:tc>
          <w:tcPr>
            <w:tcW w:type="dxa" w:w="2076"/>
          </w:tcPr>
          <w:p/>
        </w:tc>
        <w:tc>
          <w:tcPr>
            <w:tcW w:type="dxa" w:w="415"/>
          </w:tcPr>
          <w:p>
            <w:pPr>
              <w:pStyle w:val="null3"/>
            </w:pPr>
            <w:r>
              <w:rPr/>
              <w:t>5</w:t>
            </w:r>
          </w:p>
        </w:tc>
        <w:tc>
          <w:tcPr>
            <w:tcW w:type="dxa" w:w="5814"/>
          </w:tcPr>
          <w:p>
            <w:pPr>
              <w:pStyle w:val="null3"/>
              <w:ind w:firstLine="440"/>
              <w:jc w:val="both"/>
            </w:pPr>
            <w:r>
              <w:rPr>
                <w:sz w:val="22"/>
              </w:rPr>
              <w:t>五、项目服务保障</w:t>
            </w:r>
          </w:p>
          <w:p>
            <w:pPr>
              <w:pStyle w:val="null3"/>
              <w:ind w:firstLine="440"/>
              <w:jc w:val="both"/>
            </w:pPr>
            <w:r>
              <w:rPr>
                <w:sz w:val="22"/>
              </w:rPr>
              <w:t>1.项目运维服务保障</w:t>
            </w:r>
          </w:p>
          <w:p>
            <w:pPr>
              <w:pStyle w:val="null3"/>
              <w:ind w:firstLine="440"/>
              <w:jc w:val="both"/>
            </w:pPr>
            <w:r>
              <w:rPr>
                <w:sz w:val="22"/>
              </w:rPr>
              <w:t>（</w:t>
            </w:r>
            <w:r>
              <w:rPr>
                <w:sz w:val="22"/>
              </w:rPr>
              <w:t>1）协助采购人全面摸排中山市医保基金监管现状及问题。</w:t>
            </w:r>
          </w:p>
          <w:p>
            <w:pPr>
              <w:pStyle w:val="null3"/>
              <w:ind w:firstLine="440"/>
              <w:jc w:val="both"/>
            </w:pPr>
            <w:r>
              <w:rPr>
                <w:sz w:val="22"/>
              </w:rPr>
              <w:t>（</w:t>
            </w:r>
            <w:r>
              <w:rPr>
                <w:sz w:val="22"/>
              </w:rPr>
              <w:t>2）反欺诈模型正式投入使用后，至少提供</w:t>
            </w:r>
            <w:r>
              <w:rPr>
                <w:sz w:val="22"/>
              </w:rPr>
              <w:t>1年</w:t>
            </w:r>
            <w:r>
              <w:rPr>
                <w:sz w:val="22"/>
              </w:rPr>
              <w:t>运行维护服务，需至少配备一名驻场运维人员，该人员须具有计算机相关专业本科及以上学历，且至少有</w:t>
            </w:r>
            <w:r>
              <w:rPr>
                <w:sz w:val="22"/>
              </w:rPr>
              <w:t>3年医保数据或技术运维工作经验。</w:t>
            </w:r>
          </w:p>
          <w:p>
            <w:pPr>
              <w:pStyle w:val="null3"/>
              <w:ind w:firstLine="440"/>
              <w:jc w:val="both"/>
            </w:pPr>
            <w:r>
              <w:rPr>
                <w:sz w:val="22"/>
              </w:rPr>
              <w:t>2.项目管理要求</w:t>
            </w:r>
          </w:p>
          <w:p>
            <w:pPr>
              <w:pStyle w:val="null3"/>
              <w:ind w:firstLine="440"/>
              <w:jc w:val="both"/>
            </w:pPr>
            <w:r>
              <w:rPr>
                <w:sz w:val="22"/>
              </w:rPr>
              <w:t>（</w:t>
            </w:r>
            <w:r>
              <w:rPr>
                <w:sz w:val="22"/>
              </w:rPr>
              <w:t>1）范围管理要求：本项目除基础服务内容外，需完成本项目应用服务软件的开发、实施、配置、测试及培训工作。</w:t>
            </w:r>
          </w:p>
          <w:p>
            <w:pPr>
              <w:pStyle w:val="null3"/>
              <w:ind w:firstLine="440"/>
              <w:jc w:val="both"/>
            </w:pPr>
            <w:r>
              <w:rPr>
                <w:sz w:val="22"/>
              </w:rPr>
              <w:t>（</w:t>
            </w:r>
            <w:r>
              <w:rPr>
                <w:sz w:val="22"/>
              </w:rPr>
              <w:t>2）中标供应商需提供详细的服务计划，周密做好建设及服务的交付工作，确保项目交付工作的顺利完成。</w:t>
            </w:r>
          </w:p>
          <w:p>
            <w:pPr>
              <w:pStyle w:val="null3"/>
              <w:ind w:firstLine="440"/>
              <w:jc w:val="both"/>
            </w:pPr>
            <w:r>
              <w:rPr>
                <w:sz w:val="22"/>
              </w:rPr>
              <w:t>（</w:t>
            </w:r>
            <w:r>
              <w:rPr>
                <w:sz w:val="22"/>
              </w:rPr>
              <w:t>3）中标供应商需为本项目建立完善的沟通机制，确保项目建设和服务交付各参与方之间信息沟通的顺畅，确保信息传达的及时性和准确性。</w:t>
            </w:r>
          </w:p>
          <w:p>
            <w:pPr>
              <w:pStyle w:val="null3"/>
              <w:ind w:firstLine="440"/>
              <w:jc w:val="both"/>
            </w:pPr>
            <w:r>
              <w:rPr>
                <w:sz w:val="22"/>
              </w:rPr>
              <w:t>3.安全要求</w:t>
            </w:r>
          </w:p>
          <w:p>
            <w:pPr>
              <w:pStyle w:val="null3"/>
              <w:ind w:firstLine="440"/>
              <w:jc w:val="both"/>
            </w:pPr>
            <w:r>
              <w:rPr>
                <w:sz w:val="22"/>
              </w:rPr>
              <w:t>（</w:t>
            </w:r>
            <w:r>
              <w:rPr>
                <w:sz w:val="22"/>
              </w:rPr>
              <w:t>1）软硬件安全</w:t>
            </w:r>
          </w:p>
          <w:p>
            <w:pPr>
              <w:pStyle w:val="null3"/>
              <w:ind w:firstLine="440"/>
              <w:jc w:val="both"/>
            </w:pPr>
            <w:r>
              <w:rPr>
                <w:sz w:val="22"/>
              </w:rPr>
              <w:t>中标供应商应严格按照国家医疗保障局《医保信息系统安全开发规范》要求组织系统开发建设与服务实施。</w:t>
            </w:r>
          </w:p>
          <w:p>
            <w:pPr>
              <w:pStyle w:val="null3"/>
              <w:ind w:firstLine="440"/>
              <w:jc w:val="both"/>
            </w:pPr>
            <w:r>
              <w:rPr>
                <w:sz w:val="22"/>
              </w:rPr>
              <w:t>（</w:t>
            </w:r>
            <w:r>
              <w:rPr>
                <w:sz w:val="22"/>
              </w:rPr>
              <w:t>2）数据安全</w:t>
            </w:r>
          </w:p>
          <w:p>
            <w:pPr>
              <w:pStyle w:val="null3"/>
              <w:ind w:firstLine="440"/>
              <w:jc w:val="both"/>
            </w:pPr>
            <w:r>
              <w:rPr>
                <w:sz w:val="22"/>
              </w:rPr>
              <w:t>本项目开展过程中涉及到的包括但不限于医保数据信息等所有信息归采购人所有，通过数据共享获取的相关政府部门数据归采购人处置。中标供应商有义务确保服务过程中的数据安全，未经采购人事先书面同意，中标供应商不得将因履行本项目合同而获得的任何数据、信息和通过统计、</w:t>
            </w:r>
            <w:r>
              <w:rPr>
                <w:sz w:val="22"/>
              </w:rPr>
              <w:t>清洗等任何方式处理过的数据信息进行留存和备份，且不得用于本项目以外的其他用途，未经采购人书面同意，不得变更用途、用法，不得以任何方式公开、转让或向第三方提供。项目终止时或运维服务期结束后按照采购人的要求处理相关政务数据。涉及个人信息的，严格按照法律法规和相关制度标准执行。一旦出现违约使用数据，由中标供应商承担相关法律责任；造成损失的，由中标供应商负责赔偿，同时须承担采购人因此而支出的费用（包括但不限于采购人采取相关措施而产生的诉讼费用、仲裁费用、律师费、鉴定费、审计费、财产保全费、执行费等及因此而产生的一切相关费用）。</w:t>
            </w:r>
          </w:p>
          <w:p>
            <w:pPr>
              <w:pStyle w:val="null3"/>
              <w:ind w:firstLine="440"/>
              <w:jc w:val="both"/>
            </w:pPr>
            <w:r>
              <w:rPr>
                <w:sz w:val="22"/>
              </w:rPr>
              <w:t>（</w:t>
            </w:r>
            <w:r>
              <w:rPr>
                <w:sz w:val="22"/>
              </w:rPr>
              <w:t>3）中标供应商须提供详细的信息安全控制方案，并详细说明在应用安全和数据安全方面将采取的安全措施。</w:t>
            </w:r>
          </w:p>
          <w:p>
            <w:pPr>
              <w:pStyle w:val="null3"/>
              <w:ind w:firstLine="440"/>
              <w:jc w:val="both"/>
            </w:pPr>
            <w:r>
              <w:rPr>
                <w:sz w:val="22"/>
              </w:rPr>
              <w:t>4.质量管理要求</w:t>
            </w:r>
          </w:p>
          <w:p>
            <w:pPr>
              <w:pStyle w:val="null3"/>
              <w:ind w:firstLine="440"/>
              <w:jc w:val="both"/>
            </w:pPr>
            <w:r>
              <w:rPr>
                <w:sz w:val="22"/>
              </w:rPr>
              <w:t>（</w:t>
            </w:r>
            <w:r>
              <w:rPr>
                <w:sz w:val="22"/>
              </w:rPr>
              <w:t>1）中标供应商须提供完整的质量管理方案，包括但不限于项目质量管理计划、组织架构、进度控制、质量管控、风险管理方案。</w:t>
            </w:r>
          </w:p>
          <w:p>
            <w:pPr>
              <w:pStyle w:val="null3"/>
              <w:ind w:firstLine="440"/>
              <w:jc w:val="both"/>
            </w:pPr>
            <w:r>
              <w:rPr>
                <w:sz w:val="22"/>
              </w:rPr>
              <w:t>（</w:t>
            </w:r>
            <w:r>
              <w:rPr>
                <w:sz w:val="22"/>
              </w:rPr>
              <w:t>2）中标供应商负责本项目建设服务内容所必须的基础支撑环境建设、运营、维护等服务实施支持和运维服务，并向采购人提供服务。基础支撑环境建设实施条件由采购人提供，中标供应商应根据项目建设实施安排合理调整实施计划，按采购人工作完成时限要求确保达成项目工作的时间进度目标。</w:t>
            </w:r>
          </w:p>
          <w:p>
            <w:pPr>
              <w:pStyle w:val="null3"/>
              <w:ind w:firstLine="440"/>
              <w:jc w:val="both"/>
            </w:pPr>
            <w:r>
              <w:rPr>
                <w:sz w:val="22"/>
              </w:rPr>
              <w:t>5.保密要求</w:t>
            </w:r>
          </w:p>
          <w:p>
            <w:pPr>
              <w:pStyle w:val="null3"/>
            </w:pPr>
            <w:r>
              <w:rPr>
                <w:sz w:val="22"/>
              </w:rPr>
              <w:t>中标供应商及其派驻的项目团队成员应对本项目服务所接触的数据、信息及相关资料履行严格的保密义务，未经采购人允许，严禁向第三人透露因参与本项目所接触和获取到的任何数据、信息及相关文件资料内容，如有违约应按国家法律法规承担相应法律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中山市医疗保障局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公权力大数据监督医保基金反欺诈模型第三方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采购包1（中山市公权力大数据监督医保基金反欺诈模型第三方服务项目）：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采购包1（中山市公权力大数据监督医保基金反欺诈模型第三方服务项目）：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采购包1（中山市公权力大数据监督医保基金反欺诈模型第三方服务项目）：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采购包1(中山市公权力大数据监督医保基金反欺诈模型第三方服务项目):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商务部分46.0分</w:t>
            </w:r>
          </w:p>
          <w:p>
            <w:pPr>
              <w:pStyle w:val="null3"/>
            </w:pPr>
            <w:r>
              <w:rPr/>
              <w:t>技术部分44.0分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医保现状及需求分析方案 (8.0分)</w:t>
            </w:r>
          </w:p>
        </w:tc>
        <w:tc>
          <w:tcPr>
            <w:tcW w:type="dxa" w:w="5076"/>
          </w:tcPr>
          <w:p>
            <w:pPr>
              <w:pStyle w:val="null3"/>
              <w:jc w:val="left"/>
            </w:pPr>
            <w:r>
              <w:rPr/>
              <w:t>评标委员会根据投标人提供的医保现状及需求分析方案进行评审（方案内容包括并不限于医保现状分析、采购需求理解程度，并结合国家政策要求以及本地医保行业业务现状，同时至少包含①本项目实施中可能存在的重点、难点分析②针对性解决方案③结合国家政策要求以及本地医保行业业务现状及特点撰写的项目理解等内容）： 1.对采购需求的理解准确、全面、深入，对医保行业现状及本地医保行业业务特点分析翔实，有具体数据或事实依据支撑；能够提出本项目实施中可能存在的重点难点，且分析精准、与项目紧密相关；针对每个重点难点均提出具体可行、逻辑清晰的解决方案；充分结合国家及本地医保相关政策要求，论述有据可依，得8分； 2.对采购需求的理解基本正确，但存在少量偏差或不够深入之处；对医保现状及本地业务特点分析较为完整，但缺乏数据或事实支撑；能够提出重点难点，分析基本合理；解决方案基本可行但部分细节不够具体；结合了相关政策要求但深度或关联性不足，得5分； 3.对采购需求的理解存在明显偏差或重大遗漏；对医保现状及本地业务特点分析内容空泛、流于形式；提出的重点难点与本项目关联度低或识别不准确；解决方案粗略、缺乏针对性或无法实施；基本未结合相关政策要求，得2分； 4.未按要求提供或未提供相关内容，得0分。</w:t>
            </w:r>
          </w:p>
        </w:tc>
      </w:tr>
      <w:tr>
        <w:tc>
          <w:tcPr>
            <w:tcW w:type="dxa" w:w="922"/>
            <w:gridSpan w:val="2"/>
            <w:vMerge/>
          </w:tcPr>
          <w:p/>
        </w:tc>
        <w:tc>
          <w:tcPr>
            <w:tcW w:type="dxa" w:w="2307"/>
          </w:tcPr>
          <w:p>
            <w:pPr>
              <w:pStyle w:val="null3"/>
              <w:jc w:val="left"/>
            </w:pPr>
            <w:r>
              <w:rPr/>
              <w:t>医保反欺诈大数据风险模型响应程度 (10.0分)</w:t>
            </w:r>
          </w:p>
        </w:tc>
        <w:tc>
          <w:tcPr>
            <w:tcW w:type="dxa" w:w="5076"/>
          </w:tcPr>
          <w:p>
            <w:pPr>
              <w:pStyle w:val="null3"/>
              <w:jc w:val="left"/>
            </w:pPr>
            <w:r>
              <w:rPr/>
              <w:t>评标委员会根据投标人对采购需求列明的95个模型响应情况进行评审： 1.完全无偏离或正偏离采购需求列明的“95个模型”参数要求,且所有响应的模型均符合评审要求。得10分； 2.无偏离或正偏离86-94个模型参数要求，且所有响应的模型均符合评审要求，得5分； 3.无偏离或正偏离≤85个模型参数要求，得0分。 注：1.投标人须对招标文件采购需求列明的“95个模型”数据需求详述、建模要求详述、建模依据详述。 2.须提供平台模型总览界面裁图。 3.未按要求提供材料或未响应模型，本项得0分。</w:t>
            </w:r>
          </w:p>
        </w:tc>
      </w:tr>
      <w:tr>
        <w:tc>
          <w:tcPr>
            <w:tcW w:type="dxa" w:w="922"/>
            <w:gridSpan w:val="2"/>
            <w:vMerge/>
          </w:tcPr>
          <w:p/>
        </w:tc>
        <w:tc>
          <w:tcPr>
            <w:tcW w:type="dxa" w:w="2307"/>
          </w:tcPr>
          <w:p>
            <w:pPr>
              <w:pStyle w:val="null3"/>
              <w:jc w:val="left"/>
            </w:pPr>
            <w:r>
              <w:rPr/>
              <w:t>项目建设方案 (10.0分)</w:t>
            </w:r>
          </w:p>
        </w:tc>
        <w:tc>
          <w:tcPr>
            <w:tcW w:type="dxa" w:w="5076"/>
          </w:tcPr>
          <w:p>
            <w:pPr>
              <w:pStyle w:val="null3"/>
              <w:jc w:val="left"/>
            </w:pPr>
            <w:r>
              <w:rPr/>
              <w:t>评标委员会根据投标人针对本项目提供的项目建设方案进行评审（内容包括但不限于首页概览、风险采集、风险分析、风险处理、场景分析、系统管理等六个功能模块，并须详细阐述各功能设计，同时分别提供六大功能总览的界面截图）： 1.方案涵盖全部六个功能模块，逻辑清晰，设计阐述详细具体、有针对性，提供全部六个模块的清晰页面截图，整体能够充分满足项目服务需求的，得10分； 2.方案涵盖全部六个功能模块，各功能模块设计基本合理，页面截图较为完整清晰的，方案整体基本满足服务需求但存在明显不足得5分； 3.方案未涵盖六个功能模块；或功能设计存在严重不合理之处，难以满足服务需求；或对各功能模块的设计阐述极为简单、缺乏实质内容；或未提供方案、方案与项目无关、方案存在抄袭雷同；或未提供页面截图的，得0分。</w:t>
            </w:r>
          </w:p>
        </w:tc>
      </w:tr>
      <w:tr>
        <w:tc>
          <w:tcPr>
            <w:tcW w:type="dxa" w:w="922"/>
            <w:gridSpan w:val="2"/>
            <w:vMerge/>
          </w:tcPr>
          <w:p/>
        </w:tc>
        <w:tc>
          <w:tcPr>
            <w:tcW w:type="dxa" w:w="2307"/>
          </w:tcPr>
          <w:p>
            <w:pPr>
              <w:pStyle w:val="null3"/>
              <w:jc w:val="left"/>
            </w:pPr>
            <w:r>
              <w:rPr/>
              <w:t>实施方案 (8.0分)</w:t>
            </w:r>
          </w:p>
        </w:tc>
        <w:tc>
          <w:tcPr>
            <w:tcW w:type="dxa" w:w="5076"/>
          </w:tcPr>
          <w:p>
            <w:pPr>
              <w:pStyle w:val="null3"/>
              <w:jc w:val="left"/>
            </w:pPr>
            <w:r>
              <w:rPr/>
              <w:t>评标委员会根据投标人提供的实施方案进行评审（内容包括并不限于进度控制、质量控制、培训方案、项目风险分析等内容）： 1.实施方案完全涵盖上述全部内容的，服务流程设计具体翔实，进度控制、质量管控、培训安排、风险应对等措施明确可行，完全贴合本项目实际需求，具备极强可操作性的，得8分； 2.实施方案存在缺漏项（缺少上述四个方面中的一项或两项），但不影响整体服务正常实施，方案设计思路清晰，各项措施可行，符合项目实际需求的，得5分； 3.实施方案存在严重缺漏项（缺少上述四个方面中的三项及以上），内容表述粗略、针对性不强，各项措施缺乏可操作性，与项目实际需求不符的，得2分； 4.未按要求提供或未提供实施方案的，得0分。</w:t>
            </w:r>
          </w:p>
        </w:tc>
      </w:tr>
      <w:tr>
        <w:tc>
          <w:tcPr>
            <w:tcW w:type="dxa" w:w="922"/>
            <w:gridSpan w:val="2"/>
            <w:vMerge/>
          </w:tcPr>
          <w:p/>
        </w:tc>
        <w:tc>
          <w:tcPr>
            <w:tcW w:type="dxa" w:w="2307"/>
          </w:tcPr>
          <w:p>
            <w:pPr>
              <w:pStyle w:val="null3"/>
              <w:jc w:val="left"/>
            </w:pPr>
            <w:r>
              <w:rPr/>
              <w:t>应急及保密方案 (8.0分)</w:t>
            </w:r>
          </w:p>
        </w:tc>
        <w:tc>
          <w:tcPr>
            <w:tcW w:type="dxa" w:w="5076"/>
          </w:tcPr>
          <w:p>
            <w:pPr>
              <w:pStyle w:val="null3"/>
              <w:jc w:val="left"/>
            </w:pPr>
            <w:r>
              <w:rPr/>
              <w:t>评标委员会根据投标人针对本项目提供的应急及保密方案进行评审（内容包括但不限于制定可执行的保密措施、应急方案设计、本地化服务方案、服务内容、响应时间、故障处理、服务质量保证等内容）： 1.应急及保密方案详细完整、科学合理，覆盖上述各方面无遗漏，有明确的目标和责任分工，方案可操作性强，各项安排具体可行，能充分满足项目服务需要，得8分； 2.应急及保密方案内容有微小缺失或局部不够合理，但不影响项目整体实施，方案目标相对明确，基本满足项目服务需要，得5分； 3.保密措施服务内容简单粗略，缺乏具体细节；或方案中存在明显不合理，或保密措施及应急安排存在漏洞，有可能影响项目实际实施效果，得2分； 4.未按要求提供或未提供应急及保密方案的，得0分。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项目经理能力情况 (7.0分)</w:t>
            </w:r>
          </w:p>
        </w:tc>
        <w:tc>
          <w:tcPr>
            <w:tcW w:type="dxa" w:w="5076"/>
          </w:tcPr>
          <w:p>
            <w:pPr>
              <w:pStyle w:val="null3"/>
              <w:jc w:val="left"/>
            </w:pPr>
            <w:r>
              <w:rPr/>
              <w:t>评标委员会根据投标人拟投入本项目的项目经理能力情况进行评审（同1人）： 1.项目经理具有计算机或医学类硕士（及以上）学位的，得 2 分；具有计算机或医学类学士学位的，得 1 分。本小项最高得2分。 2.项目经理同时具有计算机技术与软件专业技术资格（水平）考试信息系统项目管理师证书和注册信息安全工程师证书的，得5分，缺任意一项证书均不得分，本小项最高得5分。 注：（1）提供项目经理相关证书复印件（或扫描件）； （2）提供以投标截止日为基准，往前倒推3个月内任意1个月由投标人为其购买社保的参保证明复印件（或扫描件）。①如投标人成立时间不足1个月或该人员入职不足1个月，无法提供参保证明的，需提供情况说明（格式自拟）； ②对于确实无法提供社保的特殊人才（如退休返聘专家），可提供聘用协议或其他相关劳动关系证明材料复印件（或扫描件）； （3）证明材料均需加盖投标人公章，不提供或以上材料不齐全的不得分。</w:t>
            </w:r>
          </w:p>
        </w:tc>
      </w:tr>
      <w:tr>
        <w:tc>
          <w:tcPr>
            <w:tcW w:type="dxa" w:w="922"/>
            <w:gridSpan w:val="2"/>
            <w:vMerge/>
          </w:tcPr>
          <w:p/>
        </w:tc>
        <w:tc>
          <w:tcPr>
            <w:tcW w:type="dxa" w:w="2307"/>
          </w:tcPr>
          <w:p>
            <w:pPr>
              <w:pStyle w:val="null3"/>
              <w:jc w:val="left"/>
            </w:pPr>
            <w:r>
              <w:rPr/>
              <w:t>项目团队成员能力情况 (14.0分)</w:t>
            </w:r>
          </w:p>
        </w:tc>
        <w:tc>
          <w:tcPr>
            <w:tcW w:type="dxa" w:w="5076"/>
          </w:tcPr>
          <w:p>
            <w:pPr>
              <w:pStyle w:val="null3"/>
              <w:jc w:val="left"/>
            </w:pPr>
            <w:r>
              <w:rPr/>
              <w:t>评标委员会根据投标人拟投入本项目的团队成员（除项目经理外）能力情况进行评审： 1.同时具有系统架构设计师和软件设计师证书的，每提供1人得2分，本小项最高2分。 2.同时具有硕士研究生（及以上）学历和统计类中级及以上资格（职称）人员的，每提供1人得2分，本小项最高4分。 3.同时具有药学相关专业硕士研究生（及以上）学历和药学类中级及以上资格（职称）人员的，每提供1人得2分，本小项最高2分。 4.同时具有卫生统计学相关专业硕士研究生（及以上）学历和卫生统计学类高级（含副高级）职称的，每提供1人得3分，本小项最高3分。 5.同时具有医学硕士研究生（及以上）学历和医学类高级（含副高级）职称的，每提供1人得3分，本小项最高3分。 注：（1）人员不重复计分。 （2）提供以上项目团队成员相关证书复印件（或扫描件）。 （3）提供以投标截止日为基准，往前倒推3个月内任意1个月由投标人为以上人员购买社保的参保证明复印件（或扫描件）。①如投标人成立时间不足1个月或该人员入职不足1个月，无法提供参保证明的，需提供情况说明（格式自拟）； ②对于确实无法提供社保的特殊人才（如退休返聘专家），可提供聘用协议或其他相关劳动关系证明材料复印件（或扫描件）； （4）证明材料均需加盖投标人公章，不提供或以上材料不齐全的不得分。</w:t>
            </w:r>
          </w:p>
        </w:tc>
      </w:tr>
      <w:tr>
        <w:tc>
          <w:tcPr>
            <w:tcW w:type="dxa" w:w="922"/>
            <w:gridSpan w:val="2"/>
            <w:vMerge/>
          </w:tcPr>
          <w:p/>
        </w:tc>
        <w:tc>
          <w:tcPr>
            <w:tcW w:type="dxa" w:w="2307"/>
          </w:tcPr>
          <w:p>
            <w:pPr>
              <w:pStyle w:val="null3"/>
              <w:jc w:val="left"/>
            </w:pPr>
            <w:r>
              <w:rPr/>
              <w:t>企业资质 (8.0分)</w:t>
            </w:r>
          </w:p>
        </w:tc>
        <w:tc>
          <w:tcPr>
            <w:tcW w:type="dxa" w:w="5076"/>
          </w:tcPr>
          <w:p>
            <w:pPr>
              <w:pStyle w:val="null3"/>
              <w:jc w:val="left"/>
            </w:pPr>
            <w:r>
              <w:rPr/>
              <w:t>评标委员会根据投标人获得的项目相关有效企业资质情况进行评审： 1.具有ISO22301业务连续性管理体系认证证书的，得2分； 2.具有ISO/IEC38505数据治理符合性评价证书的，得2分； 3.具有GB/T29490 知识产权管理体系认证证书的，得2分； 4.具有DSMM数据安全能力成熟度认证证书，得2分。 说明：1.须提供以上资质证书复印件并加盖投标人盖公章， 2.因企业成立时间不足暂无法办理相关认证证书的，可提供由认证机构出具的“成立时间不足，暂无法办理认证”类似描述书面证明材料，视同已取得相应认证并予以计分。</w:t>
            </w:r>
          </w:p>
        </w:tc>
      </w:tr>
      <w:tr>
        <w:tc>
          <w:tcPr>
            <w:tcW w:type="dxa" w:w="922"/>
            <w:gridSpan w:val="2"/>
            <w:vMerge/>
          </w:tcPr>
          <w:p/>
        </w:tc>
        <w:tc>
          <w:tcPr>
            <w:tcW w:type="dxa" w:w="2307"/>
          </w:tcPr>
          <w:p>
            <w:pPr>
              <w:pStyle w:val="null3"/>
              <w:jc w:val="left"/>
            </w:pPr>
            <w:r>
              <w:rPr/>
              <w:t>软件著作权证书 (8.0分)</w:t>
            </w:r>
          </w:p>
        </w:tc>
        <w:tc>
          <w:tcPr>
            <w:tcW w:type="dxa" w:w="5076"/>
          </w:tcPr>
          <w:p>
            <w:pPr>
              <w:pStyle w:val="null3"/>
              <w:jc w:val="left"/>
            </w:pPr>
            <w:r>
              <w:rPr/>
              <w:t>评标委员会根据投标人具有的软件著作权证书情况进行评审： 1.具有医保大数据反欺诈风控类软件著作权证书的，得2分； 2.具有医保规则管理类软件著作权证书的，得2分； 3.具有医保基金风险评估类软件著作权证书的，得2分； 4.具有医疗指标构建类软件著作权证书的，得2分。 注：（1）提供证书复印件（或扫描件）并加盖投标人公章。 （2）提供功能相近的软件著作权证书的，证书名称可不与评审要求完全一致，需提供证书复印件并加盖投标供应商公章， （3）投标人所提供著作权证书的软件已部分或全部整合了评审要求所列软件模块的，须提供相关说明材料。 （4）以上证明材料未按要求提供的，证明材料内容不清晰、无法辨认或与评审要求不符的，不予认可。</w:t>
            </w:r>
          </w:p>
        </w:tc>
      </w:tr>
      <w:tr>
        <w:tc>
          <w:tcPr>
            <w:tcW w:type="dxa" w:w="922"/>
            <w:gridSpan w:val="2"/>
            <w:vMerge/>
          </w:tcPr>
          <w:p/>
        </w:tc>
        <w:tc>
          <w:tcPr>
            <w:tcW w:type="dxa" w:w="2307"/>
          </w:tcPr>
          <w:p>
            <w:pPr>
              <w:pStyle w:val="null3"/>
              <w:jc w:val="left"/>
            </w:pPr>
            <w:r>
              <w:rPr/>
              <w:t>同类项目业绩 (9.0分)</w:t>
            </w:r>
          </w:p>
        </w:tc>
        <w:tc>
          <w:tcPr>
            <w:tcW w:type="dxa" w:w="5076"/>
          </w:tcPr>
          <w:p>
            <w:pPr>
              <w:pStyle w:val="null3"/>
              <w:jc w:val="left"/>
            </w:pPr>
            <w:r>
              <w:rPr/>
              <w:t>评标委员会根据投标人提供的2022年1月1日以来独立承接并完成与本项目采购需求相关的项目业绩进行评审，具体分类及分值如下： 1.医保基金管理部门或医保经办部门的医保基金大数据反欺诈类项目：每提供一份有效业绩，得1分，本项最高得3分。 2.医保基金管理部门智能审核类项目：每提供一份有效业绩，得1分，本项最高得3分。 3.省级及以上医保基金管理部门飞行检查项目：每提供一份有效业绩，得1分，本项最高得3分。 注：（1）投标文件中需提供相应的业绩证明材料复印件，每个有效项目业绩须同时提供中标（成交）通知书、项目合同关键页、项目验收报告复印件，缺少任何一项均不得分； （2）业绩证明材料须清晰体现与评审内容同类业绩要求，如评标委员会无法从所提供的材料中判断是否符合要求的，视为不符合； （3）无项目金额或项目金额为0的业绩，不得作为有效业绩计分； （4）同一个项目提供多份合同的不重复计分； （5）未提供或未按要求提供的，不得分。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将各投标人的技术商务得分相加得出其综合得分。 4.2.4.4.评标结果按评审后总得分由高到低顺序排列。总得分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jc w:val="center"/>
      </w:pPr>
      <w:r>
        <w:rPr>
          <w:sz w:val="52"/>
          <w:b/>
          <w:color w:val="000000"/>
        </w:rPr>
        <w:t>中山市公权力大数据监督医保基金反欺诈模型第三方服务项目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84"/>
          <w:b/>
        </w:rPr>
        <w:t>合</w:t>
      </w:r>
      <w:r>
        <w:rPr>
          <w:sz w:val="21"/>
          <w:b/>
        </w:rPr>
        <w:t xml:space="preserve"> </w:t>
      </w:r>
      <w:r>
        <w:rPr>
          <w:sz w:val="84"/>
          <w:b/>
        </w:rPr>
        <w:t>同</w:t>
      </w:r>
      <w:r>
        <w:rPr>
          <w:sz w:val="21"/>
          <w:b/>
        </w:rPr>
        <w:t xml:space="preserve"> </w:t>
      </w:r>
      <w:r>
        <w:rPr>
          <w:sz w:val="84"/>
          <w:b/>
        </w:rPr>
        <w:t>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left"/>
      </w:pPr>
      <w:r>
        <w:rPr>
          <w:sz w:val="21"/>
          <w:b/>
          <w:color w:val="000000"/>
        </w:rPr>
        <w:t>(</w:t>
      </w:r>
      <w:r>
        <w:rPr>
          <w:sz w:val="21"/>
          <w:b/>
          <w:color w:val="000000"/>
        </w:rPr>
        <w:t>本合同范本仅供参考，中标</w:t>
      </w:r>
      <w:r>
        <w:rPr>
          <w:sz w:val="21"/>
          <w:b/>
          <w:color w:val="000000"/>
        </w:rPr>
        <w:t>（</w:t>
      </w:r>
      <w:r>
        <w:rPr>
          <w:sz w:val="21"/>
          <w:b/>
          <w:color w:val="000000"/>
        </w:rPr>
        <w:t>成交</w:t>
      </w:r>
      <w:r>
        <w:rPr>
          <w:sz w:val="21"/>
          <w:b/>
          <w:color w:val="000000"/>
        </w:rPr>
        <w:t>）</w:t>
      </w:r>
      <w:r>
        <w:rPr>
          <w:sz w:val="21"/>
          <w:b/>
          <w:color w:val="000000"/>
        </w:rPr>
        <w:t>供应商与采购人可根据双方的具体要求、招标文件及投标文件的约定进行修订，双方所签订的合同不得对招标文件确定的事项和中标</w:t>
      </w:r>
      <w:r>
        <w:rPr>
          <w:sz w:val="21"/>
          <w:b/>
          <w:color w:val="000000"/>
        </w:rPr>
        <w:t>（</w:t>
      </w:r>
      <w:r>
        <w:rPr>
          <w:sz w:val="21"/>
          <w:b/>
          <w:color w:val="000000"/>
        </w:rPr>
        <w:t>成交</w:t>
      </w:r>
      <w:r>
        <w:rPr>
          <w:sz w:val="21"/>
          <w:b/>
          <w:color w:val="000000"/>
        </w:rPr>
        <w:t>）</w:t>
      </w:r>
      <w:r>
        <w:rPr>
          <w:sz w:val="21"/>
          <w:b/>
          <w:color w:val="000000"/>
        </w:rPr>
        <w:t>供应商投标文件</w:t>
      </w:r>
      <w:r>
        <w:rPr>
          <w:sz w:val="21"/>
          <w:b/>
          <w:color w:val="000000"/>
        </w:rPr>
        <w:t>响应内容</w:t>
      </w:r>
      <w:r>
        <w:rPr>
          <w:sz w:val="21"/>
          <w:b/>
          <w:color w:val="000000"/>
        </w:rPr>
        <w:t>作实质性修改</w:t>
      </w:r>
      <w:r>
        <w:rPr>
          <w:sz w:val="21"/>
          <w:b/>
          <w:color w:val="000000"/>
        </w:rPr>
        <w:t>。）</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center"/>
      </w:pPr>
      <w:r>
        <w:rPr>
          <w:sz w:val="32"/>
          <w:b/>
        </w:rPr>
        <w:t>项目名</w:t>
      </w:r>
      <w:r>
        <w:rPr>
          <w:sz w:val="32"/>
          <w:b/>
        </w:rPr>
        <w:t>称：</w:t>
      </w:r>
      <w:r>
        <w:rPr>
          <w:sz w:val="32"/>
          <w:b/>
        </w:rPr>
        <w:t>中山市公权力大数据监督医保基金反欺诈模型第三方服务项目</w:t>
      </w:r>
    </w:p>
    <w:p>
      <w:pPr>
        <w:pStyle w:val="null3"/>
        <w:spacing w:before="0" w:after="0"/>
        <w:ind w:left="0" w:right="0"/>
        <w:jc w:val="both"/>
      </w:pPr>
      <w:r>
        <w:rPr>
          <w:sz w:val="32"/>
          <w:b/>
          <w:color w:val="222222"/>
        </w:rPr>
        <w:t>合同编号：</w:t>
      </w:r>
      <w:r>
        <w:rPr>
          <w:sz w:val="27"/>
          <w:color w:val="222222"/>
          <w:u w:val="single"/>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jc w:val="left"/>
      </w:pPr>
      <w:r>
        <w:br/>
      </w: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sz w:val="32"/>
          <w:b/>
        </w:rPr>
        <w:t>甲方：</w:t>
      </w:r>
      <w:r>
        <w:rPr>
          <w:sz w:val="32"/>
          <w:b/>
        </w:rPr>
        <w:t>中山市医疗保障局</w:t>
      </w:r>
    </w:p>
    <w:p>
      <w:pPr>
        <w:pStyle w:val="null3"/>
        <w:jc w:val="left"/>
      </w:pPr>
      <w:r>
        <w:rPr>
          <w:sz w:val="32"/>
          <w:b/>
        </w:rPr>
        <w:t>乙方：</w:t>
      </w:r>
      <w:r>
        <w:rPr>
          <w:sz w:val="21"/>
        </w:rPr>
        <w:t xml:space="preserve">                      </w:t>
      </w:r>
    </w:p>
    <w:p>
      <w:pPr>
        <w:pStyle w:val="null3"/>
        <w:ind w:firstLine="640"/>
        <w:jc w:val="both"/>
      </w:pPr>
      <w:r>
        <w:rPr>
          <w:sz w:val="32"/>
        </w:rPr>
        <w:t>根据</w:t>
      </w:r>
      <w:r>
        <w:rPr>
          <w:sz w:val="32"/>
          <w:u w:val="single"/>
        </w:rPr>
        <w:t>中山市公权力大数据监督医保基金反欺诈模型第三方服务项目</w:t>
      </w:r>
      <w:r>
        <w:rPr>
          <w:sz w:val="32"/>
        </w:rPr>
        <w:t>（项目编号为：</w:t>
      </w:r>
      <w:r>
        <w:rPr>
          <w:sz w:val="32"/>
          <w:u w:val="single"/>
        </w:rPr>
        <w:t xml:space="preserve"> </w:t>
      </w:r>
      <w:r>
        <w:rPr>
          <w:sz w:val="32"/>
          <w:u w:val="single"/>
        </w:rPr>
        <w:t xml:space="preserve">442000-2026-01019 </w:t>
      </w:r>
      <w:r>
        <w:rPr>
          <w:sz w:val="32"/>
        </w:rPr>
        <w:t>）</w:t>
      </w:r>
      <w:r>
        <w:rPr>
          <w:sz w:val="32"/>
        </w:rPr>
        <w:t>的成交通知书，</w:t>
      </w:r>
      <w:r>
        <w:rPr>
          <w:sz w:val="32"/>
          <w:u w:val="single"/>
        </w:rPr>
        <w:t>中山市医疗保障局</w:t>
      </w:r>
      <w:r>
        <w:rPr>
          <w:sz w:val="32"/>
        </w:rPr>
        <w:t>（以下简称甲方）与（以下简称乙方）双方经平等、友好协商，就乙方为甲方提供</w:t>
      </w:r>
      <w:r>
        <w:rPr>
          <w:sz w:val="32"/>
          <w:u w:val="single"/>
        </w:rPr>
        <w:t>中山市公权力大数据监督医保基金反欺诈模型第三方服务项目</w:t>
      </w:r>
      <w:r>
        <w:rPr>
          <w:sz w:val="32"/>
        </w:rPr>
        <w:t>有关事宜，达成</w:t>
      </w:r>
      <w:r>
        <w:rPr>
          <w:sz w:val="32"/>
        </w:rPr>
        <w:t>本合同</w:t>
      </w:r>
      <w:r>
        <w:rPr>
          <w:sz w:val="32"/>
        </w:rPr>
        <w:t>，</w:t>
      </w:r>
      <w:r>
        <w:rPr>
          <w:sz w:val="32"/>
        </w:rPr>
        <w:t>以资双方共同遵守</w:t>
      </w:r>
      <w:r>
        <w:rPr>
          <w:sz w:val="32"/>
        </w:rPr>
        <w:t>：</w:t>
      </w:r>
    </w:p>
    <w:p>
      <w:pPr>
        <w:pStyle w:val="null3"/>
        <w:ind w:firstLine="640"/>
        <w:jc w:val="both"/>
      </w:pPr>
      <w:r>
        <w:rPr>
          <w:sz w:val="32"/>
          <w:b/>
          <w:u w:val="single"/>
        </w:rPr>
        <w:t>一、合同项目名称及实施地点</w:t>
      </w:r>
    </w:p>
    <w:p>
      <w:pPr>
        <w:pStyle w:val="null3"/>
        <w:ind w:firstLine="640"/>
        <w:jc w:val="both"/>
      </w:pPr>
      <w:r>
        <w:rPr>
          <w:sz w:val="32"/>
        </w:rPr>
        <w:t>项目名称：</w:t>
      </w:r>
      <w:r>
        <w:rPr>
          <w:sz w:val="32"/>
          <w:u w:val="single"/>
        </w:rPr>
        <w:t>中山市公权力大数据监督医保基金反欺诈模型第三方服务项目</w:t>
      </w:r>
      <w:r>
        <w:rPr>
          <w:sz w:val="32"/>
        </w:rPr>
        <w:t>（以下简称该项目）</w:t>
      </w:r>
    </w:p>
    <w:p>
      <w:pPr>
        <w:pStyle w:val="null3"/>
        <w:ind w:firstLine="640"/>
        <w:jc w:val="both"/>
      </w:pPr>
      <w:r>
        <w:rPr>
          <w:sz w:val="32"/>
        </w:rPr>
        <w:t>实施地点：</w:t>
      </w:r>
      <w:r>
        <w:rPr>
          <w:sz w:val="32"/>
          <w:u w:val="single"/>
        </w:rPr>
        <w:t>中山市医疗保障局</w:t>
      </w:r>
    </w:p>
    <w:p>
      <w:pPr>
        <w:pStyle w:val="null3"/>
        <w:ind w:firstLine="640"/>
        <w:jc w:val="both"/>
      </w:pPr>
      <w:r>
        <w:rPr>
          <w:sz w:val="32"/>
          <w:b/>
          <w:u w:val="single"/>
        </w:rPr>
        <w:t>二、服务期限及项目具体要求</w:t>
      </w:r>
    </w:p>
    <w:p>
      <w:pPr>
        <w:pStyle w:val="null3"/>
        <w:ind w:firstLine="643"/>
        <w:jc w:val="both"/>
      </w:pPr>
      <w:r>
        <w:rPr>
          <w:sz w:val="32"/>
          <w:b/>
        </w:rPr>
        <w:t>（一）项目</w:t>
      </w:r>
      <w:r>
        <w:rPr>
          <w:sz w:val="32"/>
          <w:b/>
        </w:rPr>
        <w:t>期限：</w:t>
      </w:r>
      <w:r>
        <w:rPr>
          <w:sz w:val="32"/>
          <w:u w:val="single"/>
        </w:rPr>
        <w:t>合同签订后</w:t>
      </w:r>
      <w:r>
        <w:rPr>
          <w:sz w:val="32"/>
          <w:u w:val="single"/>
        </w:rPr>
        <w:t>30天内，中标供应商完成项目反欺诈模型需求调研；合同签订后90天内，中标供应商完成反欺诈模型框架搭建和主体验收；合同签订后240天内，中标供应商完成反欺诈模型测试、调优、正式投入使用并验收；反欺诈模型正式投入使用后中标供应商需提供至少1年运行维护服务。</w:t>
      </w:r>
    </w:p>
    <w:p>
      <w:pPr>
        <w:pStyle w:val="null3"/>
        <w:ind w:firstLine="643"/>
        <w:jc w:val="both"/>
      </w:pPr>
      <w:r>
        <w:rPr>
          <w:sz w:val="32"/>
          <w:b/>
        </w:rPr>
        <w:t>（二）</w:t>
      </w:r>
      <w:r>
        <w:rPr>
          <w:sz w:val="32"/>
          <w:b/>
        </w:rPr>
        <w:t>项目内容：</w:t>
      </w:r>
    </w:p>
    <w:p>
      <w:pPr>
        <w:pStyle w:val="null3"/>
        <w:ind w:firstLine="643"/>
        <w:jc w:val="both"/>
      </w:pPr>
      <w:r>
        <w:rPr>
          <w:sz w:val="32"/>
          <w:b/>
        </w:rPr>
        <w:t>4.1多场景大数据风险模型</w:t>
      </w:r>
    </w:p>
    <w:p>
      <w:pPr>
        <w:pStyle w:val="null3"/>
        <w:ind w:firstLine="640"/>
        <w:jc w:val="both"/>
      </w:pPr>
      <w:r>
        <w:rPr>
          <w:sz w:val="32"/>
        </w:rPr>
        <w:t>建设医保反欺诈大数据风险模型为监管工作的开展提供支持，同时支持根据新监管要求，生成新模型。医保反欺诈大数据风险模型包括但不限于：</w:t>
      </w:r>
    </w:p>
    <w:tbl>
      <w:tblPr>
        <w:tblW w:w="0" w:type="auto"/>
        <w:tblBorders>
          <w:top w:val="none" w:color="000000" w:sz="4"/>
          <w:left w:val="none" w:color="000000" w:sz="4"/>
          <w:bottom w:val="none" w:color="000000" w:sz="4"/>
          <w:right w:val="none" w:color="000000" w:sz="4"/>
          <w:insideH w:val="none"/>
          <w:insideV w:val="none"/>
        </w:tblBorders>
      </w:tblPr>
      <w:tblGrid>
        <w:gridCol w:w="715"/>
        <w:gridCol w:w="1313"/>
        <w:gridCol w:w="2964"/>
        <w:gridCol w:w="1577"/>
        <w:gridCol w:w="1724"/>
      </w:tblGrid>
      <w:tr>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color w:val="000000"/>
              </w:rPr>
              <w:t>序号</w:t>
            </w:r>
          </w:p>
        </w:tc>
        <w:tc>
          <w:tcPr>
            <w:tcW w:type="dxa" w:w="1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color w:val="000000"/>
              </w:rPr>
              <w:t>名称</w:t>
            </w:r>
          </w:p>
        </w:tc>
        <w:tc>
          <w:tcPr>
            <w:tcW w:type="dxa" w:w="29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color w:val="000000"/>
              </w:rPr>
              <w:t>释义</w:t>
            </w:r>
          </w:p>
        </w:tc>
        <w:tc>
          <w:tcPr>
            <w:tcW w:type="dxa" w:w="1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color w:val="000000"/>
              </w:rPr>
              <w:t>数据需求</w:t>
            </w:r>
          </w:p>
        </w:tc>
        <w:tc>
          <w:tcPr>
            <w:tcW w:type="dxa" w:w="1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color w:val="000000"/>
              </w:rPr>
              <w:t>建模要求</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1</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不合理收费</w:t>
            </w:r>
            <w:r>
              <w:rPr>
                <w:sz w:val="32"/>
                <w:color w:val="000000"/>
              </w:rPr>
              <w:t>(按天收费项目同一天结算大于1）</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对医疗服务项目分类与代码按天收费的医疗服务项目是否合理收费的情形进行监管。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2</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重复或分解收费</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对医疗服务项目</w:t>
            </w:r>
            <w:r>
              <w:rPr>
                <w:sz w:val="32"/>
                <w:color w:val="000000"/>
              </w:rPr>
              <w:t>“项目内涵”已包含的项目，或“备注”中明确不得同时收费的项目同时收取或不能分解收费的项目同时收取情形进行监管。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3</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超标准收费</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对超出标准的医疗服务项目收费情形进行监管。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4</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住院期间超频次</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对住院期间医疗服务项目使用数量超过医疗服务项目目录规定的最高数量情形进行监管。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5</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违反治疗项目禁忌症</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对违反有禁忌症的医疗服务项目情形进行监管。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6</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项目仅独立开展方能收费</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对违反仅独立开展方可收费的医疗服务项目情形进行监管。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7</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药品超目录规定支付天数</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对超出药品目录中规定的医保支付天数情形进行监管。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8</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年底突击使用公补基金</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对每年度年底</w:t>
            </w:r>
            <w:r>
              <w:rPr>
                <w:sz w:val="32"/>
                <w:color w:val="000000"/>
              </w:rPr>
              <w:t>11月或12月公补人员突击使用公补基金的情形进行监管。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9</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院内制剂超量使用</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对院内制剂超出规定的数量情形进行监管。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10</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药品限性别</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该模型针对医保目录中明确标注支付范围限制的药品，通过关联参保人性别、诊断信息与结算药品明细，精准识别不符合限定条件的违规使用行为。</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11</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高频就医</w:t>
            </w:r>
            <w:r>
              <w:rPr>
                <w:sz w:val="32"/>
                <w:color w:val="000000"/>
              </w:rPr>
              <w:t>(门诊高频就医(年就诊≥30次）、住院高频就医(年住院≥10次））</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按年度对参保人高频就医</w:t>
            </w:r>
            <w:r>
              <w:rPr>
                <w:sz w:val="32"/>
                <w:color w:val="000000"/>
              </w:rPr>
              <w:t>(门诊高频就医(年就诊≥30次）、住院高频就医(年住院≥10次))情形进行监管。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12</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长期住院</w:t>
            </w:r>
            <w:r>
              <w:rPr>
                <w:sz w:val="32"/>
                <w:color w:val="000000"/>
              </w:rPr>
              <w:t>(年住院≥30天）</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对参保人长期住院的情形进行监管。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13</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rPr>
              <w:t>公补金额</w:t>
            </w:r>
            <w:r>
              <w:rPr>
                <w:sz w:val="32"/>
                <w:color w:val="000000"/>
              </w:rPr>
              <w:t>使用</w:t>
            </w:r>
            <w:r>
              <w:rPr>
                <w:sz w:val="32"/>
                <w:color w:val="000000"/>
              </w:rPr>
              <w:t>(年门诊使用≥4500元）</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对每年度公补人员定额使用</w:t>
            </w:r>
            <w:r>
              <w:rPr>
                <w:sz w:val="32"/>
                <w:color w:val="000000"/>
              </w:rPr>
              <w:t>(使用公补基金≥4500元)的情形进行监管。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14</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医生同名开单</w:t>
            </w:r>
            <w:r>
              <w:rPr>
                <w:sz w:val="32"/>
                <w:color w:val="000000"/>
              </w:rPr>
              <w:t>(为本人开具处方)</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对医生同名开单</w:t>
            </w:r>
            <w:r>
              <w:rPr>
                <w:sz w:val="32"/>
                <w:color w:val="000000"/>
              </w:rPr>
              <w:t>(为本人开具处方)的情形进行监管。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15</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过量开药</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对开具药品的药量超出规定药量的情形进行监管。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16</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过度诊疗</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对为无相关疾病或无阳性指征普通患者常规开展诊疗项目的情形进行监管。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17</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费用转嫁</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sz w:val="32"/>
                <w:color w:val="000000"/>
              </w:rPr>
              <w:t>医疗机构为减少住院期间产生的服务成本，将住院成本向门诊转移、医保费用向自费转移等行为。</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18</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高套编码</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对将低分值的诊断、手术操作码编成高分值的医保病种编码的情形进行监管。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19</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低套编码</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对将高分值的诊断、手术操作码编成低分值的医保病种编码的情形进行监管。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20</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无指征用药</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无指征用药是指医疗机构或医务人员违反临床诊疗规范，在患者没有明确用药适应症的情况下开具药品，造成医保基金不合理支出的违规行为进行监管。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21</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串换项目</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对将非医保支付项目、低价项目或自费项目，串换为医保目录内的高价项目进行结算，套取医保基金的情形进行监管。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22</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分解住院</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分解住院是指医疗机构在患者尚未达到出院标准的情况下，通过人为办理出院、再重新办理住院的方式，对将一次连续的住院过程拆分为多次结算，从而套取更多医保基金的违规行为进行监管。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23</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低标准住院</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对医疗机构违反临床住院标准，将无明确入院指征、可在门诊治疗的患者收治住院，或住院期间未进行实质性治疗的违规行为进行监管。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24</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耗材虚高</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耗材虚高是指定点医疗机构通过价格违规、数量虚增、串换套用等方式，不合理抬高医用耗材费用，造成医保基金流失的违规行为。</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25</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死亡后继续享受医保待遇</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对参保人死亡后继续发生医保结算等异常情况进行监管。该模型严格匹配医保基金反欺诈核心监管要求，通过跨部门死亡数据与医保结算数据的精准对碰，精准识别死亡</w:t>
            </w:r>
            <w:r>
              <w:rPr>
                <w:sz w:val="32"/>
                <w:color w:val="000000"/>
              </w:rPr>
              <w:t>1个月后仍发生医保结算的冒领、套保行为，是防范死亡人员医保待遇流失的核心工具。</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26</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突击参保享受生育待遇</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对不符合参保条件的人员通过虚构劳动关系、挂靠空壳公司等方式，在怀孕后短期参保缴费，待享受生育医疗费用报销和生育津贴，套取医保基金的违规行为进行监管。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27</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贵重药品重点监控</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针对临床使用不合理率高、基金支出占比大、倒卖获利空间大的高值药品，通过大数据建模实现全流程、全链条的精准监管，遏制超适应症用药、超量开药、串换药品、倒卖回流等违规行为进行监管。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28</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中药饮片汤料重点监控</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煲汤类中药饮片</w:t>
            </w:r>
            <w:r>
              <w:rPr>
                <w:sz w:val="32"/>
                <w:color w:val="000000"/>
              </w:rPr>
              <w:t>(如枸杞、大枣、山药、百合、莲子、薏苡仁等药食同源品种)属于医保基金监管的重点领域，这类饮片兼具药用与食用属性，常被违规用于日常煲汤、保健等非治疗用途，通过串换结算、超量开药、无指征用药等方式套取医保基金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29</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某些医生长期专开某种中药饮片颗粒</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对医师在诊疗过程中偏离临床合理用药原则，长期、高频、大比例开具某一种或某几种中药配方颗粒，可能存在利益输送、不合理用药、诱导消费甚至串换结算等违规行为进行监管。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30</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弹跳式住院</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1.A医院刚出院，立刻入院B医院；</w:t>
            </w:r>
            <w:r>
              <w:br/>
            </w:r>
            <w:r>
              <w:rPr>
                <w:sz w:val="32"/>
                <w:color w:val="000000"/>
              </w:rPr>
              <w:t>2.前后两次住院诊断相同或相近、收治科室相同或相近、治疗方式基本相同或属于前次诊疗计划组成部分。</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31</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认定工伤后骗取医保待遇</w:t>
            </w:r>
            <w:r>
              <w:rPr>
                <w:sz w:val="32"/>
                <w:color w:val="000000"/>
              </w:rPr>
              <w:t>(认定工伤参保人享受医保待遇)</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工伤参保人医疗费用，医保基金先行垫付的，后续应当由工伤基金支付。</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32</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病种疾病谱对比</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各病种疾病谱对比及异常情况进行监管。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33</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ICD操作码与收费项目不符</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对医保结算清单中填写的</w:t>
            </w:r>
            <w:r>
              <w:rPr>
                <w:sz w:val="32"/>
                <w:color w:val="000000"/>
              </w:rPr>
              <w:t>ICD操作码在结算明细中无对应医疗服务项目的情形进行监管。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34</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全市住院各病种三年平均费用对比</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住院各病种近三年医疗总费用、统筹费用、次均费用等费用对比及异常情况进行监管。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35</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各医院住院各病种三年平均费用对比</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住院各定点医疗机构各病种近三年医疗总费用、统筹费用、次均费用等各平均费用同比及异常情况进行监管。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36</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全市住院各病种各类诊治方式三年平均费用对比</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住院各病种各诊治方式近三年医疗总费用、统筹费用、次均费用等费用对比及异常情况进行监管。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37</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各医院住院各病种各类诊治方式三年平均费用对比</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住院各定点医疗机构各病种各诊治方式近三年医疗总费用、统筹费用、次均费用等各平均费用同比及异常情况进行监管。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38</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中医特色病种三年住院人次比较</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各中医特色病种近三年住院人次对比及异常情况进行监管。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39</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中医特色病种中治比</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各中医特色病种中治比情况进行监管。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40</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精神病人住院</w:t>
            </w:r>
            <w:r>
              <w:rPr>
                <w:sz w:val="32"/>
                <w:color w:val="000000"/>
              </w:rPr>
              <w:t>1-3年内MR、CT检查次数</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对精神病人住院</w:t>
            </w:r>
            <w:r>
              <w:rPr>
                <w:sz w:val="32"/>
                <w:color w:val="000000"/>
              </w:rPr>
              <w:t>1-3年内MR、CT检查情形进行监管。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41</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全市各门特病种三年平均费用对比</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对各门特病种近三年医疗总费用、统筹费用、次均费用等费用对比情况进行监管。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42</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各医院各门特病种三年平均费用对比</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对各定点医疗机构各门特病种近三年医疗总费用、统筹费用、次均费用等各平均费用同比情况进行监管。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43</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门诊开了输液项目但没有配料</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对所有门诊医保结算数据中开了输液项目但没有对应的耗材收费结算的情形进行监管。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44</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低倍率病例占比和人头人次占比</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对医保结算数据中低倍率病例占总病例人数、人次对比的情形进行监管。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45</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全市同一病人三年内再次入院对比</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对医保结算数据中同一参保人近三年内再次入院对比的情形进行监管。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46</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全市同类药品价格对比</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对医保结算数据中同类药品各定点医疗机构价格对比的情形进行监管。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47</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某些特定编码病种与手术操作码的关联性</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对医保结算清单中某些特定编码病种与手术操作码关联性的情形进行监管。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48</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全市各定点医疗机构普通门诊三年平均费用对比</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各定点医疗机构普通门诊近三年医疗总费用、次均费用与平均各费用对比及异常情况进行监管。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49</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各定点医疗机构各普通门诊三年平均费用对比</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各定点医疗机构普通门诊近三年平均医疗总费用、平均次均费用等费用同比及异常情况进行监管。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50</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药品限工伤保险</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仅限工伤保险基金可支付，基本医疗保险基金不予支付。</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51</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药品限生育保险</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参保人险种非生育保险。</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52</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中药饮片单复方均不予支付</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未纳入基金支付范围的中药饮片医保不予支付。</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53</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中药饮片单方使用不予支付</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单独使用时统筹基金不予支付，且全部由这些饮片组成的处方统筹基金也不予支付。</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54</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药品限新生儿使用</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仅限新生儿时可支付的药品，非新生儿人群使用且纳入基本医疗保险基金支付。</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55</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药品限儿童使用</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参保人年龄超出儿童年龄限制。</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56</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药品限适应症</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有适应症支付限定的药品，如无相应适应症使用且纳入基本医疗保险基金支付。</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57</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医疗服务项目限新生儿使用</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仅限新生儿时可支付的医疗服务项目，非新生儿人群使用且纳入基本医疗保险基金支付。</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58</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医疗服务项目限儿童使用</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仅限儿童可支付的医疗服务项目，非儿童人群使用且纳入基本医疗保险基金支付。</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59</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医疗服务项目限定频次</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对医疗服务项目分类与代码中有使用频次限定的医疗服务项目进行监管。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60</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医疗服务项目限年龄</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对医疗服务项目分类与代码中限年龄使用的医疗服务项目进行监管。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61</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耗材限新生儿使用</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对《医保医用耗材分类与代码数据库》中限新生儿使用的医用耗材进行监管。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62</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耗材限儿童使用</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对《医保医用耗材分类与代码数据库》中限儿童使用的耗材进行监管。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63</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疾病诊断编码异常</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对医保结算清单中填写的诊断编码在结算明细中无对应医疗服务项目</w:t>
            </w:r>
            <w:r>
              <w:rPr>
                <w:sz w:val="32"/>
                <w:color w:val="000000"/>
              </w:rPr>
              <w:t>(或药品、医用耗材)的情形进行监管。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64</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手术操作编码异常</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对医保结算清单中手术操作编码信息缺失、错编、主手术选择错误情形进行监管。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65</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手术操作编码与性别不符</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对医保结算清单中手术操作编码与参保人性别不符的情形进行监管。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66</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诊断编码与手术操作编码不符</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对医保结算清单中主要诊断编码和主要手术操作编码的相关性进行监管。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67</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诊断与患者性别不符</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对参保人诊断与性别不符的情形进行监管。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68</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诊断与患者年龄不符</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对参保人诊断与年龄不符情形进行监管。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69</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药品儿童禁用</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对儿童禁忌使用的药物进行监管。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70</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老年人用药安全</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对《广东省基本医疗保险、工伤保险和生育保险药品目录》及《医保药品分类与代码数据库》中有老年人使用禁忌的药品进行监管。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71</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妊娠期及哺乳期用药安全</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对《广东省基本医疗保险、工伤保险和生育保险药品目录》及《医保药品分类与代码数据库》中有妊娠期或哺乳期人群禁忌的药品进行监管。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72</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药品相互作用</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对《广东省基本医疗保险、工伤保险和生育保险药品目录》及《医保药品分类与代码数据库》中有不良相互作用的药品进行监管。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73</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中药饮片配伍禁忌</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对《国家基本医疗保险、工伤保险和生育保险药品目录》及《医保药品分类与代码数据库》的中药饮片配伍进行监管。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74</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中药饮片超大处方</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对《国家基本医疗保险、工伤保险和生育保险药品目录》及《医保药品分类与代码数据库》的</w:t>
            </w:r>
            <w:r>
              <w:rPr>
                <w:sz w:val="32"/>
                <w:color w:val="000000"/>
              </w:rPr>
              <w:t>中药饮片处方味数</w:t>
            </w:r>
            <w:r>
              <w:rPr>
                <w:sz w:val="32"/>
                <w:color w:val="000000"/>
              </w:rPr>
              <w:t>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75</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无指征检验检查</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对检验检查无相应适应症等情形进行监管。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76</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无指征治疗</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对医疗服务项目分类与代码中与疾病无关或无治疗依据而反复多次使用的医疗服务项目进行监管。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77</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医疗服务项目儿童禁用</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在保障儿童就医权益、落实儿科倾斜支持政策的前提下，精准识别</w:t>
            </w:r>
            <w:r>
              <w:rPr>
                <w:sz w:val="32"/>
                <w:color w:val="000000"/>
              </w:rPr>
              <w:t>“成人违规套用儿童专用项目、超年龄申请儿童服务价格加收、串换项目套取基金”等违规行为进行监管。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78</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医疗服务项目区分性别使用</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对医疗服务项目分类与代码区分性别使用的医疗服务项目进行监管。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79</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医疗服务项目超适应症使用</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对未按照适应症范围使用医疗服务项目的情形进行监管。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80</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医用耗材与医疗服务项目不符</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对《医保医用耗材分类与代码数据库》中需与特定医疗服务项目同时使用的耗材进行监管。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81</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医用耗材数量超标</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对《医保医用耗材分类与代码数据库》中有使用数量限定的耗材进行监管。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82</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医用耗材与性别不符</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对《医保医用耗材分类与代码数据库》中与性别对应的医用耗材进行监管。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83</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医用耗材限疾病使用</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对《医保医用耗材分类与代码数据库》中有限定疾病诊断的医用耗材进行监管。</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84</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交通事故就医的责任分担比例识别</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参保人因交通事故就医的，应当根据交管等部门的责任认定书，第三方责任应由第三方支付，医保只支付己方责任对应比例的费用。</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85</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人身伤害就医的责任分担比例识别</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涉及人身伤害就医的，应当根据公安、法院等司法部门的认定书或判决书，第三方责任应由第三方支付，医保只支付己方责任对应比例的费用。</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86</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耗材限工伤保险</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指纳入《基本医疗保险、工伤保险和生育保险医用耗材目录》且明确标注</w:t>
            </w:r>
            <w:r>
              <w:rPr>
                <w:sz w:val="32"/>
                <w:color w:val="000000"/>
              </w:rPr>
              <w:t>“仅限工伤保险基金支付”的医用耗材，仅可在参保人员被认定为工伤、享受工伤保险待遇的场景下纳入基金报销范围，不得使用基本医疗保险（含职工医保、居民医保）、生育保险基金进行支付。</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87</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药品限医疗机构级别</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指纳入《基本医疗保险、工伤保险和生育保险药品目录》且明确标注</w:t>
            </w:r>
            <w:r>
              <w:rPr>
                <w:sz w:val="32"/>
                <w:color w:val="000000"/>
              </w:rPr>
              <w:t>“限二级及以上医疗机构使用”等级别限制的药品，仅可在符合限定级别要求的定点医疗机构使用时纳入医保基金支付范围；若低于限定级别的医疗机构（如一级医院、基层诊所、社区卫生服务中心等）违规开具该类药品并纳入医保结算，即属于套取医保基金的违规行为。</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88</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药品限就医方式</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指纳入《基本医疗保险、工伤保险和生育保险药品目录》且明确标注</w:t>
            </w:r>
            <w:r>
              <w:rPr>
                <w:sz w:val="32"/>
                <w:color w:val="000000"/>
              </w:rPr>
              <w:t>“限门诊使用”“限住院使用”等就医方式限制的药品，仅可在限定的就医场景下使用时纳入医保基金支付范围。</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89</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医疗服务项目限生育保险</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指纳入《基本医疗保险、工伤保险和生育保险医疗服务项目目录》且明确标注</w:t>
            </w:r>
            <w:r>
              <w:rPr>
                <w:sz w:val="32"/>
                <w:color w:val="000000"/>
              </w:rPr>
              <w:t>“限生育保险支付”的医疗服务项目，仅可在参保人员符合生育保险待遇享受条件、发生生育相关诊疗（含产前检查、分娩、计划生育手术、生育并发症诊治等）场景下，由生育保险基金按规定支付费用；不得在非生育诊疗场景下使用基本医疗保险（含职工医保、居民医保）、工伤保险基金进行报销。若医疗机构违规将该类项目在非生育保险场景下纳入</w:t>
            </w:r>
            <w:r>
              <w:rPr>
                <w:sz w:val="32"/>
                <w:color w:val="000000"/>
              </w:rPr>
              <w:t>生育保险基金结算</w:t>
            </w:r>
            <w:r>
              <w:rPr>
                <w:sz w:val="32"/>
                <w:color w:val="000000"/>
              </w:rPr>
              <w:t>，即属于套取医保基金的违规行为。</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90</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医疗服务项目限就医方式</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指纳入《基本医疗保险、工伤保险和生育保险医疗服务项目目录》且明确标注</w:t>
            </w:r>
            <w:r>
              <w:rPr>
                <w:sz w:val="32"/>
                <w:color w:val="000000"/>
              </w:rPr>
              <w:t>“限门诊使用”“限住院使用”等就医方式限制的医疗服务项目，仅可在限定的就医场景下使用时纳入医保基金支付范围。</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91</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医疗服务项目限医疗机构级别</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指纳入《基本医疗保险、工伤保险和生育保险医疗服务项目目录》且明确标注</w:t>
            </w:r>
            <w:r>
              <w:rPr>
                <w:sz w:val="32"/>
                <w:color w:val="000000"/>
              </w:rPr>
              <w:t>“限二级及以上医疗机构使用”“限三级医疗机构使用”“限A类定点医疗机构使用”等级别限制的医疗服务项目，仅可在符合限定级别要求的定点医疗机构开展时纳入医保基金支付范围；若低于限定级别的医疗机构（如一级医院、基层诊所、社区卫生服务中心、非A类定点机构等）违规开展该类项目并纳入医保结算，即属于套取医保基金的违规行为。</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92</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计费日期与住院时间不符</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指医疗机构向医保部门申报的医疗服务项目、药品、耗材的计费日期，超出患者实际住院时间段（入院日期至出院日期）范围，或与诊疗行为发生时间逻辑矛盾的违规收费行为。该规则的监管核心是确保医疗费用发生的时间与实际住院诊疗行为相匹配，防范虚构诊疗项目、重复收费、提前</w:t>
            </w:r>
            <w:r>
              <w:rPr>
                <w:sz w:val="32"/>
                <w:color w:val="000000"/>
              </w:rPr>
              <w:t>/延后计费等套取医保基金的风险。</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93</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全市药品用量最大的前</w:t>
            </w:r>
            <w:r>
              <w:rPr>
                <w:sz w:val="32"/>
                <w:color w:val="000000"/>
              </w:rPr>
              <w:t>5名</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指医保部门通过对全市定点医疗机构在一定统计周期内（通常为月度、季度或年度）的全部医保结算药品数据进行汇总分析，按药品使用总金额、总数量或特定类别药品（如高值药、重点监控药、易倒卖药品）的使用量排序，筛选出排名前</w:t>
            </w:r>
            <w:r>
              <w:rPr>
                <w:sz w:val="32"/>
                <w:color w:val="000000"/>
              </w:rPr>
              <w:t>5位的医疗机构并开展重点核查的监管机制。</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94</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全市药品使用基金最多的前</w:t>
            </w:r>
            <w:r>
              <w:rPr>
                <w:sz w:val="32"/>
                <w:color w:val="000000"/>
              </w:rPr>
              <w:t>5名</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指医保部门对全市定点医疗机构在一定统计周期内（通常为月度、季度或年度）的药品费用医保基金实际支付金额进行汇总统计，按基金支出规模排序筛选出排名前</w:t>
            </w:r>
            <w:r>
              <w:rPr>
                <w:sz w:val="32"/>
                <w:color w:val="000000"/>
              </w:rPr>
              <w:t>5位的医疗机构，开展重点监测、核查和绩效评估的监管机制。</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95</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药品与医疗服务项目不符</w:t>
            </w:r>
          </w:p>
        </w:tc>
        <w:tc>
          <w:tcPr>
            <w:tcW w:type="dxa" w:w="2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指医疗机构在医保结算过程中，开具的药品与同期开展的医疗服务项目之间不存在临床逻辑关联，或不符合诊疗常规的违规结算行为。</w:t>
            </w: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以甲方最终签字确认的数据需求为准（《数据需求确认单》）</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以甲方最终签字确认的建模要求标准为准（《建模要求确认单》）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96</w:t>
            </w:r>
          </w:p>
        </w:tc>
        <w:tc>
          <w:tcPr>
            <w:tcW w:type="dxa" w:w="757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32"/>
                <w:color w:val="000000"/>
              </w:rPr>
              <w:t>双方确认的其它模型</w:t>
            </w:r>
          </w:p>
        </w:tc>
      </w:tr>
    </w:tbl>
    <w:p>
      <w:pPr>
        <w:pStyle w:val="null3"/>
        <w:ind w:firstLine="643"/>
        <w:jc w:val="both"/>
      </w:pPr>
      <w:r>
        <w:rPr>
          <w:sz w:val="32"/>
          <w:b/>
        </w:rPr>
        <w:t>4.2功能要求</w:t>
      </w:r>
    </w:p>
    <w:p>
      <w:pPr>
        <w:pStyle w:val="null3"/>
        <w:ind w:firstLine="640"/>
        <w:jc w:val="both"/>
      </w:pPr>
      <w:r>
        <w:rPr>
          <w:sz w:val="32"/>
        </w:rPr>
        <w:t>（</w:t>
      </w:r>
      <w:r>
        <w:rPr>
          <w:sz w:val="32"/>
        </w:rPr>
        <w:t>1）全量搜索</w:t>
      </w:r>
    </w:p>
    <w:p>
      <w:pPr>
        <w:pStyle w:val="null3"/>
        <w:ind w:firstLine="640"/>
        <w:jc w:val="both"/>
      </w:pPr>
      <w:r>
        <w:rPr>
          <w:sz w:val="32"/>
        </w:rPr>
        <w:t>根据国家医保平台回流本地全量数据，快速精确定位关键信息，显著提高数据查询与分析效率。</w:t>
      </w:r>
    </w:p>
    <w:p>
      <w:pPr>
        <w:pStyle w:val="null3"/>
        <w:ind w:firstLine="640"/>
        <w:jc w:val="both"/>
      </w:pPr>
      <w:r>
        <w:rPr>
          <w:sz w:val="32"/>
        </w:rPr>
        <w:t>（</w:t>
      </w:r>
      <w:r>
        <w:rPr>
          <w:sz w:val="32"/>
        </w:rPr>
        <w:t>2）天眼筛查</w:t>
      </w:r>
    </w:p>
    <w:p>
      <w:pPr>
        <w:pStyle w:val="null3"/>
        <w:ind w:firstLine="640"/>
        <w:jc w:val="both"/>
      </w:pPr>
      <w:r>
        <w:rPr>
          <w:sz w:val="32"/>
        </w:rPr>
        <w:t>依据国家飞检、省内交叉检查医保基金负面清单及我市日常监管智能审核规则做数据筛查。全面覆盖各项业务，以便及时发现和预警潜在的医保欺诈行为。</w:t>
      </w:r>
    </w:p>
    <w:p>
      <w:pPr>
        <w:pStyle w:val="null3"/>
        <w:ind w:firstLine="640"/>
        <w:jc w:val="both"/>
      </w:pPr>
      <w:r>
        <w:rPr>
          <w:sz w:val="32"/>
        </w:rPr>
        <w:t>（</w:t>
      </w:r>
      <w:r>
        <w:rPr>
          <w:sz w:val="32"/>
        </w:rPr>
        <w:t>3）画像比对</w:t>
      </w:r>
    </w:p>
    <w:p>
      <w:pPr>
        <w:pStyle w:val="null3"/>
        <w:ind w:firstLine="640"/>
        <w:jc w:val="both"/>
      </w:pPr>
      <w:r>
        <w:rPr>
          <w:sz w:val="32"/>
        </w:rPr>
        <w:t>根据历史数据和象限分析，构建潜在风险的详细画像，有效预测和准确识别可能的异常行为。包括两定机构画像、医保医师画像、参保人画像等。</w:t>
      </w:r>
    </w:p>
    <w:p>
      <w:pPr>
        <w:pStyle w:val="null3"/>
        <w:ind w:firstLine="640"/>
        <w:jc w:val="both"/>
      </w:pPr>
      <w:r>
        <w:rPr>
          <w:sz w:val="32"/>
        </w:rPr>
        <w:t>（</w:t>
      </w:r>
      <w:r>
        <w:rPr>
          <w:sz w:val="32"/>
        </w:rPr>
        <w:t>4）哨兵预警</w:t>
      </w:r>
    </w:p>
    <w:p>
      <w:pPr>
        <w:pStyle w:val="null3"/>
        <w:ind w:firstLine="640"/>
        <w:jc w:val="both"/>
      </w:pPr>
      <w:r>
        <w:rPr>
          <w:sz w:val="32"/>
        </w:rPr>
        <w:t>改变传统</w:t>
      </w:r>
      <w:r>
        <w:rPr>
          <w:sz w:val="32"/>
        </w:rPr>
        <w:t>“固定规则”监管模式，运用AI、机器学习等方法评估诊疗行为的合理性，通过以点串线、以线促面，形成全方位医保哨兵监管网络，对疑似欺诈数据进行风险等级标示，显著提升医保基金的使用效率和质量。包括基于大模型的人机交互咨询、基于本地化政策的欺诈骗保违规行为预警等。</w:t>
      </w:r>
    </w:p>
    <w:p>
      <w:pPr>
        <w:pStyle w:val="null3"/>
        <w:ind w:firstLine="643"/>
        <w:jc w:val="both"/>
      </w:pPr>
      <w:r>
        <w:rPr>
          <w:sz w:val="32"/>
          <w:b/>
        </w:rPr>
        <w:t>4.3人工智能辅助病例分析</w:t>
      </w:r>
    </w:p>
    <w:p>
      <w:pPr>
        <w:pStyle w:val="null3"/>
        <w:ind w:firstLine="640"/>
        <w:jc w:val="both"/>
      </w:pPr>
      <w:r>
        <w:rPr>
          <w:sz w:val="32"/>
        </w:rPr>
        <w:t>通过对各类数据特征的定位和采集，以人工智能与机器学习模型开展</w:t>
      </w:r>
      <w:r>
        <w:rPr>
          <w:sz w:val="32"/>
        </w:rPr>
        <w:t>DRG/DIP下的病例辅助分析，在事后阶段实现疑点筛查。包括不限于：DRG/DIP分组模拟模型、费用结构分析模型、诊疗路径大数据分析模型、主诊断预测模型、参保人就诊曲线分析模型、重点药品耗材监控模型。</w:t>
      </w:r>
    </w:p>
    <w:p>
      <w:pPr>
        <w:pStyle w:val="null3"/>
        <w:ind w:firstLine="643"/>
        <w:jc w:val="both"/>
      </w:pPr>
      <w:r>
        <w:rPr>
          <w:sz w:val="32"/>
          <w:b/>
        </w:rPr>
        <w:t>4.4多维度风险聚合分析</w:t>
      </w:r>
    </w:p>
    <w:p>
      <w:pPr>
        <w:pStyle w:val="null3"/>
        <w:ind w:firstLine="640"/>
        <w:jc w:val="both"/>
      </w:pPr>
      <w:r>
        <w:rPr>
          <w:sz w:val="32"/>
        </w:rPr>
        <w:t>大数据分析模型涉及数据类型与维度众多，传统的文字列表性结果展示方式难以将密切相关的线索横向拉通，可视化风险分析系统即是按照不同的分析维度，将所有涉及的分析模型、违规线索横向拉通，并通过可视化手段，将分析模型的结果进行直观展示，协助风险分析人员快速形成风险线索的综合印象，提高风险处理效率。</w:t>
      </w:r>
    </w:p>
    <w:p>
      <w:pPr>
        <w:pStyle w:val="null3"/>
        <w:ind w:firstLine="643"/>
        <w:jc w:val="both"/>
      </w:pPr>
      <w:r>
        <w:rPr>
          <w:sz w:val="32"/>
          <w:b/>
        </w:rPr>
        <w:t>4.5从线索到稽核的全处理流程</w:t>
      </w:r>
    </w:p>
    <w:p>
      <w:pPr>
        <w:pStyle w:val="null3"/>
        <w:ind w:firstLine="640"/>
        <w:jc w:val="both"/>
      </w:pPr>
      <w:r>
        <w:rPr>
          <w:sz w:val="32"/>
        </w:rPr>
        <w:t>包括从欺诈风险采集到欺诈风险预警再到欺诈风险处理的完整业务流程。欺诈风险采集提供风险数据的采集选项，用以建立采集任务，查看采集任务详情。欺诈风险预警提供对住院行为进行风险分析和预警展示与初步处理功能，每个风险预警维度，都包括风险列表与风险详细分析。欺诈风险处理提供对确认的风险线索的分配、处理、结果录入功能，完成风险管理闭环。</w:t>
      </w:r>
    </w:p>
    <w:p>
      <w:pPr>
        <w:pStyle w:val="null3"/>
        <w:ind w:firstLine="643"/>
        <w:jc w:val="both"/>
      </w:pPr>
      <w:r>
        <w:rPr>
          <w:sz w:val="32"/>
          <w:b/>
        </w:rPr>
        <w:t>4.6运行服务</w:t>
      </w:r>
    </w:p>
    <w:p>
      <w:pPr>
        <w:pStyle w:val="null3"/>
        <w:ind w:firstLine="640"/>
        <w:jc w:val="both"/>
      </w:pPr>
      <w:r>
        <w:rPr>
          <w:sz w:val="32"/>
        </w:rPr>
        <w:t>主要包括运行服务完成大数据反欺诈模型建立和维护、模型分析和训练、评估和优化；核实大数据模型筛查出的疑点。</w:t>
      </w:r>
    </w:p>
    <w:p>
      <w:pPr>
        <w:pStyle w:val="null3"/>
        <w:ind w:firstLine="643"/>
        <w:jc w:val="both"/>
      </w:pPr>
      <w:r>
        <w:rPr>
          <w:sz w:val="32"/>
          <w:b/>
        </w:rPr>
        <w:t>4.7反欺诈模型要求</w:t>
      </w:r>
    </w:p>
    <w:p>
      <w:pPr>
        <w:pStyle w:val="null3"/>
        <w:ind w:firstLine="640"/>
        <w:jc w:val="both"/>
      </w:pPr>
      <w:r>
        <w:rPr>
          <w:sz w:val="32"/>
        </w:rPr>
        <w:t>通过智能手段，实现对医保数据的实时监控、分析和预警，快速识别异常行为和潜在的欺诈风险，提升监管效率。系统整合多源数据，利用大数据分析和人工智能技术，精准定位欺诈模式，减少人工核查的误差和滞后性。系统加强数据共享与协同，促进跨部门合作，形成全方位的反欺诈网络，有效遏制医保基金的滥用和流失，保障医保资金的安全与合理使用。</w:t>
      </w:r>
    </w:p>
    <w:p>
      <w:pPr>
        <w:pStyle w:val="null3"/>
        <w:ind w:firstLine="640"/>
        <w:jc w:val="both"/>
      </w:pPr>
      <w:r>
        <w:rPr>
          <w:sz w:val="32"/>
        </w:rPr>
        <w:t>模型功能包括：风险概览、风险采集、风险分析、风险处理、场景分析、系统管理等功能模块。</w:t>
      </w:r>
    </w:p>
    <w:p>
      <w:pPr>
        <w:pStyle w:val="null3"/>
        <w:ind w:firstLine="640"/>
        <w:jc w:val="both"/>
      </w:pPr>
      <w:r>
        <w:rPr>
          <w:sz w:val="32"/>
          <w:b/>
          <w:u w:val="single"/>
        </w:rPr>
        <w:t>三、合同服务费金额</w:t>
      </w:r>
    </w:p>
    <w:p>
      <w:pPr>
        <w:pStyle w:val="null3"/>
        <w:ind w:firstLine="643"/>
        <w:jc w:val="both"/>
      </w:pPr>
      <w:r>
        <w:rPr>
          <w:sz w:val="32"/>
          <w:b/>
        </w:rPr>
        <w:t>（一）</w:t>
      </w:r>
      <w:r>
        <w:rPr>
          <w:sz w:val="32"/>
        </w:rPr>
        <w:t>本合同总价：（人民币大写）</w:t>
      </w:r>
      <w:r>
        <w:rPr>
          <w:sz w:val="21"/>
          <w:u w:val="single"/>
        </w:rPr>
        <w:t xml:space="preserve">          </w:t>
      </w:r>
      <w:r>
        <w:rPr>
          <w:sz w:val="32"/>
        </w:rPr>
        <w:t>万</w:t>
      </w:r>
      <w:r>
        <w:rPr>
          <w:sz w:val="32"/>
        </w:rPr>
        <w:t>元整（</w:t>
      </w:r>
      <w:r>
        <w:rPr>
          <w:sz w:val="32"/>
        </w:rPr>
        <w:t>¥</w:t>
      </w:r>
      <w:r>
        <w:rPr>
          <w:sz w:val="21"/>
          <w:u w:val="single"/>
        </w:rPr>
        <w:t xml:space="preserve">          </w:t>
      </w:r>
      <w:r>
        <w:rPr>
          <w:sz w:val="32"/>
        </w:rPr>
        <w:t>元）。</w:t>
      </w:r>
    </w:p>
    <w:p>
      <w:pPr>
        <w:pStyle w:val="null3"/>
        <w:ind w:firstLine="643"/>
        <w:jc w:val="both"/>
      </w:pPr>
      <w:r>
        <w:rPr>
          <w:sz w:val="32"/>
          <w:b/>
        </w:rPr>
        <w:t>（二）</w:t>
      </w:r>
      <w:r>
        <w:rPr>
          <w:sz w:val="32"/>
        </w:rPr>
        <w:t>合同总价已包括第三方服务人员的人工费、培训费、项目期运维服务费、各种税务费。</w:t>
      </w:r>
    </w:p>
    <w:p>
      <w:pPr>
        <w:pStyle w:val="null3"/>
        <w:ind w:firstLine="643"/>
        <w:jc w:val="both"/>
      </w:pPr>
      <w:r>
        <w:rPr>
          <w:sz w:val="32"/>
          <w:b/>
        </w:rPr>
        <w:t>（三）</w:t>
      </w:r>
      <w:r>
        <w:rPr>
          <w:sz w:val="32"/>
        </w:rPr>
        <w:t>本合同价格为固定不变价。</w:t>
      </w:r>
    </w:p>
    <w:p>
      <w:pPr>
        <w:pStyle w:val="null3"/>
        <w:ind w:firstLine="640"/>
        <w:jc w:val="both"/>
      </w:pPr>
      <w:r>
        <w:rPr>
          <w:sz w:val="32"/>
          <w:b/>
          <w:u w:val="single"/>
        </w:rPr>
        <w:t>四、双方权利和义务</w:t>
      </w:r>
    </w:p>
    <w:p>
      <w:pPr>
        <w:pStyle w:val="null3"/>
        <w:spacing w:after="120"/>
        <w:ind w:firstLine="643"/>
        <w:jc w:val="both"/>
      </w:pPr>
      <w:r>
        <w:rPr>
          <w:sz w:val="32"/>
          <w:b/>
        </w:rPr>
        <w:t>（一）甲方权利义务</w:t>
      </w:r>
      <w:r>
        <w:rPr>
          <w:sz w:val="32"/>
          <w:b/>
        </w:rPr>
        <w:t>:</w:t>
      </w:r>
    </w:p>
    <w:p>
      <w:pPr>
        <w:pStyle w:val="null3"/>
        <w:spacing w:after="120"/>
        <w:ind w:firstLine="643"/>
        <w:jc w:val="both"/>
      </w:pPr>
      <w:r>
        <w:rPr>
          <w:sz w:val="32"/>
          <w:b/>
        </w:rPr>
        <w:t>1.</w:t>
      </w:r>
      <w:r>
        <w:rPr>
          <w:sz w:val="32"/>
        </w:rPr>
        <w:t>甲方有权得到乙方提供的投标文件中承诺的服务。</w:t>
      </w:r>
    </w:p>
    <w:p>
      <w:pPr>
        <w:pStyle w:val="null3"/>
        <w:spacing w:after="120"/>
        <w:ind w:firstLine="643"/>
        <w:jc w:val="both"/>
      </w:pPr>
      <w:r>
        <w:rPr>
          <w:sz w:val="32"/>
          <w:b/>
        </w:rPr>
        <w:t>2.</w:t>
      </w:r>
      <w:r>
        <w:rPr>
          <w:sz w:val="32"/>
        </w:rPr>
        <w:t>在甲方能力范围内，负责项目场地的准备工作；项目所需服务器或实施环境（含算力）由甲方提供。确保乙方在提供服务过程中不受外来因素的阻挠和影响。</w:t>
      </w:r>
    </w:p>
    <w:p>
      <w:pPr>
        <w:pStyle w:val="null3"/>
        <w:spacing w:after="120"/>
        <w:ind w:firstLine="643"/>
        <w:jc w:val="both"/>
      </w:pPr>
      <w:r>
        <w:rPr>
          <w:sz w:val="32"/>
          <w:b/>
        </w:rPr>
        <w:t>3.</w:t>
      </w:r>
      <w:r>
        <w:rPr>
          <w:sz w:val="32"/>
        </w:rPr>
        <w:t>在甲方能力范围内，负责协调相关部门为乙方的服务工作提供配合和协助。</w:t>
      </w:r>
    </w:p>
    <w:p>
      <w:pPr>
        <w:pStyle w:val="null3"/>
        <w:spacing w:after="120"/>
        <w:ind w:firstLine="643"/>
        <w:jc w:val="both"/>
      </w:pPr>
      <w:r>
        <w:rPr>
          <w:sz w:val="32"/>
          <w:b/>
        </w:rPr>
        <w:t>4.</w:t>
      </w:r>
      <w:r>
        <w:rPr>
          <w:sz w:val="32"/>
        </w:rPr>
        <w:t>按本合同约定的时间及方法对本项目进行验收。</w:t>
      </w:r>
    </w:p>
    <w:p>
      <w:pPr>
        <w:pStyle w:val="null3"/>
        <w:spacing w:after="120"/>
        <w:ind w:firstLine="643"/>
        <w:jc w:val="both"/>
      </w:pPr>
      <w:r>
        <w:rPr>
          <w:sz w:val="32"/>
          <w:b/>
        </w:rPr>
        <w:t>5.</w:t>
      </w:r>
      <w:r>
        <w:rPr>
          <w:sz w:val="32"/>
        </w:rPr>
        <w:t>按本合同约定按时付款给乙方。</w:t>
      </w:r>
    </w:p>
    <w:p>
      <w:pPr>
        <w:pStyle w:val="null3"/>
        <w:spacing w:after="120"/>
        <w:ind w:firstLine="643"/>
        <w:jc w:val="both"/>
      </w:pPr>
      <w:r>
        <w:rPr>
          <w:sz w:val="32"/>
          <w:b/>
        </w:rPr>
        <w:t>6.</w:t>
      </w:r>
      <w:r>
        <w:rPr>
          <w:sz w:val="32"/>
        </w:rPr>
        <w:t>本项目产生的数据所有权归甲方所有，乙方所提交的所有成果的知识产权归甲方所有。</w:t>
      </w:r>
    </w:p>
    <w:p>
      <w:pPr>
        <w:pStyle w:val="null3"/>
        <w:ind w:firstLine="643"/>
        <w:jc w:val="both"/>
      </w:pPr>
      <w:r>
        <w:rPr>
          <w:sz w:val="32"/>
          <w:b/>
        </w:rPr>
        <w:t>（二）乙方权利义务：</w:t>
      </w:r>
    </w:p>
    <w:p>
      <w:pPr>
        <w:pStyle w:val="null3"/>
        <w:spacing w:after="120"/>
        <w:ind w:firstLine="643"/>
        <w:jc w:val="both"/>
      </w:pPr>
      <w:r>
        <w:rPr>
          <w:sz w:val="32"/>
          <w:b/>
        </w:rPr>
        <w:t>1.</w:t>
      </w:r>
      <w:r>
        <w:rPr>
          <w:sz w:val="32"/>
        </w:rPr>
        <w:t>按照合同要求向甲方提供约定金额的服务费发票。</w:t>
      </w:r>
    </w:p>
    <w:p>
      <w:pPr>
        <w:pStyle w:val="null3"/>
        <w:spacing w:after="120"/>
        <w:ind w:firstLine="643"/>
        <w:jc w:val="both"/>
      </w:pPr>
      <w:r>
        <w:rPr>
          <w:sz w:val="32"/>
          <w:b/>
        </w:rPr>
        <w:t>2.</w:t>
      </w:r>
      <w:r>
        <w:rPr>
          <w:sz w:val="32"/>
        </w:rPr>
        <w:t>按招标文件、投标文件内容提供服务。</w:t>
      </w:r>
    </w:p>
    <w:p>
      <w:pPr>
        <w:pStyle w:val="null3"/>
        <w:spacing w:after="120"/>
        <w:ind w:firstLine="643"/>
        <w:jc w:val="both"/>
      </w:pPr>
      <w:r>
        <w:rPr>
          <w:sz w:val="32"/>
          <w:b/>
        </w:rPr>
        <w:t>3.</w:t>
      </w:r>
      <w:r>
        <w:rPr>
          <w:sz w:val="32"/>
        </w:rPr>
        <w:t>按合同约定的质量、时间完成服务。</w:t>
      </w:r>
    </w:p>
    <w:p>
      <w:pPr>
        <w:pStyle w:val="null3"/>
        <w:spacing w:after="120"/>
        <w:ind w:firstLine="643"/>
        <w:jc w:val="both"/>
      </w:pPr>
      <w:r>
        <w:rPr>
          <w:sz w:val="32"/>
          <w:b/>
        </w:rPr>
        <w:t>4.</w:t>
      </w:r>
      <w:r>
        <w:rPr>
          <w:sz w:val="32"/>
        </w:rPr>
        <w:t>本项目乙方所提供的配套技术所有权归乙方所有。</w:t>
      </w:r>
    </w:p>
    <w:p>
      <w:pPr>
        <w:pStyle w:val="null3"/>
        <w:ind w:firstLine="640"/>
        <w:jc w:val="both"/>
      </w:pPr>
      <w:r>
        <w:rPr>
          <w:sz w:val="32"/>
          <w:b/>
          <w:u w:val="single"/>
        </w:rPr>
        <w:t>五、项目验收</w:t>
      </w:r>
    </w:p>
    <w:p>
      <w:pPr>
        <w:pStyle w:val="null3"/>
        <w:spacing w:after="120"/>
        <w:ind w:firstLine="640"/>
        <w:jc w:val="both"/>
      </w:pPr>
      <w:r>
        <w:rPr>
          <w:sz w:val="32"/>
        </w:rPr>
        <w:t>验收：乙方应按照项目合同约定完成合同履约，并进行必要的各个阶段的验证、确认，在项目期内按要求持续提供优化升级服务。由甲方自行组织验收组进行验收工作。</w:t>
      </w:r>
    </w:p>
    <w:p>
      <w:pPr>
        <w:pStyle w:val="null3"/>
        <w:ind w:firstLine="640"/>
        <w:jc w:val="both"/>
      </w:pPr>
      <w:r>
        <w:rPr>
          <w:sz w:val="32"/>
          <w:b/>
          <w:u w:val="single"/>
        </w:rPr>
        <w:t>六、服务费付款方式</w:t>
      </w:r>
    </w:p>
    <w:p>
      <w:pPr>
        <w:pStyle w:val="null3"/>
        <w:ind w:firstLine="643"/>
        <w:jc w:val="both"/>
      </w:pPr>
      <w:r>
        <w:rPr>
          <w:sz w:val="32"/>
          <w:b/>
        </w:rPr>
        <w:t>（一）付款方式：银行转账、分期付款</w:t>
      </w:r>
    </w:p>
    <w:p>
      <w:pPr>
        <w:pStyle w:val="null3"/>
        <w:ind w:firstLine="643"/>
        <w:jc w:val="both"/>
      </w:pPr>
      <w:r>
        <w:rPr>
          <w:sz w:val="32"/>
          <w:b/>
        </w:rPr>
        <w:t>第一期：</w:t>
      </w:r>
      <w:r>
        <w:rPr>
          <w:sz w:val="32"/>
        </w:rPr>
        <w:t>合同签订后</w:t>
      </w:r>
      <w:r>
        <w:rPr>
          <w:sz w:val="32"/>
        </w:rPr>
        <w:t>30天内，乙方完成项目反欺诈模型需求调研，根据甲方签字确认的模型需求调研确认单，甲方支付乙方中标金额的20%；</w:t>
      </w:r>
    </w:p>
    <w:p>
      <w:pPr>
        <w:pStyle w:val="null3"/>
        <w:ind w:firstLine="643"/>
        <w:jc w:val="both"/>
      </w:pPr>
      <w:r>
        <w:rPr>
          <w:sz w:val="32"/>
          <w:b/>
        </w:rPr>
        <w:t>第二期：</w:t>
      </w:r>
      <w:r>
        <w:rPr>
          <w:sz w:val="32"/>
        </w:rPr>
        <w:t>合同签订后</w:t>
      </w:r>
      <w:r>
        <w:rPr>
          <w:sz w:val="32"/>
        </w:rPr>
        <w:t>90天内，乙方完成反欺诈模型框架搭建和主体验收，根据甲方签字确认的反欺诈模型主体验收报告，甲方支付乙方中标金额的40%；</w:t>
      </w:r>
    </w:p>
    <w:p>
      <w:pPr>
        <w:pStyle w:val="null3"/>
        <w:ind w:firstLine="643"/>
        <w:jc w:val="both"/>
      </w:pPr>
      <w:r>
        <w:rPr>
          <w:sz w:val="32"/>
          <w:b/>
        </w:rPr>
        <w:t>第三期：</w:t>
      </w:r>
      <w:r>
        <w:rPr>
          <w:sz w:val="32"/>
        </w:rPr>
        <w:t>合同签订后</w:t>
      </w:r>
      <w:r>
        <w:rPr>
          <w:sz w:val="32"/>
        </w:rPr>
        <w:t>240天内，乙方完成反欺诈模型测试、调优、正式投入使用并验收，根据甲方签字确认的反欺诈模型正式验收报告，甲方支付乙方中标金额的30%；</w:t>
      </w:r>
    </w:p>
    <w:p>
      <w:pPr>
        <w:pStyle w:val="null3"/>
        <w:ind w:firstLine="643"/>
        <w:jc w:val="both"/>
      </w:pPr>
      <w:r>
        <w:rPr>
          <w:sz w:val="32"/>
          <w:b/>
        </w:rPr>
        <w:t>第四期</w:t>
      </w:r>
      <w:r>
        <w:rPr>
          <w:sz w:val="32"/>
          <w:b/>
        </w:rPr>
        <w:t>:</w:t>
      </w:r>
      <w:r>
        <w:rPr>
          <w:sz w:val="32"/>
        </w:rPr>
        <w:t>反欺诈模型正式投入使用并运行维护</w:t>
      </w:r>
      <w:r>
        <w:rPr>
          <w:sz w:val="32"/>
        </w:rPr>
        <w:t>1年后，根据甲方签字确认的项目验收及评价报告，甲方支付乙方中标金额的10%。</w:t>
      </w:r>
    </w:p>
    <w:p>
      <w:pPr>
        <w:pStyle w:val="null3"/>
        <w:ind w:firstLine="640"/>
        <w:jc w:val="both"/>
      </w:pPr>
      <w:r>
        <w:rPr>
          <w:sz w:val="32"/>
        </w:rPr>
        <w:t>上述约定的付款时间为甲方向财政部门递交付款申请的时间，每笔款项付款前，乙方应向甲方提供足额有效发票，否则甲方有权拒绝付款。</w:t>
      </w:r>
    </w:p>
    <w:p>
      <w:pPr>
        <w:pStyle w:val="null3"/>
        <w:ind w:firstLine="643"/>
        <w:jc w:val="both"/>
      </w:pPr>
      <w:r>
        <w:rPr>
          <w:sz w:val="32"/>
          <w:b/>
        </w:rPr>
        <w:t>（二）乙方收款账户信息</w:t>
      </w:r>
    </w:p>
    <w:p>
      <w:pPr>
        <w:pStyle w:val="null3"/>
        <w:ind w:firstLine="640"/>
        <w:jc w:val="both"/>
      </w:pPr>
      <w:r>
        <w:rPr>
          <w:sz w:val="32"/>
        </w:rPr>
        <w:t>账户名称：</w:t>
      </w:r>
      <w:r>
        <w:rPr>
          <w:sz w:val="21"/>
          <w:u w:val="single"/>
        </w:rPr>
        <w:t xml:space="preserve">                      </w:t>
      </w:r>
    </w:p>
    <w:p>
      <w:pPr>
        <w:pStyle w:val="null3"/>
        <w:ind w:firstLine="640"/>
        <w:jc w:val="both"/>
      </w:pPr>
      <w:r>
        <w:rPr>
          <w:sz w:val="32"/>
        </w:rPr>
        <w:t>银行账号：</w:t>
      </w:r>
      <w:r>
        <w:rPr>
          <w:sz w:val="21"/>
          <w:u w:val="single"/>
        </w:rPr>
        <w:t xml:space="preserve">                      </w:t>
      </w:r>
    </w:p>
    <w:p>
      <w:pPr>
        <w:pStyle w:val="null3"/>
        <w:ind w:firstLine="640"/>
        <w:jc w:val="both"/>
      </w:pPr>
      <w:r>
        <w:rPr>
          <w:sz w:val="32"/>
        </w:rPr>
        <w:t>开户行：</w:t>
      </w:r>
      <w:r>
        <w:rPr>
          <w:sz w:val="21"/>
          <w:u w:val="single"/>
        </w:rPr>
        <w:t xml:space="preserve">                      </w:t>
      </w:r>
      <w:r>
        <w:rPr>
          <w:sz w:val="21"/>
        </w:rPr>
        <w:t xml:space="preserve"> </w:t>
      </w:r>
    </w:p>
    <w:p>
      <w:pPr>
        <w:pStyle w:val="null3"/>
        <w:ind w:firstLine="640"/>
        <w:jc w:val="both"/>
      </w:pPr>
      <w:r>
        <w:rPr>
          <w:sz w:val="32"/>
          <w:b/>
          <w:u w:val="single"/>
        </w:rPr>
        <w:t>七、违约责任与赔偿损失</w:t>
      </w:r>
    </w:p>
    <w:p>
      <w:pPr>
        <w:pStyle w:val="null3"/>
        <w:ind w:firstLine="643"/>
        <w:jc w:val="both"/>
      </w:pPr>
      <w:r>
        <w:rPr>
          <w:sz w:val="32"/>
          <w:b/>
        </w:rPr>
        <w:t>（一）</w:t>
      </w:r>
      <w:r>
        <w:rPr>
          <w:sz w:val="32"/>
        </w:rPr>
        <w:t>若乙方提供的服务不符合招标文件、投标文件要求或本合同约定的（甲方原因或不可抗力原因除外）</w:t>
      </w:r>
      <w:r>
        <w:rPr>
          <w:sz w:val="32"/>
        </w:rPr>
        <w:t>，甲方有权单方解除本合同，双方按实际服务情况进行计费，且乙方应赔偿甲方本合同总金额的</w:t>
      </w:r>
      <w:r>
        <w:rPr>
          <w:sz w:val="32"/>
        </w:rPr>
        <w:t>5%</w:t>
      </w:r>
      <w:r>
        <w:rPr>
          <w:sz w:val="32"/>
        </w:rPr>
        <w:t>,</w:t>
      </w:r>
      <w:r>
        <w:rPr>
          <w:sz w:val="32"/>
        </w:rPr>
        <w:t>因此造成甲方的经济损失由乙方承担</w:t>
      </w:r>
      <w:r>
        <w:rPr>
          <w:sz w:val="32"/>
        </w:rPr>
        <w:t>（包括但不限于第三方索偿、采取补救措施、律师费等）</w:t>
      </w:r>
      <w:r>
        <w:rPr>
          <w:sz w:val="32"/>
        </w:rPr>
        <w:t>。</w:t>
      </w:r>
    </w:p>
    <w:p>
      <w:pPr>
        <w:pStyle w:val="null3"/>
        <w:ind w:firstLine="643"/>
        <w:jc w:val="both"/>
      </w:pPr>
      <w:r>
        <w:rPr>
          <w:sz w:val="32"/>
          <w:b/>
        </w:rPr>
        <w:t>（二）</w:t>
      </w:r>
      <w:r>
        <w:rPr>
          <w:sz w:val="32"/>
        </w:rPr>
        <w:t>若甲方不按本合同的约定时间付款，甲方应按</w:t>
      </w:r>
      <w:r>
        <w:rPr>
          <w:sz w:val="32"/>
        </w:rPr>
        <w:t>应付未付款</w:t>
      </w:r>
      <w:r>
        <w:rPr>
          <w:sz w:val="32"/>
        </w:rPr>
        <w:t>金额以每日</w:t>
      </w:r>
      <w:r>
        <w:rPr>
          <w:sz w:val="32"/>
        </w:rPr>
        <w:t>0.02%，向乙方支付违约金，直至付清之日止，违约金总额以本合同总价5%为限。因甲方使用的是财政资金，前述规定的付款时间为甲方向财政部门提出财政支付申请手续的时间（不含政府财政支付部门审核的时间），在规定时间内提出支付申请手续后即视为甲方已按期支付。</w:t>
      </w:r>
    </w:p>
    <w:p>
      <w:pPr>
        <w:pStyle w:val="null3"/>
        <w:ind w:firstLine="643"/>
        <w:jc w:val="both"/>
      </w:pPr>
      <w:r>
        <w:rPr>
          <w:sz w:val="32"/>
          <w:b/>
        </w:rPr>
        <w:t>（三）</w:t>
      </w:r>
      <w:r>
        <w:rPr>
          <w:sz w:val="32"/>
        </w:rPr>
        <w:t>甲方若单方面终止合同，甲方应支付合同总价的</w:t>
      </w:r>
      <w:r>
        <w:rPr>
          <w:sz w:val="32"/>
        </w:rPr>
        <w:t>5%作为违约金给乙方，并须向乙方支付已履行的部分服务的款项。乙方若单方面终止合同，乙方应支付合同总价的5%作为违约金给甲方，并退还已收取甲方而尚未履行完成的部分款项，赔偿甲方因此造成的损失（包括但不限于第三方索偿、采取补救措施、律师费等）。</w:t>
      </w:r>
    </w:p>
    <w:p>
      <w:pPr>
        <w:pStyle w:val="null3"/>
        <w:ind w:firstLine="643"/>
        <w:jc w:val="both"/>
      </w:pPr>
      <w:r>
        <w:rPr>
          <w:sz w:val="32"/>
          <w:b/>
        </w:rPr>
        <w:t>（四）</w:t>
      </w:r>
      <w:r>
        <w:rPr>
          <w:sz w:val="32"/>
        </w:rPr>
        <w:t>乙方未经甲方书面同意，擅自将本合同全部或部分义务转让给第三方的，甲方有权单方解除本合同，双方按实际服务情况进行计费，且乙方应赔偿甲方本合同总金额的</w:t>
      </w:r>
      <w:r>
        <w:rPr>
          <w:sz w:val="32"/>
        </w:rPr>
        <w:t>5</w:t>
      </w:r>
      <w:r>
        <w:rPr>
          <w:sz w:val="32"/>
        </w:rPr>
        <w:t>%,</w:t>
      </w:r>
      <w:r>
        <w:rPr>
          <w:sz w:val="32"/>
        </w:rPr>
        <w:t>因此造成甲方的经济损失由乙方承担</w:t>
      </w:r>
      <w:r>
        <w:rPr>
          <w:sz w:val="32"/>
        </w:rPr>
        <w:t>（包括但不限于第三方索偿、采取补救措施、律师费等）。</w:t>
      </w:r>
    </w:p>
    <w:p>
      <w:pPr>
        <w:pStyle w:val="null3"/>
        <w:ind w:firstLine="643"/>
        <w:jc w:val="both"/>
      </w:pPr>
      <w:r>
        <w:rPr>
          <w:sz w:val="32"/>
          <w:b/>
        </w:rPr>
        <w:t>（五）</w:t>
      </w:r>
      <w:r>
        <w:rPr>
          <w:sz w:val="32"/>
        </w:rPr>
        <w:t>乙方未按本合同约定按时按质按数量提供服务的，经甲方催告后仍不到岗的，甲方有权单方解除本合同，无须支付任何服务费，且乙方应赔偿甲方本合同总金额的</w:t>
      </w:r>
      <w:r>
        <w:rPr>
          <w:sz w:val="32"/>
        </w:rPr>
        <w:t>5</w:t>
      </w:r>
      <w:r>
        <w:rPr>
          <w:sz w:val="32"/>
        </w:rPr>
        <w:t>%,</w:t>
      </w:r>
      <w:r>
        <w:rPr>
          <w:sz w:val="32"/>
        </w:rPr>
        <w:t>因此造成甲方的经济损失由乙方承担</w:t>
      </w:r>
      <w:r>
        <w:rPr>
          <w:sz w:val="32"/>
        </w:rPr>
        <w:t>（包括但不限于第三方索偿、采取补救措施、律师费等）。</w:t>
      </w:r>
    </w:p>
    <w:p>
      <w:pPr>
        <w:pStyle w:val="null3"/>
        <w:ind w:firstLine="643"/>
        <w:jc w:val="both"/>
      </w:pPr>
      <w:r>
        <w:rPr>
          <w:sz w:val="32"/>
          <w:b/>
        </w:rPr>
        <w:t>（六）</w:t>
      </w:r>
      <w:r>
        <w:rPr>
          <w:sz w:val="32"/>
        </w:rPr>
        <w:t>合同任一方如将在本项目获知的秘密泄露给第三人致使另一方遭受损失的，泄密方应对相对方进行赔偿，其赔偿数额不少于由于其违反义务所给相对方带来的损失（包括但不限于第三方索偿、采取补救措施、律师费等）。</w:t>
      </w:r>
    </w:p>
    <w:p>
      <w:pPr>
        <w:pStyle w:val="null3"/>
        <w:ind w:firstLine="640"/>
        <w:jc w:val="both"/>
      </w:pPr>
      <w:r>
        <w:rPr>
          <w:sz w:val="32"/>
        </w:rPr>
        <w:t>{...}</w:t>
      </w:r>
    </w:p>
    <w:p>
      <w:pPr>
        <w:pStyle w:val="null3"/>
        <w:ind w:firstLine="640"/>
        <w:jc w:val="both"/>
      </w:pPr>
      <w:r>
        <w:rPr>
          <w:sz w:val="32"/>
          <w:b/>
          <w:u w:val="single"/>
        </w:rPr>
        <w:t>八、服务质量异议的提出时间和方法</w:t>
      </w:r>
    </w:p>
    <w:p>
      <w:pPr>
        <w:pStyle w:val="null3"/>
        <w:ind w:firstLine="643"/>
        <w:jc w:val="both"/>
      </w:pPr>
      <w:r>
        <w:rPr>
          <w:sz w:val="32"/>
          <w:b/>
        </w:rPr>
        <w:t>（一）</w:t>
      </w:r>
      <w:r>
        <w:rPr>
          <w:sz w:val="32"/>
        </w:rPr>
        <w:t>甲方在验收中如发现服务不合规定、服务质量达不到要求，应向乙方提出书面异议。</w:t>
      </w:r>
    </w:p>
    <w:p>
      <w:pPr>
        <w:pStyle w:val="null3"/>
        <w:ind w:firstLine="643"/>
        <w:jc w:val="both"/>
      </w:pPr>
      <w:r>
        <w:rPr>
          <w:sz w:val="32"/>
          <w:b/>
        </w:rPr>
        <w:t>（二）</w:t>
      </w:r>
      <w:r>
        <w:rPr>
          <w:sz w:val="32"/>
        </w:rPr>
        <w:t>甲方因错误操作等造成服务质量下降的，乙方应书面提供出错情况，以便甲方在项目考评时作出正确判断。</w:t>
      </w:r>
    </w:p>
    <w:p>
      <w:pPr>
        <w:pStyle w:val="null3"/>
        <w:ind w:firstLine="643"/>
        <w:jc w:val="both"/>
      </w:pPr>
      <w:r>
        <w:rPr>
          <w:sz w:val="32"/>
          <w:b/>
        </w:rPr>
        <w:t>（三）</w:t>
      </w:r>
      <w:r>
        <w:rPr>
          <w:sz w:val="32"/>
        </w:rPr>
        <w:t>乙方在接到甲方书面异议后，应在</w:t>
      </w:r>
      <w:r>
        <w:rPr>
          <w:sz w:val="32"/>
        </w:rPr>
        <w:t>2个工作日内负责处理并函复甲方处理情况，否则，即视为默认甲方提出的异议和处理意见。</w:t>
      </w:r>
    </w:p>
    <w:p>
      <w:pPr>
        <w:pStyle w:val="null3"/>
        <w:ind w:firstLine="640"/>
        <w:jc w:val="both"/>
      </w:pPr>
      <w:r>
        <w:rPr>
          <w:sz w:val="32"/>
        </w:rPr>
        <w:t>{...}</w:t>
      </w:r>
    </w:p>
    <w:p>
      <w:pPr>
        <w:pStyle w:val="null3"/>
        <w:ind w:firstLine="640"/>
        <w:jc w:val="both"/>
      </w:pPr>
      <w:r>
        <w:rPr>
          <w:sz w:val="32"/>
          <w:b/>
          <w:u w:val="single"/>
        </w:rPr>
        <w:t>九、不可抗力</w:t>
      </w:r>
    </w:p>
    <w:p>
      <w:pPr>
        <w:pStyle w:val="null3"/>
        <w:ind w:firstLine="640"/>
        <w:jc w:val="both"/>
      </w:pPr>
      <w:r>
        <w:rPr>
          <w:sz w:val="32"/>
        </w:rPr>
        <w:t>任何一方由于不可抗力原因不能履行合同时，应在不可抗力事件结束后</w:t>
      </w:r>
      <w:r>
        <w:rPr>
          <w:sz w:val="21"/>
          <w:u w:val="single"/>
        </w:rPr>
        <w:t xml:space="preserve">   </w:t>
      </w:r>
      <w:r>
        <w:rPr>
          <w:sz w:val="32"/>
        </w:rPr>
        <w:t>日内向对方通报，以减轻可能给对方造成的损失，在取得有关机构的不可抗力证明或双方谅解确认后，允许延期履行或修订合同，并根据情况可部分或全部免于承担违约责任。</w:t>
      </w:r>
    </w:p>
    <w:p>
      <w:pPr>
        <w:pStyle w:val="null3"/>
        <w:ind w:firstLine="640"/>
        <w:jc w:val="both"/>
      </w:pPr>
      <w:r>
        <w:rPr>
          <w:sz w:val="32"/>
          <w:b/>
          <w:u w:val="single"/>
        </w:rPr>
        <w:t>十、争议的解决方法</w:t>
      </w:r>
    </w:p>
    <w:p>
      <w:pPr>
        <w:pStyle w:val="null3"/>
        <w:ind w:firstLine="640"/>
        <w:jc w:val="both"/>
      </w:pPr>
      <w:r>
        <w:rPr>
          <w:sz w:val="32"/>
        </w:rPr>
        <w:t>合同履行过程中产生的一切争议应通过甲、乙双方友好协商解决。经协商不成时，应在甲方所在地的人民法院提起诉讼。</w:t>
      </w:r>
    </w:p>
    <w:p>
      <w:pPr>
        <w:pStyle w:val="null3"/>
        <w:ind w:firstLine="640"/>
        <w:jc w:val="both"/>
      </w:pPr>
      <w:r>
        <w:rPr>
          <w:sz w:val="32"/>
          <w:b/>
          <w:u w:val="single"/>
        </w:rPr>
        <w:t>十</w:t>
      </w:r>
      <w:r>
        <w:rPr>
          <w:sz w:val="32"/>
          <w:b/>
          <w:u w:val="single"/>
        </w:rPr>
        <w:t>一</w:t>
      </w:r>
      <w:r>
        <w:rPr>
          <w:sz w:val="32"/>
          <w:b/>
          <w:u w:val="single"/>
        </w:rPr>
        <w:t>、附则</w:t>
      </w:r>
    </w:p>
    <w:p>
      <w:pPr>
        <w:pStyle w:val="null3"/>
        <w:ind w:firstLine="643"/>
        <w:jc w:val="both"/>
      </w:pPr>
      <w:r>
        <w:rPr>
          <w:sz w:val="32"/>
          <w:b/>
        </w:rPr>
        <w:t>（一）</w:t>
      </w:r>
      <w:r>
        <w:rPr>
          <w:sz w:val="32"/>
        </w:rPr>
        <w:t>本项目（项目编号：</w:t>
      </w:r>
      <w:r>
        <w:rPr>
          <w:sz w:val="21"/>
          <w:u w:val="single"/>
        </w:rPr>
        <w:t xml:space="preserve"> </w:t>
      </w:r>
      <w:r>
        <w:rPr>
          <w:sz w:val="32"/>
          <w:u w:val="single"/>
        </w:rPr>
        <w:t>442000-2026-01019</w:t>
      </w:r>
      <w:r>
        <w:rPr>
          <w:sz w:val="21"/>
          <w:u w:val="single"/>
        </w:rPr>
        <w:t xml:space="preserve"> </w:t>
      </w:r>
      <w:r>
        <w:rPr>
          <w:sz w:val="32"/>
        </w:rPr>
        <w:t>）的招标文件、澄清和答疑文件、投标文件及有关承诺和合同附件是本合同不可分割的一部分</w:t>
      </w:r>
      <w:r>
        <w:rPr>
          <w:sz w:val="32"/>
        </w:rPr>
        <w:t>，与本合同具有同等法律效力</w:t>
      </w:r>
      <w:r>
        <w:rPr>
          <w:sz w:val="32"/>
        </w:rPr>
        <w:t>。</w:t>
      </w:r>
      <w:r>
        <w:rPr>
          <w:sz w:val="32"/>
        </w:rPr>
        <w:t>本合同附件</w:t>
      </w:r>
      <w:r>
        <w:rPr>
          <w:sz w:val="32"/>
        </w:rPr>
        <w:t>还</w:t>
      </w:r>
      <w:r>
        <w:rPr>
          <w:sz w:val="32"/>
        </w:rPr>
        <w:t>包括：</w:t>
      </w:r>
    </w:p>
    <w:p>
      <w:pPr>
        <w:pStyle w:val="null3"/>
        <w:ind w:firstLine="643"/>
        <w:jc w:val="both"/>
      </w:pPr>
      <w:r>
        <w:rPr>
          <w:sz w:val="32"/>
          <w:b/>
          <w:u w:val="single"/>
        </w:rPr>
        <w:t>附件</w:t>
      </w:r>
      <w:r>
        <w:rPr>
          <w:sz w:val="32"/>
          <w:b/>
          <w:u w:val="single"/>
        </w:rPr>
        <w:t>：</w:t>
      </w:r>
      <w:r>
        <w:rPr>
          <w:sz w:val="32"/>
          <w:b/>
          <w:u w:val="single"/>
        </w:rPr>
        <w:t>保密条款</w:t>
      </w:r>
    </w:p>
    <w:p>
      <w:pPr>
        <w:pStyle w:val="null3"/>
        <w:ind w:firstLine="643"/>
        <w:jc w:val="both"/>
      </w:pPr>
      <w:r>
        <w:rPr>
          <w:sz w:val="32"/>
          <w:b/>
        </w:rPr>
        <w:t>（二）</w:t>
      </w:r>
      <w:r>
        <w:rPr>
          <w:sz w:val="32"/>
        </w:rPr>
        <w:t>本合同经甲、乙双方签字</w:t>
      </w:r>
      <w:r>
        <w:rPr>
          <w:sz w:val="32"/>
        </w:rPr>
        <w:t>及</w:t>
      </w:r>
      <w:r>
        <w:rPr>
          <w:sz w:val="32"/>
        </w:rPr>
        <w:t>盖章</w:t>
      </w:r>
      <w:r>
        <w:rPr>
          <w:sz w:val="32"/>
        </w:rPr>
        <w:t>之日起</w:t>
      </w:r>
      <w:r>
        <w:rPr>
          <w:sz w:val="32"/>
        </w:rPr>
        <w:t>生效。</w:t>
      </w:r>
    </w:p>
    <w:p>
      <w:pPr>
        <w:pStyle w:val="null3"/>
        <w:ind w:firstLine="643"/>
        <w:jc w:val="both"/>
      </w:pPr>
      <w:r>
        <w:rPr>
          <w:sz w:val="32"/>
          <w:b/>
        </w:rPr>
        <w:t>（三）</w:t>
      </w:r>
      <w:r>
        <w:rPr>
          <w:sz w:val="32"/>
        </w:rPr>
        <w:t>本合同一式</w:t>
      </w:r>
      <w:r>
        <w:rPr>
          <w:sz w:val="32"/>
          <w:u w:val="single"/>
        </w:rPr>
        <w:t>伍</w:t>
      </w:r>
      <w:r>
        <w:rPr>
          <w:sz w:val="32"/>
        </w:rPr>
        <w:t>份，甲、乙双方各执贰份</w:t>
      </w:r>
      <w:r>
        <w:rPr>
          <w:sz w:val="32"/>
        </w:rPr>
        <w:t>，</w:t>
      </w:r>
      <w:r>
        <w:rPr>
          <w:sz w:val="32"/>
        </w:rPr>
        <w:t>代理机构执壹份，</w:t>
      </w:r>
      <w:r>
        <w:rPr>
          <w:sz w:val="32"/>
        </w:rPr>
        <w:t>具有同等法律效力</w:t>
      </w:r>
      <w:r>
        <w:rPr>
          <w:sz w:val="32"/>
        </w:rPr>
        <w:t>。</w:t>
      </w:r>
    </w:p>
    <w:p>
      <w:pPr>
        <w:pStyle w:val="null3"/>
        <w:ind w:firstLine="640"/>
        <w:jc w:val="both"/>
      </w:pPr>
      <w:r>
        <w:rPr>
          <w:sz w:val="32"/>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518"/>
        <w:gridCol w:w="3788"/>
      </w:tblGrid>
      <w:tr>
        <w:tc>
          <w:tcPr>
            <w:tcW w:type="dxa" w:w="451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甲方</w:t>
            </w:r>
            <w:r>
              <w:rPr>
                <w:sz w:val="32"/>
                <w:b/>
              </w:rPr>
              <w:t>(盖</w:t>
            </w:r>
            <w:r>
              <w:rPr>
                <w:sz w:val="32"/>
                <w:b/>
              </w:rPr>
              <w:t>章</w:t>
            </w:r>
            <w:r>
              <w:rPr>
                <w:sz w:val="32"/>
                <w:b/>
              </w:rPr>
              <w:t>)：</w:t>
            </w:r>
            <w:r>
              <w:rPr>
                <w:sz w:val="32"/>
                <w:b/>
              </w:rPr>
              <w:t>中山市医疗保障局</w:t>
            </w:r>
          </w:p>
          <w:p>
            <w:pPr>
              <w:pStyle w:val="null3"/>
              <w:ind w:left="1920"/>
              <w:jc w:val="both"/>
            </w:pPr>
            <w:r>
              <w:rPr>
                <w:sz w:val="21"/>
                <w:b/>
              </w:rPr>
              <w:t xml:space="preserve">            </w:t>
            </w:r>
          </w:p>
          <w:p>
            <w:pPr>
              <w:pStyle w:val="null3"/>
              <w:ind w:left="1920"/>
              <w:jc w:val="both"/>
            </w:pPr>
            <w:r>
              <w:rPr>
                <w:sz w:val="32"/>
                <w:b/>
              </w:rPr>
              <w:t>授权代表</w:t>
            </w:r>
            <w:r>
              <w:rPr>
                <w:sz w:val="32"/>
                <w:b/>
              </w:rPr>
              <w:t>(签字)：</w:t>
            </w:r>
          </w:p>
          <w:p>
            <w:pPr>
              <w:pStyle w:val="null3"/>
              <w:ind w:left="1920"/>
              <w:jc w:val="both"/>
            </w:pPr>
            <w:r>
              <w:rPr>
                <w:sz w:val="32"/>
                <w:b/>
              </w:rPr>
              <w:t>签</w:t>
            </w:r>
            <w:r>
              <w:rPr>
                <w:sz w:val="32"/>
                <w:b/>
              </w:rPr>
              <w:t>订</w:t>
            </w:r>
            <w:r>
              <w:rPr>
                <w:sz w:val="32"/>
                <w:b/>
              </w:rPr>
              <w:t>日期：</w:t>
            </w:r>
          </w:p>
        </w:tc>
        <w:tc>
          <w:tcPr>
            <w:tcW w:type="dxa" w:w="37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920"/>
              <w:jc w:val="both"/>
            </w:pPr>
            <w:r>
              <w:rPr>
                <w:sz w:val="32"/>
                <w:b/>
              </w:rPr>
              <w:t>乙方</w:t>
            </w:r>
            <w:r>
              <w:rPr>
                <w:sz w:val="32"/>
                <w:b/>
              </w:rPr>
              <w:t>(盖章)：</w:t>
            </w:r>
          </w:p>
          <w:p>
            <w:pPr>
              <w:pStyle w:val="null3"/>
              <w:jc w:val="both"/>
            </w:pPr>
            <w:r>
              <w:rPr>
                <w:sz w:val="32"/>
                <w:b/>
              </w:rPr>
              <w:t>授权代表</w:t>
            </w:r>
            <w:r>
              <w:rPr>
                <w:sz w:val="32"/>
                <w:b/>
              </w:rPr>
              <w:t>(签字)：</w:t>
            </w:r>
          </w:p>
          <w:p>
            <w:pPr>
              <w:pStyle w:val="null3"/>
              <w:ind w:left="1920"/>
              <w:jc w:val="both"/>
            </w:pPr>
            <w:r>
              <w:rPr>
                <w:sz w:val="32"/>
                <w:b/>
              </w:rPr>
              <w:t>签</w:t>
            </w:r>
            <w:r>
              <w:rPr>
                <w:sz w:val="32"/>
                <w:b/>
              </w:rPr>
              <w:t>订</w:t>
            </w:r>
            <w:r>
              <w:rPr>
                <w:sz w:val="32"/>
                <w:b/>
              </w:rPr>
              <w:t>日期：</w:t>
            </w:r>
          </w:p>
        </w:tc>
      </w:tr>
    </w:tbl>
    <w:p>
      <w:pPr>
        <w:pStyle w:val="null3"/>
        <w:ind w:firstLine="643"/>
        <w:jc w:val="both"/>
      </w:pPr>
      <w:r>
        <w:rPr>
          <w:sz w:val="32"/>
          <w:b/>
        </w:rPr>
        <w:t>附件</w:t>
      </w:r>
      <w:r>
        <w:rPr>
          <w:sz w:val="32"/>
          <w:b/>
        </w:rPr>
        <w:t>1：保密条款</w:t>
      </w:r>
    </w:p>
    <w:p>
      <w:pPr>
        <w:pStyle w:val="null3"/>
      </w:pPr>
      <w:r>
        <w:rPr/>
        <w:t xml:space="preserve"> </w:t>
      </w:r>
    </w:p>
    <w:p>
      <w:pPr>
        <w:pStyle w:val="null3"/>
        <w:jc w:val="center"/>
      </w:pPr>
      <w:r>
        <w:rPr>
          <w:sz w:val="32"/>
          <w:b/>
        </w:rPr>
        <w:t>甲方</w:t>
      </w:r>
      <w:r>
        <w:rPr>
          <w:sz w:val="32"/>
          <w:b/>
        </w:rPr>
        <w:t>：</w:t>
      </w:r>
      <w:r>
        <w:rPr>
          <w:sz w:val="32"/>
          <w:b/>
        </w:rPr>
        <w:t>中山市医疗保障局</w:t>
      </w:r>
    </w:p>
    <w:p>
      <w:pPr>
        <w:pStyle w:val="null3"/>
        <w:jc w:val="both"/>
      </w:pPr>
      <w:r>
        <w:rPr>
          <w:sz w:val="32"/>
          <w:b/>
        </w:rPr>
        <w:t>乙方：</w:t>
      </w:r>
    </w:p>
    <w:p>
      <w:pPr>
        <w:pStyle w:val="null3"/>
        <w:jc w:val="both"/>
      </w:pPr>
      <w:r>
        <w:rPr>
          <w:sz w:val="32"/>
        </w:rPr>
        <w:t>为保证项目数据安全，防范数据泄密风险，共同推进中山市医保基金精细化管理建设，经双方友好协商，签订以下保密条款：</w:t>
      </w:r>
    </w:p>
    <w:p>
      <w:pPr>
        <w:pStyle w:val="null3"/>
        <w:ind w:firstLine="640"/>
        <w:jc w:val="both"/>
      </w:pPr>
      <w:r>
        <w:rPr>
          <w:sz w:val="32"/>
        </w:rPr>
        <w:t>1</w:t>
      </w:r>
      <w:r>
        <w:rPr>
          <w:sz w:val="32"/>
        </w:rPr>
        <w:t>.</w:t>
      </w:r>
      <w:r>
        <w:rPr>
          <w:sz w:val="32"/>
        </w:rPr>
        <w:t>本保密条款为</w:t>
      </w:r>
      <w:r>
        <w:rPr>
          <w:sz w:val="32"/>
        </w:rPr>
        <w:t>中山市公权力大数据监督医保基金反欺诈模型第三方服务项目</w:t>
      </w:r>
      <w:r>
        <w:rPr>
          <w:sz w:val="32"/>
        </w:rPr>
        <w:t>（项目编号：</w:t>
      </w:r>
      <w:r>
        <w:rPr>
          <w:sz w:val="32"/>
        </w:rPr>
        <w:t>442000-2026-01019）合同的补充条款。</w:t>
      </w:r>
    </w:p>
    <w:p>
      <w:pPr>
        <w:pStyle w:val="null3"/>
        <w:ind w:firstLine="640"/>
        <w:jc w:val="both"/>
      </w:pPr>
      <w:r>
        <w:rPr>
          <w:sz w:val="32"/>
        </w:rPr>
        <w:t>2</w:t>
      </w:r>
      <w:r>
        <w:rPr>
          <w:sz w:val="32"/>
        </w:rPr>
        <w:t>.</w:t>
      </w:r>
      <w:r>
        <w:rPr>
          <w:sz w:val="32"/>
        </w:rPr>
        <w:t>甲方向乙方提供的资料为甲方所有，不得用于本项目范围外，在本合同终止之日起</w:t>
      </w:r>
      <w:r>
        <w:rPr>
          <w:sz w:val="32"/>
        </w:rPr>
        <w:t>10个工作日内，应将全部原稿</w:t>
      </w:r>
      <w:r>
        <w:rPr>
          <w:sz w:val="32"/>
        </w:rPr>
        <w:t>、</w:t>
      </w:r>
      <w:r>
        <w:rPr>
          <w:sz w:val="32"/>
        </w:rPr>
        <w:t>资料等</w:t>
      </w:r>
      <w:r>
        <w:rPr>
          <w:sz w:val="32"/>
        </w:rPr>
        <w:t>退回甲方，乙方不得复印或复制留底。</w:t>
      </w:r>
    </w:p>
    <w:p>
      <w:pPr>
        <w:pStyle w:val="null3"/>
        <w:ind w:firstLine="640"/>
        <w:jc w:val="both"/>
      </w:pPr>
      <w:r>
        <w:rPr>
          <w:sz w:val="32"/>
        </w:rPr>
        <w:t>3</w:t>
      </w:r>
      <w:r>
        <w:rPr>
          <w:sz w:val="32"/>
        </w:rPr>
        <w:t>.</w:t>
      </w:r>
      <w:r>
        <w:rPr>
          <w:sz w:val="32"/>
        </w:rPr>
        <w:t>项目资料保密</w:t>
      </w:r>
    </w:p>
    <w:p>
      <w:pPr>
        <w:pStyle w:val="null3"/>
        <w:ind w:firstLine="640"/>
        <w:jc w:val="both"/>
      </w:pPr>
      <w:r>
        <w:rPr>
          <w:sz w:val="32"/>
        </w:rPr>
        <w:t>获取对方项目资料的一方仅可将该项目资料用于履行其在本合同项下的义务，且只能由相关的工程技术人员使用。获取对方</w:t>
      </w:r>
      <w:r>
        <w:rPr>
          <w:sz w:val="32"/>
        </w:rPr>
        <w:t>项目资料</w:t>
      </w:r>
      <w:r>
        <w:rPr>
          <w:sz w:val="32"/>
        </w:rPr>
        <w:t>的一方应当采取适当有效的方式保护所获取的</w:t>
      </w:r>
      <w:r>
        <w:rPr>
          <w:sz w:val="32"/>
        </w:rPr>
        <w:t>项目资料</w:t>
      </w:r>
      <w:r>
        <w:rPr>
          <w:sz w:val="32"/>
        </w:rPr>
        <w:t>，不得未经授权使用、传播或公开秘密。除非有对方的书面许可，或该信息已被拥有方认为不再是秘密，或已在社会上公开，该</w:t>
      </w:r>
      <w:r>
        <w:rPr>
          <w:sz w:val="32"/>
        </w:rPr>
        <w:t>项目资料</w:t>
      </w:r>
      <w:r>
        <w:rPr>
          <w:sz w:val="32"/>
        </w:rPr>
        <w:t>应当在本合同签订之日起不得对外披露。同时，乙方负有对甲方提供资料的保密义务，且未经甲方书面同意，不得对外传播。</w:t>
      </w:r>
    </w:p>
    <w:p>
      <w:pPr>
        <w:pStyle w:val="null3"/>
        <w:ind w:firstLine="640"/>
        <w:jc w:val="both"/>
      </w:pPr>
      <w:r>
        <w:rPr>
          <w:sz w:val="32"/>
        </w:rPr>
        <w:t>4</w:t>
      </w:r>
      <w:r>
        <w:rPr>
          <w:sz w:val="32"/>
        </w:rPr>
        <w:t>.</w:t>
      </w:r>
      <w:r>
        <w:rPr>
          <w:sz w:val="32"/>
        </w:rPr>
        <w:t>参保数据保密</w:t>
      </w:r>
    </w:p>
    <w:p>
      <w:pPr>
        <w:pStyle w:val="null3"/>
        <w:ind w:firstLine="640"/>
        <w:jc w:val="both"/>
      </w:pPr>
      <w:r>
        <w:rPr>
          <w:sz w:val="32"/>
        </w:rPr>
        <w:t>在本项目中涉及到用人单位和个人的隐私资料，按照《中华人民共和国社会保险法》规定应当依法为用人单位和个人的信息保密，不得以任何形式泄露。乙方必须做好相应的安全保密措施，确保数据不外泄。乙方必须保证项目中的所有数据信息仅用于本项目，未经甲方书面同意，不得直接或间接以告知、公布、发布或者其他任何方式使用本项目的有关数据。乙方应保证参与项目的本方</w:t>
      </w:r>
      <w:r>
        <w:rPr>
          <w:sz w:val="32"/>
        </w:rPr>
        <w:t>专职</w:t>
      </w:r>
      <w:r>
        <w:rPr>
          <w:sz w:val="32"/>
        </w:rPr>
        <w:t>工作人员严格遵守此保密规定，如违反此保密规定，应承担由此引起的</w:t>
      </w:r>
      <w:r>
        <w:rPr>
          <w:sz w:val="32"/>
        </w:rPr>
        <w:t>相应</w:t>
      </w:r>
      <w:r>
        <w:rPr>
          <w:sz w:val="32"/>
        </w:rPr>
        <w:t>责任。</w:t>
      </w:r>
    </w:p>
    <w:p>
      <w:pPr>
        <w:pStyle w:val="null3"/>
        <w:numPr>
          <w:ilvl w:val="0"/>
          <w:numId w:val="1"/>
        </w:numPr>
        <w:jc w:val="both"/>
      </w:pPr>
      <w:r>
        <w:rPr>
          <w:sz w:val="32"/>
        </w:rPr>
        <w:t>乙双方同意采取相应的安全措施以遵守和履行上述条款所约定的义务。</w:t>
      </w:r>
      <w:r>
        <w:rPr>
          <w:sz w:val="32"/>
        </w:rPr>
        <w:t>若因乙方违反上述任一规定，甲方有权单方解除本合同，双方按实际服务情况进行计费，且乙方应赔偿甲方本合同总金额的</w:t>
      </w:r>
      <w:r>
        <w:rPr>
          <w:sz w:val="32"/>
        </w:rPr>
        <w:t>5</w:t>
      </w:r>
      <w:r>
        <w:rPr>
          <w:sz w:val="32"/>
        </w:rPr>
        <w:t>%</w:t>
      </w:r>
      <w:r>
        <w:rPr>
          <w:sz w:val="32"/>
        </w:rPr>
        <w:t>,</w:t>
      </w:r>
      <w:r>
        <w:rPr>
          <w:sz w:val="32"/>
        </w:rPr>
        <w:t>并承担</w:t>
      </w:r>
      <w:r>
        <w:rPr>
          <w:sz w:val="32"/>
        </w:rPr>
        <w:t>因此造成甲方的经济损失由乙方承担（包括但不限于第三方索偿、采取补救措施、律师费等）。</w:t>
      </w:r>
    </w:p>
    <w:tbl>
      <w:tblPr>
        <w:tblW w:w="0" w:type="auto"/>
        <w:tblBorders>
          <w:top w:val="none" w:color="000000" w:sz="4"/>
          <w:left w:val="none" w:color="000000" w:sz="4"/>
          <w:bottom w:val="none" w:color="000000" w:sz="4"/>
          <w:right w:val="none" w:color="000000" w:sz="4"/>
          <w:insideH w:val="none"/>
          <w:insideV w:val="none"/>
        </w:tblBorders>
      </w:tblPr>
      <w:tblGrid>
        <w:gridCol w:w="4504"/>
        <w:gridCol w:w="3775"/>
      </w:tblGrid>
      <w:tr>
        <w:tc>
          <w:tcPr>
            <w:tcW w:type="dxa" w:w="4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甲方</w:t>
            </w:r>
            <w:r>
              <w:rPr>
                <w:sz w:val="32"/>
                <w:b/>
              </w:rPr>
              <w:t>(盖</w:t>
            </w:r>
            <w:r>
              <w:rPr>
                <w:sz w:val="32"/>
                <w:b/>
              </w:rPr>
              <w:t>章</w:t>
            </w:r>
            <w:r>
              <w:rPr>
                <w:sz w:val="32"/>
                <w:b/>
              </w:rPr>
              <w:t>)：</w:t>
            </w:r>
            <w:r>
              <w:rPr>
                <w:sz w:val="32"/>
                <w:b/>
              </w:rPr>
              <w:t>中山市医疗保障局</w:t>
            </w:r>
          </w:p>
          <w:p>
            <w:pPr>
              <w:pStyle w:val="null3"/>
              <w:ind w:left="1920"/>
              <w:jc w:val="both"/>
            </w:pPr>
            <w:r>
              <w:rPr>
                <w:sz w:val="21"/>
                <w:b/>
              </w:rPr>
              <w:t xml:space="preserve">            </w:t>
            </w:r>
          </w:p>
          <w:p>
            <w:pPr>
              <w:pStyle w:val="null3"/>
              <w:ind w:left="1920"/>
              <w:jc w:val="both"/>
            </w:pPr>
            <w:r>
              <w:rPr>
                <w:sz w:val="32"/>
                <w:b/>
              </w:rPr>
              <w:t>授权代表</w:t>
            </w:r>
            <w:r>
              <w:rPr>
                <w:sz w:val="32"/>
                <w:b/>
              </w:rPr>
              <w:t>(签字)：</w:t>
            </w:r>
          </w:p>
          <w:p>
            <w:pPr>
              <w:pStyle w:val="null3"/>
              <w:ind w:left="1920"/>
              <w:jc w:val="both"/>
            </w:pPr>
            <w:r>
              <w:rPr>
                <w:sz w:val="32"/>
                <w:b/>
              </w:rPr>
              <w:t>签</w:t>
            </w:r>
            <w:r>
              <w:rPr>
                <w:sz w:val="32"/>
                <w:b/>
              </w:rPr>
              <w:t>订</w:t>
            </w:r>
            <w:r>
              <w:rPr>
                <w:sz w:val="32"/>
                <w:b/>
              </w:rPr>
              <w:t>日期：</w:t>
            </w:r>
          </w:p>
        </w:tc>
        <w:tc>
          <w:tcPr>
            <w:tcW w:type="dxa" w:w="37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920"/>
              <w:jc w:val="both"/>
            </w:pPr>
            <w:r>
              <w:rPr>
                <w:sz w:val="32"/>
                <w:b/>
              </w:rPr>
              <w:t>乙方</w:t>
            </w:r>
            <w:r>
              <w:rPr>
                <w:sz w:val="32"/>
                <w:b/>
              </w:rPr>
              <w:t>(盖章)：</w:t>
            </w:r>
          </w:p>
          <w:p>
            <w:pPr>
              <w:pStyle w:val="null3"/>
              <w:jc w:val="both"/>
            </w:pPr>
            <w:r>
              <w:rPr>
                <w:sz w:val="32"/>
                <w:b/>
              </w:rPr>
              <w:t>授权代表</w:t>
            </w:r>
            <w:r>
              <w:rPr>
                <w:sz w:val="32"/>
                <w:b/>
              </w:rPr>
              <w:t>(签字)：</w:t>
            </w:r>
          </w:p>
          <w:p>
            <w:pPr>
              <w:pStyle w:val="null3"/>
              <w:ind w:left="1920"/>
              <w:jc w:val="both"/>
            </w:pPr>
            <w:r>
              <w:rPr>
                <w:sz w:val="32"/>
                <w:b/>
              </w:rPr>
              <w:t>签</w:t>
            </w:r>
            <w:r>
              <w:rPr>
                <w:sz w:val="32"/>
                <w:b/>
              </w:rPr>
              <w:t>订</w:t>
            </w:r>
            <w:r>
              <w:rPr>
                <w:sz w:val="32"/>
                <w:b/>
              </w:rPr>
              <w:t>日期：</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442000-2026-01019</w:t>
      </w:r>
    </w:p>
    <w:p>
      <w:pPr>
        <w:pStyle w:val="null3"/>
        <w:jc w:val="center"/>
        <w:outlineLvl w:val="3"/>
      </w:pPr>
      <w:r>
        <w:rPr>
          <w:sz w:val="24"/>
          <w:b/>
        </w:rPr>
        <w:t>采购项目编号：</w:t>
      </w:r>
      <w:r>
        <w:rPr>
          <w:sz w:val="24"/>
          <w:b/>
        </w:rPr>
        <w:t>442000-2026-01019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中山市公权力大数据监督医保基金反欺诈模型第三方服务项目</w:t>
      </w:r>
      <w:r>
        <w:rPr>
          <w:u w:val="single"/>
        </w:rPr>
        <w:t>”</w:t>
      </w:r>
      <w:r>
        <w:rPr/>
        <w:t>项目的招标[采购项目编号为：</w:t>
      </w:r>
      <w:r>
        <w:rPr>
          <w:u w:val="single"/>
        </w:rPr>
        <w:t>442000-2026-01019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中山市公权力大数据监督医保基金反欺诈模型第三方服务项目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中山市公权力大数据监督医保基金反欺诈模型第三方服务项目</w:t>
      </w:r>
      <w:r>
        <w:rPr/>
        <w:t>”项目采购[采购项目编号为</w:t>
      </w:r>
      <w:r>
        <w:rPr/>
        <w:t>442000-2026-01019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中山市医疗保障局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中山市公权力大数据监督医保基金反欺诈模型第三方服务项目</w:t>
      </w:r>
      <w:r>
        <w:rPr/>
        <w:t>招标中获中标（采购项目编号：</w:t>
      </w:r>
      <w:r>
        <w:rPr/>
        <w:t>442000-2026-01019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中山市公权力大数据监督医保基金反欺诈模型第三方服务项目</w:t>
      </w:r>
      <w:r>
        <w:rPr/>
        <w:t>”项目（采购项目编号：</w:t>
      </w:r>
      <w:r>
        <w:rPr/>
        <w:t>442000-2026-01019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