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442000-2026-01468</w:t>
      </w:r>
    </w:p>
    <w:p>
      <w:pPr>
        <w:pStyle w:val="null3"/>
        <w:jc w:val="center"/>
        <w:outlineLvl w:val="3"/>
      </w:pPr>
      <w:r>
        <w:rPr>
          <w:sz w:val="24"/>
          <w:b/>
        </w:rPr>
        <w:t>采购项目编号：</w:t>
      </w:r>
      <w:r>
        <w:rPr>
          <w:sz w:val="24"/>
          <w:b/>
        </w:rPr>
        <w:t>442000-2026-01468</w:t>
      </w:r>
    </w:p>
    <w:p>
      <w:pPr>
        <w:pStyle w:val="null3"/>
        <w:jc w:val="center"/>
        <w:outlineLvl w:val="3"/>
      </w:pPr>
      <w:r>
        <w:rPr>
          <w:sz w:val="24"/>
          <w:b/>
        </w:rPr>
        <w:t>项目名称：</w:t>
      </w:r>
      <w:r>
        <w:rPr>
          <w:sz w:val="24"/>
          <w:b/>
        </w:rPr>
        <w:t>中山市第二人民医院传染病防控能力提升医疗设备一批采购项目（第二批）</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中山市第二人民医院传染病防控能力提升医疗设备一批采购项目（第二批）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中山市第二人民医院传染病防控能力提升医疗设备一批采购项目（第二批）</w:t>
      </w:r>
    </w:p>
    <w:p>
      <w:pPr>
        <w:pStyle w:val="null3"/>
        <w:ind w:firstLine="480"/>
      </w:pPr>
      <w:r>
        <w:rPr/>
        <w:t>采购计划编号：</w:t>
      </w:r>
      <w:r>
        <w:rPr/>
        <w:t>442000-2026-01468</w:t>
      </w:r>
    </w:p>
    <w:p>
      <w:pPr>
        <w:pStyle w:val="null3"/>
        <w:ind w:firstLine="480"/>
      </w:pPr>
      <w:r>
        <w:rPr/>
        <w:t>采购项目编号：</w:t>
      </w:r>
      <w:r>
        <w:rPr/>
        <w:t>442000-2026-01468</w:t>
      </w:r>
    </w:p>
    <w:p>
      <w:pPr>
        <w:pStyle w:val="null3"/>
        <w:ind w:firstLine="480"/>
      </w:pPr>
      <w:r>
        <w:rPr/>
        <w:t>采购方式：</w:t>
      </w:r>
      <w:r>
        <w:rPr/>
        <w:t>公开招标</w:t>
      </w:r>
    </w:p>
    <w:p>
      <w:pPr>
        <w:pStyle w:val="null3"/>
        <w:ind w:firstLine="480"/>
      </w:pPr>
      <w:r>
        <w:rPr/>
        <w:t>预算金额：</w:t>
      </w:r>
      <w:r>
        <w:rPr/>
        <w:t>2,040,000.00</w:t>
      </w:r>
      <w:r>
        <w:rPr/>
        <w:t>元</w:t>
      </w:r>
    </w:p>
    <w:p>
      <w:pPr>
        <w:pStyle w:val="null3"/>
        <w:outlineLvl w:val="3"/>
      </w:pPr>
      <w:r>
        <w:rPr>
          <w:sz w:val="24"/>
          <w:b/>
        </w:rPr>
        <w:t>2.项目内容及需求情况（采购项目技术规格、参数及要求）</w:t>
      </w:r>
    </w:p>
    <w:p>
      <w:pPr>
        <w:pStyle w:val="null3"/>
      </w:pPr>
      <w:r>
        <w:rPr/>
        <w:t>采购包1(高通量测序平台):</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高通量测序平台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采购包2(数字PCR检测系统):</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数字PCR检测系统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采购包3(全自动分枝杆菌阅片机):</w:t>
      </w:r>
    </w:p>
    <w:p>
      <w:pPr>
        <w:pStyle w:val="null3"/>
      </w:pPr>
      <w:r>
        <w:rPr/>
        <w:t>采购包预算金额：270,000.00元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临床检验设备</w:t>
            </w:r>
          </w:p>
        </w:tc>
        <w:tc>
          <w:tcPr>
            <w:tcW w:type="dxa" w:w="2136"/>
          </w:tcPr>
          <w:p>
            <w:pPr>
              <w:pStyle w:val="null3"/>
            </w:pPr>
            <w:r>
              <w:rPr/>
              <w:t>全自动分枝杆菌阅片机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采购包4(细菌分散计数仪):</w:t>
      </w:r>
    </w:p>
    <w:p>
      <w:pPr>
        <w:pStyle w:val="null3"/>
      </w:pPr>
      <w:r>
        <w:rPr/>
        <w:t>采购包预算金额：70,000.00元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临床检验设备</w:t>
            </w:r>
          </w:p>
        </w:tc>
        <w:tc>
          <w:tcPr>
            <w:tcW w:type="dxa" w:w="2136"/>
          </w:tcPr>
          <w:p>
            <w:pPr>
              <w:pStyle w:val="null3"/>
            </w:pPr>
            <w:r>
              <w:rPr/>
              <w:t>细菌分散计数仪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采购包5(光谱治疗仪):</w:t>
      </w:r>
    </w:p>
    <w:p>
      <w:pPr>
        <w:pStyle w:val="null3"/>
      </w:pPr>
      <w:r>
        <w:rPr/>
        <w:t>采购包预算金额：120,000.00元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物理治疗、康复及体育治疗仪器设备</w:t>
            </w:r>
          </w:p>
        </w:tc>
        <w:tc>
          <w:tcPr>
            <w:tcW w:type="dxa" w:w="2136"/>
          </w:tcPr>
          <w:p>
            <w:pPr>
              <w:pStyle w:val="null3"/>
            </w:pPr>
            <w:r>
              <w:rPr/>
              <w:t>光谱治疗仪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采购包1（高通量测序平台）：</w:t>
      </w:r>
      <w:r>
        <w:rPr/>
        <w:t>无。</w:t>
      </w:r>
    </w:p>
    <w:p>
      <w:pPr>
        <w:pStyle w:val="null3"/>
        <w:jc w:val="left"/>
      </w:pPr>
      <w:r>
        <w:rPr/>
        <w:t>采购包2（数字PCR检测系统）：</w:t>
      </w:r>
      <w:r>
        <w:rPr/>
        <w:t>无。</w:t>
      </w:r>
    </w:p>
    <w:p>
      <w:pPr>
        <w:pStyle w:val="null3"/>
        <w:jc w:val="left"/>
      </w:pPr>
      <w:r>
        <w:rPr/>
        <w:t>采购包3（全自动分枝杆菌阅片机）：</w:t>
      </w:r>
      <w:r>
        <w:rPr/>
        <w:t>无。</w:t>
      </w:r>
    </w:p>
    <w:p>
      <w:pPr>
        <w:pStyle w:val="null3"/>
        <w:jc w:val="left"/>
      </w:pPr>
      <w:r>
        <w:rPr/>
        <w:t>采购包4（细菌分散计数仪）：</w:t>
      </w:r>
      <w:r>
        <w:rPr/>
        <w:t>无。</w:t>
      </w:r>
    </w:p>
    <w:p>
      <w:pPr>
        <w:pStyle w:val="null3"/>
        <w:jc w:val="left"/>
      </w:pPr>
      <w:r>
        <w:rPr/>
        <w:t>采购包5（光谱治疗仪）：</w:t>
      </w:r>
      <w:r>
        <w:rPr/>
        <w:t>无。</w:t>
      </w:r>
    </w:p>
    <w:p>
      <w:pPr>
        <w:pStyle w:val="null3"/>
        <w:outlineLvl w:val="3"/>
      </w:pPr>
      <w:r>
        <w:rPr>
          <w:sz w:val="24"/>
          <w:b/>
        </w:rPr>
        <w:t>3.本项目特定的资格要求：</w:t>
      </w:r>
    </w:p>
    <w:p>
      <w:pPr>
        <w:pStyle w:val="null3"/>
      </w:pPr>
      <w:r>
        <w:rPr/>
        <w:t>采购包1（高通量测序平台）：</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采购包2（数字PCR检测系统）：</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采购包3（全自动分枝杆菌阅片机）：</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采购包4（细菌分散计数仪）：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采购包5（光谱治疗仪）：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中山市第二人民医院传染病防控能力提升医疗设备一批采购项目（第二批）</w:t>
      </w:r>
    </w:p>
    <w:p>
      <w:pPr>
        <w:pStyle w:val="null3"/>
        <w:ind w:firstLine="220"/>
        <w:jc w:val="both"/>
      </w:pPr>
      <w:r>
        <w:rPr>
          <w:sz w:val="22"/>
        </w:rPr>
        <w:t>2.采购计划编号：</w:t>
      </w:r>
      <w:r>
        <w:rPr>
          <w:sz w:val="22"/>
        </w:rPr>
        <w:t>442000-2026-01468</w:t>
      </w:r>
    </w:p>
    <w:p>
      <w:pPr>
        <w:pStyle w:val="null3"/>
        <w:ind w:firstLine="220"/>
        <w:jc w:val="both"/>
      </w:pPr>
      <w:r>
        <w:rPr>
          <w:sz w:val="22"/>
        </w:rPr>
        <w:t>3.采购项目编号：</w:t>
      </w:r>
      <w:r>
        <w:rPr>
          <w:sz w:val="22"/>
        </w:rPr>
        <w:t>442000-2026-01468</w:t>
      </w:r>
    </w:p>
    <w:p>
      <w:pPr>
        <w:pStyle w:val="null3"/>
        <w:ind w:firstLine="220"/>
        <w:jc w:val="both"/>
      </w:pPr>
      <w:r>
        <w:rPr>
          <w:sz w:val="22"/>
        </w:rPr>
        <w:t>4.采购方式：公开招标</w:t>
      </w:r>
    </w:p>
    <w:p>
      <w:pPr>
        <w:pStyle w:val="null3"/>
        <w:ind w:firstLine="220"/>
        <w:jc w:val="both"/>
      </w:pPr>
      <w:r>
        <w:rPr>
          <w:sz w:val="22"/>
        </w:rPr>
        <w:t>5.项目预算金额：</w:t>
      </w:r>
      <w:r>
        <w:rPr>
          <w:sz w:val="22"/>
        </w:rPr>
        <w:t>2</w:t>
      </w:r>
      <w:r>
        <w:rPr>
          <w:sz w:val="22"/>
        </w:rPr>
        <w:t>,</w:t>
      </w:r>
      <w:r>
        <w:rPr>
          <w:sz w:val="22"/>
        </w:rPr>
        <w:t>04</w:t>
      </w:r>
      <w:r>
        <w:rPr>
          <w:sz w:val="22"/>
        </w:rPr>
        <w:t>0,000</w:t>
      </w:r>
      <w:r>
        <w:rPr>
          <w:sz w:val="22"/>
        </w:rPr>
        <w:t>.00</w:t>
      </w:r>
      <w:r>
        <w:rPr>
          <w:sz w:val="22"/>
        </w:rPr>
        <w:t>元</w:t>
      </w:r>
    </w:p>
    <w:p>
      <w:pPr>
        <w:pStyle w:val="null3"/>
        <w:ind w:firstLine="220"/>
        <w:jc w:val="both"/>
      </w:pPr>
      <w:r>
        <w:rPr>
          <w:sz w:val="22"/>
        </w:rPr>
        <w:t>6.项目内容</w:t>
      </w:r>
      <w:r>
        <w:rPr>
          <w:sz w:val="22"/>
        </w:rPr>
        <w:t>及包组情况</w:t>
      </w:r>
      <w:r>
        <w:rPr>
          <w:sz w:val="22"/>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1"/>
        <w:gridCol w:w="2583"/>
        <w:gridCol w:w="1259"/>
        <w:gridCol w:w="1865"/>
        <w:gridCol w:w="1897"/>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w:t>
            </w:r>
            <w:r>
              <w:rPr>
                <w:sz w:val="22"/>
              </w:rPr>
              <w:t>单位</w:t>
            </w:r>
          </w:p>
        </w:tc>
        <w:tc>
          <w:tcPr>
            <w:tcW w:type="dxa" w:w="1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预算金额</w:t>
            </w:r>
            <w:r>
              <w:rPr>
                <w:sz w:val="22"/>
              </w:rPr>
              <w:t>（元）</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高通量测序平台</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r>
              <w:rPr>
                <w:sz w:val="22"/>
              </w:rPr>
              <w:t>0</w:t>
            </w:r>
            <w:r>
              <w:rPr>
                <w:sz w:val="22"/>
              </w:rPr>
              <w:t>,000</w:t>
            </w:r>
            <w:r>
              <w:rPr>
                <w:sz w:val="22"/>
              </w:rPr>
              <w:t>.00</w:t>
            </w:r>
          </w:p>
        </w:tc>
        <w:tc>
          <w:tcPr>
            <w:tcW w:type="dxa" w:w="18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自合同签订之日起</w:t>
            </w:r>
            <w:r>
              <w:rPr>
                <w:sz w:val="22"/>
              </w:rPr>
              <w:t>15</w:t>
            </w:r>
            <w:r>
              <w:rPr>
                <w:sz w:val="22"/>
              </w:rPr>
              <w:t>个日历日内完成安装、调试、验收并投入使用</w:t>
            </w:r>
            <w:r>
              <w:rPr>
                <w:sz w:val="22"/>
              </w:rPr>
              <w:t>。</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w:t>
            </w:r>
            <w:r>
              <w:rPr>
                <w:sz w:val="22"/>
              </w:rPr>
              <w:t>PCR</w:t>
            </w:r>
            <w:r>
              <w:rPr>
                <w:sz w:val="22"/>
              </w:rPr>
              <w:t>检测系统</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r>
              <w:rPr>
                <w:sz w:val="22"/>
              </w:rPr>
              <w:t>0</w:t>
            </w:r>
            <w:r>
              <w:rPr>
                <w:sz w:val="22"/>
              </w:rPr>
              <w:t>,000</w:t>
            </w:r>
            <w:r>
              <w:rPr>
                <w:sz w:val="22"/>
              </w:rPr>
              <w:t>.00</w:t>
            </w:r>
          </w:p>
        </w:tc>
        <w:tc>
          <w:tcPr>
            <w:tcW w:type="dxa" w:w="1897"/>
            <w:vMerge/>
            <w:tcBorders>
              <w:top w:val="none" w:color="000000" w:sz="4"/>
              <w:left w:val="non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全自动分枝杆菌阅片机</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w:t>
            </w:r>
            <w:r>
              <w:rPr>
                <w:sz w:val="22"/>
              </w:rPr>
              <w:t>套</w:t>
            </w:r>
            <w:r>
              <w:rPr>
                <w:sz w:val="22"/>
              </w:rPr>
              <w:t>）</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r>
              <w:rPr>
                <w:sz w:val="22"/>
              </w:rPr>
              <w:t>0</w:t>
            </w:r>
            <w:r>
              <w:rPr>
                <w:sz w:val="22"/>
              </w:rPr>
              <w:t>,000</w:t>
            </w:r>
            <w:r>
              <w:rPr>
                <w:sz w:val="22"/>
              </w:rPr>
              <w:t>.00</w:t>
            </w:r>
          </w:p>
        </w:tc>
        <w:tc>
          <w:tcPr>
            <w:tcW w:type="dxa" w:w="1897"/>
            <w:vMerge/>
            <w:tcBorders>
              <w:top w:val="none" w:color="000000" w:sz="4"/>
              <w:left w:val="non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细菌分散计数仪</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w:t>
            </w:r>
            <w:r>
              <w:rPr>
                <w:sz w:val="22"/>
              </w:rPr>
              <w:t>套</w:t>
            </w:r>
            <w:r>
              <w:rPr>
                <w:sz w:val="22"/>
              </w:rPr>
              <w:t>）</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r>
              <w:rPr>
                <w:sz w:val="22"/>
              </w:rPr>
              <w:t>0</w:t>
            </w:r>
            <w:r>
              <w:rPr>
                <w:sz w:val="22"/>
              </w:rPr>
              <w:t>,000</w:t>
            </w:r>
            <w:r>
              <w:rPr>
                <w:sz w:val="22"/>
              </w:rPr>
              <w:t>.00</w:t>
            </w:r>
          </w:p>
        </w:tc>
        <w:tc>
          <w:tcPr>
            <w:tcW w:type="dxa" w:w="1897"/>
            <w:vMerge/>
            <w:tcBorders>
              <w:top w:val="none" w:color="000000" w:sz="4"/>
              <w:left w:val="non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光谱治疗仪</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w:t>
            </w:r>
            <w:r>
              <w:rPr>
                <w:sz w:val="22"/>
              </w:rPr>
              <w:t>套</w:t>
            </w:r>
            <w:r>
              <w:rPr>
                <w:sz w:val="22"/>
              </w:rPr>
              <w:t>）</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r>
              <w:rPr>
                <w:sz w:val="22"/>
              </w:rPr>
              <w:t>0,000</w:t>
            </w:r>
            <w:r>
              <w:rPr>
                <w:sz w:val="22"/>
              </w:rPr>
              <w:t>.00</w:t>
            </w:r>
          </w:p>
        </w:tc>
        <w:tc>
          <w:tcPr>
            <w:tcW w:type="dxa" w:w="1897"/>
            <w:vMerge/>
            <w:tcBorders>
              <w:top w:val="none" w:color="000000" w:sz="4"/>
              <w:left w:val="none" w:color="000000" w:sz="4"/>
              <w:bottom w:val="single" w:color="000000" w:sz="4"/>
              <w:right w:val="single" w:color="000000" w:sz="4"/>
            </w:tcBorders>
          </w:tcPr>
          <w:p/>
        </w:tc>
      </w:tr>
    </w:tbl>
    <w:p>
      <w:pPr>
        <w:pStyle w:val="null3"/>
        <w:ind w:firstLine="220"/>
        <w:jc w:val="both"/>
      </w:pPr>
      <w:r>
        <w:rPr>
          <w:sz w:val="22"/>
        </w:rPr>
        <w:t>7.本项目</w:t>
      </w:r>
      <w:r>
        <w:rPr>
          <w:sz w:val="22"/>
        </w:rPr>
        <w:t>不允许</w:t>
      </w:r>
      <w:r>
        <w:rPr>
          <w:sz w:val="22"/>
        </w:rPr>
        <w:t>购买</w:t>
      </w:r>
      <w:r>
        <w:rPr>
          <w:sz w:val="22"/>
        </w:rPr>
        <w:t>进口</w:t>
      </w:r>
      <w:r>
        <w:rPr>
          <w:sz w:val="22"/>
        </w:rPr>
        <w:t>产品。</w:t>
      </w:r>
      <w:r>
        <w:rPr>
          <w:sz w:val="22"/>
        </w:rPr>
        <w:t>如投标人提供的产品符合《国务院办公厅关于在政府采购中实施本国产品标准及相关政策的通知》的本国产品标准的，供应商可对其提供的产品出具《关于符合本国产品标准的声明函》（样式见</w:t>
      </w:r>
      <w:r>
        <w:rPr>
          <w:sz w:val="22"/>
        </w:rPr>
        <w:t>投标文件格式</w:t>
      </w:r>
      <w:r>
        <w:rPr>
          <w:sz w:val="22"/>
        </w:rPr>
        <w:t>附件，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有关本国产品的具体事项按《国务院办公厅关于在政府采购中实施本国产品标准及相关政策的通知》（国办发〔</w:t>
      </w:r>
      <w:r>
        <w:rPr>
          <w:sz w:val="22"/>
        </w:rPr>
        <w:t>2025〕34号）及《广东省财政厅广东省工业和信息化厅关于贯彻落实在政府采购中实施本国产品标准及相关政策的通知》执行。</w:t>
      </w:r>
    </w:p>
    <w:p>
      <w:pPr>
        <w:pStyle w:val="null3"/>
        <w:ind w:firstLine="220"/>
        <w:jc w:val="both"/>
      </w:pPr>
      <w:r>
        <w:rPr>
          <w:sz w:val="22"/>
        </w:rPr>
        <w:t>8.本项目不属于专门面向中小企业采购项目：</w:t>
      </w:r>
    </w:p>
    <w:p>
      <w:pPr>
        <w:pStyle w:val="null3"/>
        <w:ind w:firstLine="440"/>
        <w:jc w:val="both"/>
      </w:pPr>
      <w:r>
        <w:rPr>
          <w:sz w:val="22"/>
        </w:rPr>
        <w:t>8.1.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8.2.本项目属于货物类项目，采购标的对应的中小企业划分标准所属行业为：工业。</w:t>
      </w:r>
    </w:p>
    <w:p>
      <w:pPr>
        <w:pStyle w:val="null3"/>
        <w:ind w:firstLine="220"/>
        <w:jc w:val="both"/>
      </w:pPr>
      <w:r>
        <w:rPr>
          <w:sz w:val="22"/>
        </w:rPr>
        <w:t>9.本项目不接受联合体投标。</w:t>
      </w:r>
    </w:p>
    <w:p>
      <w:pPr>
        <w:pStyle w:val="null3"/>
        <w:ind w:firstLine="220"/>
        <w:jc w:val="both"/>
      </w:pPr>
      <w:r>
        <w:rPr>
          <w:sz w:val="22"/>
        </w:rPr>
        <w:t>10.中标供应商不得以任何方式转包或分包本项目。</w:t>
      </w:r>
    </w:p>
    <w:p>
      <w:pPr>
        <w:pStyle w:val="null3"/>
        <w:ind w:firstLine="220"/>
        <w:jc w:val="both"/>
      </w:pPr>
      <w:r>
        <w:rPr>
          <w:sz w:val="22"/>
        </w:rPr>
        <w:t>1</w:t>
      </w:r>
      <w:r>
        <w:rPr>
          <w:sz w:val="22"/>
        </w:rPr>
        <w:t>1</w:t>
      </w:r>
      <w:r>
        <w:rPr>
          <w:sz w:val="22"/>
        </w:rPr>
        <w:t>.政府采购异常低价审查</w:t>
      </w:r>
    </w:p>
    <w:p>
      <w:pPr>
        <w:pStyle w:val="null3"/>
        <w:ind w:firstLine="440"/>
        <w:jc w:val="both"/>
      </w:pPr>
      <w:r>
        <w:rPr>
          <w:sz w:val="22"/>
        </w:rPr>
        <w:t>1</w:t>
      </w:r>
      <w:r>
        <w:rPr>
          <w:sz w:val="22"/>
        </w:rPr>
        <w:t>1</w:t>
      </w:r>
      <w:r>
        <w:rPr>
          <w:sz w:val="22"/>
        </w:rPr>
        <w:t>.1.本项目评审中出现下列情形之一的，评审委员会将启动异常低价投标（响应）审查程序：</w:t>
      </w:r>
    </w:p>
    <w:p>
      <w:pPr>
        <w:pStyle w:val="null3"/>
        <w:ind w:firstLine="660"/>
        <w:jc w:val="both"/>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660"/>
        <w:jc w:val="both"/>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660"/>
        <w:jc w:val="both"/>
      </w:pPr>
      <w:r>
        <w:rPr>
          <w:sz w:val="22"/>
        </w:rPr>
        <w:t>1</w:t>
      </w:r>
      <w:r>
        <w:rPr>
          <w:sz w:val="22"/>
        </w:rPr>
        <w:t>1</w:t>
      </w:r>
      <w:r>
        <w:rPr>
          <w:sz w:val="22"/>
        </w:rPr>
        <w:t>.1.3.投标（响应）报价低于采购项目最高限价45%的，即投标（响应）报价＜采购项目最高限价×45%；</w:t>
      </w:r>
    </w:p>
    <w:p>
      <w:pPr>
        <w:pStyle w:val="null3"/>
        <w:ind w:firstLine="660"/>
        <w:jc w:val="both"/>
      </w:pPr>
      <w:r>
        <w:rPr>
          <w:sz w:val="22"/>
        </w:rPr>
        <w:t>1</w:t>
      </w:r>
      <w:r>
        <w:rPr>
          <w:sz w:val="22"/>
        </w:rPr>
        <w:t>1</w:t>
      </w:r>
      <w:r>
        <w:rPr>
          <w:sz w:val="22"/>
        </w:rPr>
        <w:t>.1.4.评审委员会基于专业判断，认为供应商报价过低，有可能影响产品质量或者不能诚信履约的其他情形；</w:t>
      </w:r>
    </w:p>
    <w:p>
      <w:pPr>
        <w:pStyle w:val="null3"/>
        <w:ind w:firstLine="440"/>
        <w:jc w:val="both"/>
      </w:pPr>
      <w:r>
        <w:rPr>
          <w:sz w:val="22"/>
        </w:rPr>
        <w:t>1</w:t>
      </w:r>
      <w:r>
        <w:rPr>
          <w:sz w:val="22"/>
        </w:rPr>
        <w:t>1</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w:t>
      </w:r>
      <w:r>
        <w:rPr>
          <w:sz w:val="22"/>
        </w:rPr>
        <w:t>1</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w:t>
      </w:r>
      <w:r>
        <w:rPr>
          <w:sz w:val="22"/>
        </w:rPr>
        <w:t>1</w:t>
      </w:r>
      <w:r>
        <w:rPr>
          <w:sz w:val="22"/>
        </w:rPr>
        <w:t>.4.属于第1</w:t>
      </w:r>
      <w:r>
        <w:rPr>
          <w:sz w:val="22"/>
        </w:rPr>
        <w:t>1</w:t>
      </w:r>
      <w:r>
        <w:rPr>
          <w:sz w:val="22"/>
        </w:rPr>
        <w:t>.1.3项情形，投标人已随投标(响应)文件一并提交相关书面说明及必要的证明材料的，在评审现场可不再重复提交。</w:t>
      </w:r>
    </w:p>
    <w:p>
      <w:pPr>
        <w:pStyle w:val="null3"/>
        <w:ind w:firstLine="221"/>
        <w:jc w:val="both"/>
      </w:pPr>
      <w:r>
        <w:rPr>
          <w:sz w:val="22"/>
          <w:b/>
        </w:rPr>
        <w:t>1</w:t>
      </w:r>
      <w:r>
        <w:rPr>
          <w:sz w:val="22"/>
          <w:b/>
        </w:rPr>
        <w:t>2</w:t>
      </w:r>
      <w:r>
        <w:rPr>
          <w:sz w:val="22"/>
          <w:b/>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ind w:firstLine="220"/>
      </w:pPr>
      <w:r>
        <w:rPr>
          <w:sz w:val="22"/>
        </w:rPr>
        <w:t>1</w:t>
      </w:r>
      <w:r>
        <w:rPr>
          <w:sz w:val="22"/>
        </w:rPr>
        <w:t>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ind w:firstLine="220"/>
        <w:jc w:val="both"/>
      </w:pPr>
      <w:r>
        <w:rPr>
          <w:sz w:val="22"/>
        </w:rPr>
        <w:t>1</w:t>
      </w:r>
      <w:r>
        <w:rPr>
          <w:sz w:val="22"/>
        </w:rPr>
        <w:t>4</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ind w:firstLine="220"/>
        <w:jc w:val="both"/>
      </w:pPr>
      <w:r>
        <w:rPr>
          <w:sz w:val="22"/>
        </w:rPr>
        <w:t>1</w:t>
      </w:r>
      <w:r>
        <w:rPr>
          <w:sz w:val="22"/>
        </w:rPr>
        <w:t>5</w:t>
      </w:r>
      <w:r>
        <w:rPr>
          <w:sz w:val="22"/>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w:t>
      </w:r>
      <w:r>
        <w:rPr>
          <w:sz w:val="22"/>
        </w:rPr>
        <w:t>各采购包</w:t>
      </w:r>
      <w:r>
        <w:rPr>
          <w:sz w:val="22"/>
        </w:rPr>
        <w:t>所投核心产品的品牌少于</w:t>
      </w:r>
      <w:r>
        <w:rPr>
          <w:sz w:val="22"/>
        </w:rPr>
        <w:t>3个的，作废标处理。</w:t>
      </w:r>
    </w:p>
    <w:p>
      <w:pPr>
        <w:pStyle w:val="null3"/>
        <w:ind w:firstLine="220"/>
        <w:jc w:val="both"/>
      </w:pPr>
      <w:r>
        <w:rPr>
          <w:sz w:val="22"/>
        </w:rPr>
        <w:t>1</w:t>
      </w:r>
      <w:r>
        <w:rPr>
          <w:sz w:val="22"/>
        </w:rPr>
        <w:t>6</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w:t>
      </w:r>
      <w:r>
        <w:rPr>
          <w:sz w:val="22"/>
          <w:b/>
          <w:shd w:fill="D9D9D9" w:val="clear"/>
        </w:rPr>
        <w:t>17.</w:t>
      </w:r>
      <w:r>
        <w:rPr>
          <w:sz w:val="22"/>
          <w:b/>
          <w:shd w:fill="D9D9D9" w:val="clear"/>
        </w:rPr>
        <w:t>投标人须在投标文件中提供《承诺函》，承诺包括但不限于以下内容：承诺中标后须在中标公告发布之日起五个工作日内提供设备制造厂商开具并盖章的合法有效的授权函原件、售后服务承诺函原件（提供承诺函并加盖公章，格式详见</w:t>
      </w:r>
      <w:r>
        <w:rPr>
          <w:sz w:val="22"/>
          <w:b/>
          <w:shd w:fill="D9D9D9" w:val="clear"/>
        </w:rPr>
        <w:t>“第六章 投标文件格式与要求”格式十一.承诺函）</w:t>
      </w:r>
      <w:r>
        <w:rPr>
          <w:sz w:val="22"/>
          <w:b/>
          <w:shd w:fill="D9D9D9" w:val="clear"/>
        </w:rPr>
        <w:t>。</w:t>
      </w:r>
    </w:p>
    <w:p>
      <w:pPr>
        <w:pStyle w:val="null3"/>
      </w:pPr>
      <w:r>
        <w:rPr>
          <w:sz w:val="22"/>
          <w:b/>
          <w:shd w:fill="D9D9D9" w:val="clear"/>
        </w:rPr>
        <w:t>★</w:t>
      </w:r>
      <w:r>
        <w:rPr>
          <w:sz w:val="22"/>
          <w:b/>
          <w:shd w:fill="D9D9D9" w:val="clear"/>
        </w:rPr>
        <w:t>18</w:t>
      </w:r>
      <w:r>
        <w:rPr>
          <w:sz w:val="22"/>
          <w:b/>
          <w:shd w:fill="D9D9D9" w:val="clear"/>
        </w:rPr>
        <w:t>.投标人需参照</w:t>
      </w:r>
      <w:r>
        <w:rPr>
          <w:sz w:val="22"/>
          <w:b/>
          <w:shd w:fill="D9D9D9" w:val="clear"/>
        </w:rPr>
        <w:t>以下</w:t>
      </w:r>
      <w:r>
        <w:rPr>
          <w:sz w:val="22"/>
          <w:b/>
          <w:shd w:fill="D9D9D9" w:val="clear"/>
        </w:rPr>
        <w:t>格式在投标文件中出具《无围标、串标行为承诺书》。</w:t>
      </w:r>
    </w:p>
    <w:p>
      <w:pPr>
        <w:pStyle w:val="null3"/>
        <w:jc w:val="center"/>
      </w:pPr>
      <w:r>
        <w:rPr>
          <w:sz w:val="22"/>
        </w:rPr>
        <w:t>无围标、串标行为承诺书</w:t>
      </w:r>
    </w:p>
    <w:p>
      <w:pPr>
        <w:pStyle w:val="null3"/>
        <w:ind w:firstLine="420"/>
      </w:pPr>
      <w:r>
        <w:rPr>
          <w:sz w:val="22"/>
        </w:rPr>
        <w:t>本公司郑重承诺：本公司在参加本次</w:t>
      </w:r>
      <w:r>
        <w:rPr>
          <w:u w:val="single"/>
        </w:rPr>
        <w:t xml:space="preserve">              </w:t>
      </w:r>
      <w:r>
        <w:rPr>
          <w:sz w:val="22"/>
        </w:rPr>
        <w:t>[采购项目编号：</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pPr>
      <w:r>
        <w:rPr/>
        <w:t>采购包1（高通量测序平台）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★1.本采购包按总价报价。投标人的投标报价总价不得超出本采购包的预算金额：600,000.00元，否则视为无效投标处理。报价以人民币为货币单位。 ★2.投标人的报价应包括但不限于完成合同约定所需的人工费、差旅（交通、住宿）费、餐费、专家费、保险、管理费、接口费（含与医院现有LIS系统联网）、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中标供应商所提供设备须满足采购人现有LIS系统的对接要求，供应商应无条件、无偿配合完成与采购人LI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 11.增值服务：提供三代测序检测服务等。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高通量测序平台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高通量测序平台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b/>
              </w:rPr>
              <w:t>（一）基因测序仪</w:t>
            </w:r>
            <w:r>
              <w:rPr/>
              <w:t xml:space="preserve"> </w:t>
            </w:r>
          </w:p>
          <w:p>
            <w:pPr>
              <w:pStyle w:val="null3"/>
              <w:ind w:firstLine="220"/>
            </w:pPr>
            <w:r>
              <w:rPr>
                <w:sz w:val="22"/>
              </w:rPr>
              <w:t>1.</w:t>
            </w:r>
            <w:r>
              <w:rPr>
                <w:sz w:val="22"/>
              </w:rPr>
              <w:t>设备技术原理采用联合探针锚定聚合测序技术。</w:t>
            </w:r>
          </w:p>
          <w:p>
            <w:pPr>
              <w:pStyle w:val="null3"/>
              <w:ind w:firstLine="220"/>
            </w:pPr>
            <w:r>
              <w:rPr>
                <w:sz w:val="22"/>
              </w:rPr>
              <w:t>2</w:t>
            </w:r>
            <w:r>
              <w:rPr>
                <w:sz w:val="22"/>
              </w:rPr>
              <w:t>.测序控制软件界面支持中英文。</w:t>
            </w:r>
          </w:p>
          <w:p>
            <w:pPr>
              <w:pStyle w:val="null3"/>
              <w:ind w:firstLine="220"/>
            </w:pPr>
            <w:r>
              <w:rPr>
                <w:sz w:val="22"/>
              </w:rPr>
              <w:t>3</w:t>
            </w:r>
            <w:r>
              <w:rPr>
                <w:sz w:val="22"/>
              </w:rPr>
              <w:t>.数据读长：支持自动化单端和自动化双端读取序列，读长≥300bp；可支持1*100bp、2*150bp等多种读长，并支持在1～150bp范围内自定义读取长度。</w:t>
            </w:r>
          </w:p>
          <w:p>
            <w:pPr>
              <w:pStyle w:val="null3"/>
              <w:ind w:firstLine="220"/>
            </w:pPr>
            <w:r>
              <w:rPr>
                <w:sz w:val="22"/>
              </w:rPr>
              <w:t>4</w:t>
            </w:r>
            <w:r>
              <w:rPr>
                <w:sz w:val="22"/>
              </w:rPr>
              <w:t>.SE100测序时间≤5小时，PE150测序时间≤20小时，可用于快速鉴定。</w:t>
            </w:r>
          </w:p>
          <w:p>
            <w:pPr>
              <w:pStyle w:val="null3"/>
            </w:pPr>
            <w:r>
              <w:rPr>
                <w:sz w:val="22"/>
                <w:b/>
              </w:rPr>
              <w:t>▲</w:t>
            </w:r>
            <w:r>
              <w:rPr>
                <w:sz w:val="22"/>
                <w:b/>
              </w:rPr>
              <w:t>5</w:t>
            </w:r>
            <w:r>
              <w:rPr>
                <w:sz w:val="22"/>
                <w:b/>
              </w:rPr>
              <w:t>.数据准确性：测序以 Q30 作为核心数据质量评判指标，SE100读长下，标准文库的测序Q30值≥90%（提供产品彩页或官网截图</w:t>
            </w:r>
            <w:r>
              <w:rPr>
                <w:sz w:val="22"/>
                <w:b/>
              </w:rPr>
              <w:t>或产品说明书等相关证明材料，并加盖公章</w:t>
            </w:r>
            <w:r>
              <w:rPr>
                <w:sz w:val="22"/>
                <w:b/>
              </w:rPr>
              <w:t>）。</w:t>
            </w:r>
          </w:p>
          <w:p>
            <w:pPr>
              <w:pStyle w:val="null3"/>
              <w:ind w:firstLine="220"/>
            </w:pPr>
            <w:r>
              <w:rPr>
                <w:sz w:val="22"/>
              </w:rPr>
              <w:t>6</w:t>
            </w:r>
            <w:r>
              <w:rPr>
                <w:sz w:val="22"/>
              </w:rPr>
              <w:t>.扩增原理：采用线性扩增方式，每轮扩增均以原始文库分子为模板，有效减少由PCR引入的错误累积的影响。</w:t>
            </w:r>
          </w:p>
          <w:p>
            <w:pPr>
              <w:pStyle w:val="null3"/>
              <w:ind w:firstLine="220"/>
            </w:pPr>
            <w:r>
              <w:rPr>
                <w:sz w:val="22"/>
              </w:rPr>
              <w:t>7</w:t>
            </w:r>
            <w:r>
              <w:rPr>
                <w:sz w:val="22"/>
              </w:rPr>
              <w:t>.可在以下操作环境运行：温度涵盖19～30℃；相对湿度：20% ～80%RH，无冷凝；气压范围：80kPa～106kPa。</w:t>
            </w:r>
          </w:p>
          <w:p>
            <w:pPr>
              <w:pStyle w:val="null3"/>
            </w:pPr>
            <w:r>
              <w:rPr>
                <w:sz w:val="22"/>
                <w:b/>
              </w:rPr>
              <w:t>▲</w:t>
            </w:r>
            <w:r>
              <w:rPr>
                <w:sz w:val="22"/>
                <w:b/>
              </w:rPr>
              <w:t>8</w:t>
            </w:r>
            <w:r>
              <w:rPr>
                <w:sz w:val="22"/>
                <w:b/>
              </w:rPr>
              <w:t>.可进行病原靶向高通量基因检测(tNGS)，基于超多重PCR技术，检测涵盖＞230种病原微生物，＞30 种耐药基因，＞10种毒力基因（</w:t>
            </w:r>
            <w:r>
              <w:rPr>
                <w:sz w:val="22"/>
                <w:b/>
              </w:rPr>
              <w:t>投标文件中</w:t>
            </w:r>
            <w:r>
              <w:rPr>
                <w:sz w:val="22"/>
                <w:b/>
              </w:rPr>
              <w:t>提供临床检测报告（隐私机密信息可脱敏），</w:t>
            </w:r>
            <w:r>
              <w:rPr>
                <w:sz w:val="22"/>
                <w:b/>
              </w:rPr>
              <w:t>并加盖公章</w:t>
            </w:r>
            <w:r>
              <w:rPr>
                <w:sz w:val="22"/>
                <w:b/>
              </w:rPr>
              <w:t>）。</w:t>
            </w:r>
          </w:p>
          <w:p>
            <w:pPr>
              <w:pStyle w:val="null3"/>
            </w:pPr>
            <w:r>
              <w:rPr>
                <w:sz w:val="22"/>
                <w:b/>
              </w:rPr>
              <w:t>▲</w:t>
            </w:r>
            <w:r>
              <w:rPr>
                <w:sz w:val="22"/>
                <w:b/>
              </w:rPr>
              <w:t>9</w:t>
            </w:r>
            <w:r>
              <w:rPr>
                <w:sz w:val="22"/>
                <w:b/>
              </w:rPr>
              <w:t>.泛感染病原微生物靶向高通量基因检测，基于探针杂交捕获法，可鉴定呼吸、血流、中枢等多种症候群感染的病原微生物＞700种，＞60种耐药基因，＞60种毒力基因（</w:t>
            </w:r>
            <w:r>
              <w:rPr>
                <w:sz w:val="22"/>
                <w:b/>
              </w:rPr>
              <w:t>投标文件中</w:t>
            </w:r>
            <w:r>
              <w:rPr>
                <w:sz w:val="22"/>
                <w:b/>
              </w:rPr>
              <w:t>提供临床检测报告（隐私机密信息可脱敏），</w:t>
            </w:r>
            <w:r>
              <w:rPr>
                <w:sz w:val="22"/>
                <w:b/>
              </w:rPr>
              <w:t>并加盖公章</w:t>
            </w:r>
            <w:r>
              <w:rPr>
                <w:sz w:val="22"/>
                <w:b/>
              </w:rPr>
              <w:t>）。</w:t>
            </w:r>
          </w:p>
          <w:p>
            <w:pPr>
              <w:pStyle w:val="null3"/>
            </w:pPr>
            <w:r>
              <w:rPr>
                <w:sz w:val="22"/>
                <w:b/>
              </w:rPr>
              <w:t>▲</w:t>
            </w:r>
            <w:r>
              <w:rPr>
                <w:sz w:val="22"/>
                <w:b/>
              </w:rPr>
              <w:t>10.</w:t>
            </w:r>
            <w:r>
              <w:rPr>
                <w:sz w:val="22"/>
                <w:b/>
              </w:rPr>
              <w:t>可开展分枝杆菌靶向高通量基因检测，涵盖结核分枝杆菌复合群（</w:t>
            </w:r>
            <w:r>
              <w:rPr>
                <w:sz w:val="22"/>
                <w:b/>
              </w:rPr>
              <w:t>MTBC），非结核分枝杆菌（NTM）＞40种，以及MTBC耐药基因＞20个（位点数＞200个）（</w:t>
            </w:r>
            <w:r>
              <w:rPr>
                <w:sz w:val="22"/>
                <w:b/>
              </w:rPr>
              <w:t>投标文件中</w:t>
            </w:r>
            <w:r>
              <w:rPr>
                <w:sz w:val="22"/>
                <w:b/>
              </w:rPr>
              <w:t>提供临床检测报告（隐私机密信息可脱敏），</w:t>
            </w:r>
            <w:r>
              <w:rPr>
                <w:sz w:val="22"/>
                <w:b/>
              </w:rPr>
              <w:t>并加盖公章</w:t>
            </w:r>
            <w:r>
              <w:rPr>
                <w:sz w:val="22"/>
                <w:b/>
              </w:rPr>
              <w:t>）</w:t>
            </w:r>
            <w:r>
              <w:rPr>
                <w:sz w:val="22"/>
                <w:b/>
              </w:rPr>
              <w:t>。</w:t>
            </w:r>
          </w:p>
          <w:p>
            <w:pPr>
              <w:pStyle w:val="null3"/>
            </w:pPr>
            <w:r>
              <w:rPr>
                <w:sz w:val="22"/>
                <w:b/>
              </w:rPr>
              <w:t>（二）全自动测序文库制备系统</w:t>
            </w:r>
          </w:p>
          <w:p>
            <w:pPr>
              <w:pStyle w:val="null3"/>
              <w:ind w:firstLine="220"/>
            </w:pPr>
            <w:r>
              <w:rPr>
                <w:sz w:val="22"/>
              </w:rPr>
              <w:t>1.全自动文库制备模块</w:t>
            </w:r>
          </w:p>
          <w:p>
            <w:pPr>
              <w:pStyle w:val="null3"/>
              <w:ind w:firstLine="440"/>
            </w:pPr>
            <w:r>
              <w:rPr>
                <w:sz w:val="22"/>
              </w:rPr>
              <w:t>1.1</w:t>
            </w:r>
            <w:r>
              <w:rPr>
                <w:sz w:val="22"/>
              </w:rPr>
              <w:t>.</w:t>
            </w:r>
            <w:r>
              <w:rPr>
                <w:sz w:val="22"/>
              </w:rPr>
              <w:t>具备</w:t>
            </w:r>
            <w:r>
              <w:rPr>
                <w:sz w:val="22"/>
              </w:rPr>
              <w:t>集成提取模块、温控模块、</w:t>
            </w:r>
            <w:r>
              <w:rPr>
                <w:sz w:val="22"/>
              </w:rPr>
              <w:t>PCR模块、温控震荡模块、定量模块，可独立完成全部对应功能，无需额外搭配、外接或另行配置其他设备即可实现提取开始全流程运行。</w:t>
            </w:r>
          </w:p>
          <w:p>
            <w:pPr>
              <w:pStyle w:val="null3"/>
              <w:ind w:firstLine="440"/>
            </w:pPr>
            <w:r>
              <w:rPr>
                <w:sz w:val="22"/>
              </w:rPr>
              <w:t>1.2</w:t>
            </w:r>
            <w:r>
              <w:rPr>
                <w:sz w:val="22"/>
              </w:rPr>
              <w:t>.设备有一体化防污染设计，包含提取、建库双区独立密封仓和传递仓模块，模拟全流程实验室环境。</w:t>
            </w:r>
          </w:p>
          <w:p>
            <w:pPr>
              <w:pStyle w:val="null3"/>
              <w:ind w:firstLine="440"/>
            </w:pPr>
            <w:r>
              <w:rPr>
                <w:sz w:val="22"/>
              </w:rPr>
              <w:t>1.3</w:t>
            </w:r>
            <w:r>
              <w:rPr>
                <w:sz w:val="22"/>
              </w:rPr>
              <w:t>.移液范围：2</w:t>
            </w:r>
            <w:r>
              <w:rPr>
                <w:sz w:val="22"/>
              </w:rPr>
              <w:t>～</w:t>
            </w:r>
            <w:r>
              <w:rPr>
                <w:sz w:val="22"/>
              </w:rPr>
              <w:t>400μL。</w:t>
            </w:r>
          </w:p>
          <w:p>
            <w:pPr>
              <w:pStyle w:val="null3"/>
              <w:ind w:firstLine="440"/>
            </w:pPr>
            <w:r>
              <w:rPr>
                <w:sz w:val="22"/>
              </w:rPr>
              <w:t>1.4</w:t>
            </w:r>
            <w:r>
              <w:rPr>
                <w:sz w:val="22"/>
              </w:rPr>
              <w:t>.移液精密度：2μL CV≤6%，400μL CV≤1%。</w:t>
            </w:r>
          </w:p>
          <w:p>
            <w:pPr>
              <w:pStyle w:val="null3"/>
              <w:ind w:firstLine="440"/>
            </w:pPr>
            <w:r>
              <w:rPr>
                <w:sz w:val="22"/>
              </w:rPr>
              <w:t>1.5</w:t>
            </w:r>
            <w:r>
              <w:rPr>
                <w:sz w:val="22"/>
              </w:rPr>
              <w:t>.移液准确度：2μL≤±10%；400μL≤±1%。</w:t>
            </w:r>
          </w:p>
          <w:p>
            <w:pPr>
              <w:pStyle w:val="null3"/>
              <w:ind w:firstLine="440"/>
            </w:pPr>
            <w:r>
              <w:rPr>
                <w:sz w:val="22"/>
              </w:rPr>
              <w:t>1.6</w:t>
            </w:r>
            <w:r>
              <w:rPr>
                <w:sz w:val="22"/>
              </w:rPr>
              <w:t>.配备紫外灯及HEPA过滤。</w:t>
            </w:r>
          </w:p>
          <w:p>
            <w:pPr>
              <w:pStyle w:val="null3"/>
              <w:ind w:firstLine="221"/>
            </w:pPr>
            <w:r>
              <w:rPr>
                <w:sz w:val="22"/>
                <w:b/>
              </w:rPr>
              <w:t>▲</w:t>
            </w:r>
            <w:r>
              <w:rPr>
                <w:sz w:val="22"/>
                <w:b/>
              </w:rPr>
              <w:t>1.7.</w:t>
            </w:r>
            <w:r>
              <w:rPr>
                <w:sz w:val="22"/>
                <w:b/>
              </w:rPr>
              <w:t>文库构建产物可用于联合探针锚定聚合测序法检测</w:t>
            </w:r>
            <w:r>
              <w:rPr>
                <w:sz w:val="22"/>
                <w:b/>
              </w:rPr>
              <w:t>。</w:t>
            </w:r>
          </w:p>
          <w:p>
            <w:pPr>
              <w:pStyle w:val="null3"/>
              <w:ind w:firstLine="220"/>
            </w:pPr>
            <w:r>
              <w:rPr>
                <w:sz w:val="22"/>
              </w:rPr>
              <w:t>2.测序模块</w:t>
            </w:r>
          </w:p>
          <w:p>
            <w:pPr>
              <w:pStyle w:val="null3"/>
              <w:ind w:firstLine="440"/>
            </w:pPr>
            <w:r>
              <w:rPr>
                <w:sz w:val="22"/>
              </w:rPr>
              <w:t>2.</w:t>
            </w:r>
            <w:r>
              <w:rPr>
                <w:sz w:val="22"/>
              </w:rPr>
              <w:t>1.</w:t>
            </w:r>
            <w:r>
              <w:rPr>
                <w:sz w:val="22"/>
              </w:rPr>
              <w:t>设备在临床上可用于对来源于人体样本的脱氧核糖核酸（</w:t>
            </w:r>
            <w:r>
              <w:rPr>
                <w:sz w:val="22"/>
              </w:rPr>
              <w:t>DNA）和核糖核酸（RNA）进行测序，以检测基因序列。以提供的医疗器械注册证适用范围/预期用途作为评价依据。</w:t>
            </w:r>
          </w:p>
          <w:p>
            <w:pPr>
              <w:pStyle w:val="null3"/>
              <w:ind w:firstLine="440"/>
            </w:pPr>
            <w:r>
              <w:rPr>
                <w:sz w:val="22"/>
              </w:rPr>
              <w:t>2.2.</w:t>
            </w:r>
            <w:r>
              <w:rPr>
                <w:sz w:val="22"/>
              </w:rPr>
              <w:t>设备技术原理采用联合探针锚定聚合测序技术</w:t>
            </w:r>
          </w:p>
          <w:p>
            <w:pPr>
              <w:pStyle w:val="null3"/>
              <w:ind w:firstLine="440"/>
            </w:pPr>
            <w:r>
              <w:rPr>
                <w:sz w:val="22"/>
              </w:rPr>
              <w:t>2.3.</w:t>
            </w:r>
            <w:r>
              <w:rPr>
                <w:sz w:val="22"/>
              </w:rPr>
              <w:t>采用四色荧光技术。</w:t>
            </w:r>
          </w:p>
          <w:p>
            <w:pPr>
              <w:pStyle w:val="null3"/>
              <w:ind w:firstLine="440"/>
            </w:pPr>
            <w:r>
              <w:rPr>
                <w:sz w:val="22"/>
              </w:rPr>
              <w:t>2.4.</w:t>
            </w:r>
            <w:r>
              <w:rPr>
                <w:sz w:val="22"/>
              </w:rPr>
              <w:t>单次可同时运行</w:t>
            </w:r>
            <w:r>
              <w:rPr>
                <w:sz w:val="22"/>
              </w:rPr>
              <w:t>≥</w:t>
            </w:r>
            <w:r>
              <w:rPr>
                <w:sz w:val="22"/>
              </w:rPr>
              <w:t>2张载片。</w:t>
            </w:r>
          </w:p>
          <w:p>
            <w:pPr>
              <w:pStyle w:val="null3"/>
              <w:ind w:firstLine="440"/>
            </w:pPr>
            <w:r>
              <w:rPr>
                <w:sz w:val="22"/>
              </w:rPr>
              <w:t>2.5.</w:t>
            </w:r>
            <w:r>
              <w:rPr>
                <w:sz w:val="22"/>
              </w:rPr>
              <w:t>可配置</w:t>
            </w:r>
            <w:r>
              <w:rPr>
                <w:sz w:val="22"/>
              </w:rPr>
              <w:t>≥2</w:t>
            </w:r>
            <w:r>
              <w:rPr>
                <w:sz w:val="22"/>
              </w:rPr>
              <w:t>种不同规格</w:t>
            </w:r>
            <w:r>
              <w:rPr>
                <w:sz w:val="22"/>
              </w:rPr>
              <w:t>Reads数载片，且均获得批准可用于临床。大通量载片单次运行可产生≥200M序列片段(Reads),中通量载片单次运行可产生≥80M序列片段（Reads）。</w:t>
            </w:r>
          </w:p>
          <w:p>
            <w:pPr>
              <w:pStyle w:val="null3"/>
              <w:ind w:firstLine="440"/>
            </w:pPr>
            <w:r>
              <w:rPr>
                <w:sz w:val="22"/>
              </w:rPr>
              <w:t>2.6.</w:t>
            </w:r>
            <w:r>
              <w:rPr>
                <w:sz w:val="22"/>
              </w:rPr>
              <w:t>单次运行两张高通量载片可产出</w:t>
            </w:r>
            <w:r>
              <w:rPr>
                <w:sz w:val="22"/>
              </w:rPr>
              <w:t>≥400M 序列片段(Reads)。</w:t>
            </w:r>
          </w:p>
          <w:p>
            <w:pPr>
              <w:pStyle w:val="null3"/>
              <w:ind w:firstLine="440"/>
            </w:pPr>
            <w:r>
              <w:rPr>
                <w:sz w:val="22"/>
              </w:rPr>
              <w:t>2.7.</w:t>
            </w:r>
            <w:r>
              <w:rPr>
                <w:sz w:val="22"/>
              </w:rPr>
              <w:t>每</w:t>
            </w:r>
            <w:r>
              <w:rPr>
                <w:sz w:val="22"/>
              </w:rPr>
              <w:t>24小时最高可产出≥160G碱基数据。</w:t>
            </w:r>
          </w:p>
          <w:p>
            <w:pPr>
              <w:pStyle w:val="null3"/>
              <w:ind w:firstLine="440"/>
            </w:pPr>
            <w:r>
              <w:rPr>
                <w:sz w:val="22"/>
              </w:rPr>
              <w:t>2.8.</w:t>
            </w:r>
            <w:r>
              <w:rPr>
                <w:sz w:val="22"/>
              </w:rPr>
              <w:t>采用线性扩增方式，每轮扩增均以原始文库分子为模板。</w:t>
            </w:r>
          </w:p>
          <w:p>
            <w:pPr>
              <w:pStyle w:val="null3"/>
              <w:ind w:firstLine="221"/>
            </w:pPr>
            <w:r>
              <w:rPr>
                <w:sz w:val="22"/>
                <w:b/>
              </w:rPr>
              <w:t>▲</w:t>
            </w:r>
            <w:r>
              <w:rPr>
                <w:sz w:val="22"/>
                <w:b/>
              </w:rPr>
              <w:t>2.9.</w:t>
            </w:r>
            <w:r>
              <w:rPr>
                <w:sz w:val="22"/>
                <w:b/>
              </w:rPr>
              <w:t>采用规则阵列载片（提供产品彩页或官网截图或产品说明书等相关证明材料，</w:t>
            </w:r>
            <w:r>
              <w:rPr>
                <w:sz w:val="22"/>
                <w:b/>
              </w:rPr>
              <w:t>并加盖公章</w:t>
            </w:r>
            <w:r>
              <w:rPr>
                <w:sz w:val="22"/>
                <w:b/>
              </w:rPr>
              <w:t>）。</w:t>
            </w:r>
          </w:p>
          <w:p>
            <w:pPr>
              <w:pStyle w:val="null3"/>
              <w:ind w:firstLine="221"/>
            </w:pPr>
            <w:r>
              <w:rPr>
                <w:sz w:val="22"/>
                <w:b/>
              </w:rPr>
              <w:t>▲</w:t>
            </w:r>
            <w:r>
              <w:rPr>
                <w:sz w:val="22"/>
                <w:b/>
              </w:rPr>
              <w:t>2.</w:t>
            </w:r>
            <w:r>
              <w:rPr>
                <w:sz w:val="22"/>
                <w:b/>
              </w:rPr>
              <w:t>1</w:t>
            </w:r>
            <w:r>
              <w:rPr>
                <w:sz w:val="22"/>
                <w:b/>
              </w:rPr>
              <w:t>0.</w:t>
            </w:r>
            <w:r>
              <w:rPr>
                <w:sz w:val="22"/>
                <w:b/>
              </w:rPr>
              <w:t>支持多种测序模式，涵盖单端测序（</w:t>
            </w:r>
            <w:r>
              <w:rPr>
                <w:sz w:val="22"/>
                <w:b/>
              </w:rPr>
              <w:t>SE）与双端测序（PE），至少包含PE50、SE100两种读长模式；设备配套试剂盒需获得临床批准，（提供该设备</w:t>
            </w:r>
            <w:r>
              <w:rPr>
                <w:sz w:val="22"/>
                <w:b/>
              </w:rPr>
              <w:t>配</w:t>
            </w:r>
            <w:r>
              <w:rPr>
                <w:sz w:val="22"/>
                <w:b/>
              </w:rPr>
              <w:t>套试剂盒的适配证明材料，包括医疗器械备案证或医疗器械备案编号告知书，以及明确标注要求测序读长的国家药品监督管理局官网截图，</w:t>
            </w:r>
            <w:r>
              <w:rPr>
                <w:sz w:val="22"/>
                <w:b/>
              </w:rPr>
              <w:t>并加盖公章</w:t>
            </w:r>
            <w:r>
              <w:rPr>
                <w:sz w:val="22"/>
                <w:b/>
              </w:rPr>
              <w:t>）。</w:t>
            </w:r>
          </w:p>
          <w:p>
            <w:pPr>
              <w:pStyle w:val="null3"/>
              <w:ind w:firstLine="440"/>
            </w:pPr>
            <w:r>
              <w:rPr>
                <w:sz w:val="22"/>
              </w:rPr>
              <w:t>2.</w:t>
            </w:r>
            <w:r>
              <w:rPr>
                <w:sz w:val="22"/>
              </w:rPr>
              <w:t>1</w:t>
            </w:r>
            <w:r>
              <w:rPr>
                <w:sz w:val="22"/>
              </w:rPr>
              <w:t>1.</w:t>
            </w:r>
            <w:r>
              <w:rPr>
                <w:sz w:val="22"/>
              </w:rPr>
              <w:t>SE100测序模式下，最短测序时长</w:t>
            </w:r>
            <w:r>
              <w:rPr>
                <w:sz w:val="22"/>
              </w:rPr>
              <w:t>≤</w:t>
            </w:r>
            <w:r>
              <w:rPr>
                <w:sz w:val="22"/>
              </w:rPr>
              <w:t>5小时，PE150测序模式下，最短测序时长</w:t>
            </w:r>
            <w:r>
              <w:rPr>
                <w:sz w:val="22"/>
              </w:rPr>
              <w:t>≤</w:t>
            </w:r>
            <w:r>
              <w:rPr>
                <w:sz w:val="22"/>
              </w:rPr>
              <w:t>12小时。</w:t>
            </w:r>
          </w:p>
          <w:p>
            <w:pPr>
              <w:pStyle w:val="null3"/>
              <w:ind w:firstLine="440"/>
            </w:pPr>
            <w:r>
              <w:rPr>
                <w:sz w:val="22"/>
              </w:rPr>
              <w:t>2.12.</w:t>
            </w:r>
            <w:r>
              <w:rPr>
                <w:sz w:val="22"/>
              </w:rPr>
              <w:t>数据质量：使用标准文库</w:t>
            </w:r>
            <w:r>
              <w:rPr>
                <w:sz w:val="22"/>
              </w:rPr>
              <w:t>SE100测序模式下，高于Q30的碱基百分比＞90%。</w:t>
            </w:r>
          </w:p>
          <w:p>
            <w:pPr>
              <w:pStyle w:val="null3"/>
            </w:pPr>
            <w:r>
              <w:rPr>
                <w:sz w:val="22"/>
                <w:b/>
              </w:rPr>
              <w:t>（三）数据分析一体机</w:t>
            </w:r>
          </w:p>
          <w:p>
            <w:pPr>
              <w:pStyle w:val="null3"/>
              <w:ind w:firstLine="220"/>
            </w:pPr>
            <w:r>
              <w:rPr>
                <w:sz w:val="22"/>
              </w:rPr>
              <w:t>1</w:t>
            </w:r>
            <w:r>
              <w:rPr>
                <w:sz w:val="22"/>
              </w:rPr>
              <w:t>.</w:t>
            </w:r>
            <w:r>
              <w:rPr>
                <w:sz w:val="22"/>
              </w:rPr>
              <w:t>可支持样品管理、实验管理、数据管理、报告管理、信息分析、解读中心、权限设置。</w:t>
            </w:r>
          </w:p>
          <w:p>
            <w:pPr>
              <w:pStyle w:val="null3"/>
              <w:ind w:firstLine="220"/>
            </w:pPr>
            <w:r>
              <w:rPr>
                <w:sz w:val="22"/>
              </w:rPr>
              <w:t>2</w:t>
            </w:r>
            <w:r>
              <w:rPr>
                <w:sz w:val="22"/>
              </w:rPr>
              <w:t>.</w:t>
            </w:r>
            <w:r>
              <w:rPr>
                <w:sz w:val="22"/>
              </w:rPr>
              <w:t>可实现项目检测整体概况、送检样本分布、病原及耐药</w:t>
            </w:r>
            <w:r>
              <w:rPr>
                <w:sz w:val="22"/>
              </w:rPr>
              <w:t>/毒力基因检出阳性率和检出频次、重点关注病原检出等统计功能。</w:t>
            </w:r>
          </w:p>
          <w:p>
            <w:pPr>
              <w:pStyle w:val="null3"/>
              <w:ind w:firstLine="220"/>
            </w:pPr>
            <w:r>
              <w:rPr>
                <w:sz w:val="22"/>
              </w:rPr>
              <w:t>3</w:t>
            </w:r>
            <w:r>
              <w:rPr>
                <w:sz w:val="22"/>
              </w:rPr>
              <w:t>.可</w:t>
            </w:r>
            <w:r>
              <w:rPr>
                <w:sz w:val="22"/>
              </w:rPr>
              <w:t>与网络物理隔绝，离线运行，实现本地化存储、分析、出具报告。</w:t>
            </w:r>
          </w:p>
          <w:p>
            <w:pPr>
              <w:pStyle w:val="null3"/>
              <w:ind w:firstLine="220"/>
            </w:pPr>
            <w:r>
              <w:rPr>
                <w:sz w:val="22"/>
              </w:rPr>
              <w:t>4</w:t>
            </w:r>
            <w:r>
              <w:rPr>
                <w:sz w:val="22"/>
              </w:rPr>
              <w:t>.</w:t>
            </w:r>
            <w:r>
              <w:rPr>
                <w:sz w:val="22"/>
              </w:rPr>
              <w:t>可提供配套使用的病原相关的分析软件</w:t>
            </w:r>
            <w:r>
              <w:rPr>
                <w:sz w:val="22"/>
              </w:rPr>
              <w:t>具备</w:t>
            </w:r>
            <w:r>
              <w:rPr>
                <w:sz w:val="22"/>
              </w:rPr>
              <w:t>医疗器械注册证。</w:t>
            </w:r>
          </w:p>
          <w:p>
            <w:pPr>
              <w:pStyle w:val="null3"/>
              <w:ind w:firstLine="220"/>
            </w:pPr>
            <w:r>
              <w:rPr>
                <w:sz w:val="22"/>
              </w:rPr>
              <w:t>5.</w:t>
            </w:r>
            <w:r>
              <w:rPr>
                <w:sz w:val="22"/>
              </w:rPr>
              <w:t>可支持报告模板个性化定制。</w:t>
            </w:r>
          </w:p>
          <w:p>
            <w:pPr>
              <w:pStyle w:val="null3"/>
              <w:ind w:firstLine="220"/>
            </w:pPr>
            <w:r>
              <w:rPr>
                <w:sz w:val="22"/>
              </w:rPr>
              <w:t>6.</w:t>
            </w:r>
            <w:r>
              <w:rPr>
                <w:sz w:val="22"/>
              </w:rPr>
              <w:t>可适配的测序平台</w:t>
            </w:r>
            <w:r>
              <w:rPr>
                <w:sz w:val="22"/>
              </w:rPr>
              <w:t>≥3个。</w:t>
            </w:r>
          </w:p>
          <w:p>
            <w:pPr>
              <w:pStyle w:val="null3"/>
              <w:ind w:firstLine="220"/>
            </w:pPr>
            <w:r>
              <w:rPr>
                <w:sz w:val="22"/>
              </w:rPr>
              <w:t>7.</w:t>
            </w:r>
            <w:r>
              <w:rPr>
                <w:sz w:val="22"/>
              </w:rPr>
              <w:t>前置机</w:t>
            </w:r>
            <w:r>
              <w:rPr>
                <w:sz w:val="22"/>
              </w:rPr>
              <w:t>CPU性能内存≥8GB，固态硬盘≥512GB。</w:t>
            </w:r>
          </w:p>
          <w:p>
            <w:pPr>
              <w:pStyle w:val="null3"/>
              <w:ind w:firstLine="220"/>
            </w:pPr>
            <w:r>
              <w:rPr>
                <w:sz w:val="22"/>
              </w:rPr>
              <w:t>8.</w:t>
            </w:r>
            <w:r>
              <w:rPr>
                <w:sz w:val="22"/>
              </w:rPr>
              <w:t>服务器采用可扩展处理器，</w:t>
            </w:r>
            <w:r>
              <w:rPr>
                <w:sz w:val="22"/>
              </w:rPr>
              <w:t>CPU核心数量≥96。</w:t>
            </w:r>
          </w:p>
          <w:p>
            <w:pPr>
              <w:pStyle w:val="null3"/>
              <w:ind w:firstLine="220"/>
            </w:pPr>
            <w:r>
              <w:rPr>
                <w:sz w:val="22"/>
              </w:rPr>
              <w:t>9.</w:t>
            </w:r>
            <w:r>
              <w:rPr>
                <w:sz w:val="22"/>
              </w:rPr>
              <w:t>服务器硬盘：系统硬盘</w:t>
            </w:r>
            <w:r>
              <w:rPr>
                <w:sz w:val="22"/>
              </w:rPr>
              <w:t>≥960GB固态硬盘≥2块，数据硬盘≥3.84 TB SSD≥11块。</w:t>
            </w:r>
          </w:p>
          <w:p>
            <w:pPr>
              <w:pStyle w:val="null3"/>
              <w:ind w:firstLine="220"/>
            </w:pPr>
            <w:r>
              <w:rPr>
                <w:sz w:val="22"/>
              </w:rPr>
              <w:t>1</w:t>
            </w:r>
            <w:r>
              <w:rPr>
                <w:sz w:val="22"/>
              </w:rPr>
              <w:t>0.</w:t>
            </w:r>
            <w:r>
              <w:rPr>
                <w:sz w:val="22"/>
              </w:rPr>
              <w:t>服务器内存</w:t>
            </w:r>
            <w:r>
              <w:rPr>
                <w:sz w:val="22"/>
              </w:rPr>
              <w:t>≥768GB。</w:t>
            </w:r>
          </w:p>
          <w:p>
            <w:pPr>
              <w:pStyle w:val="null3"/>
              <w:ind w:firstLine="220"/>
            </w:pPr>
            <w:r>
              <w:rPr>
                <w:sz w:val="22"/>
              </w:rPr>
              <w:t>1</w:t>
            </w:r>
            <w:r>
              <w:rPr>
                <w:sz w:val="22"/>
              </w:rPr>
              <w:t>1</w:t>
            </w:r>
            <w:r>
              <w:rPr>
                <w:sz w:val="22"/>
              </w:rPr>
              <w:t>.</w:t>
            </w:r>
            <w:r>
              <w:rPr>
                <w:sz w:val="22"/>
              </w:rPr>
              <w:t>配置清单</w:t>
            </w:r>
            <w:r>
              <w:rPr>
                <w:sz w:val="22"/>
              </w:rPr>
              <w:t>（包括但</w:t>
            </w:r>
            <w:r>
              <w:rPr>
                <w:sz w:val="22"/>
              </w:rPr>
              <w:t>不</w:t>
            </w:r>
            <w:r>
              <w:rPr>
                <w:sz w:val="22"/>
              </w:rPr>
              <w:t>限</w:t>
            </w:r>
            <w:r>
              <w:rPr>
                <w:sz w:val="22"/>
              </w:rPr>
              <w:t>于</w:t>
            </w:r>
            <w:r>
              <w:rPr>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660"/>
              <w:gridCol w:w="3706"/>
              <w:gridCol w:w="1218"/>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数量（单位）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基因测序仪</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全自动测序文库制备系统</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数据分析一体机</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检测试剂等耗材（用于设备验收试机）</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若干，需满足验收工作需要</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移液器</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8把</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ups电源</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15kw</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PCR扩增仪</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高速离心机</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pPr>
            <w:r>
              <w:rPr>
                <w:sz w:val="22"/>
                <w:b/>
              </w:rPr>
              <w:t>（</w:t>
            </w:r>
            <w:r>
              <w:rPr>
                <w:sz w:val="22"/>
                <w:b/>
              </w:rPr>
              <w:t>四</w:t>
            </w:r>
            <w:r>
              <w:rPr>
                <w:sz w:val="22"/>
                <w:b/>
              </w:rPr>
              <w:t>）</w:t>
            </w:r>
            <w:r>
              <w:rPr>
                <w:sz w:val="22"/>
                <w:b/>
              </w:rPr>
              <w:t>设备保修期和使用寿命</w:t>
            </w:r>
          </w:p>
          <w:p>
            <w:pPr>
              <w:pStyle w:val="null3"/>
            </w:pPr>
            <w:r>
              <w:rPr>
                <w:sz w:val="22"/>
                <w:b/>
              </w:rPr>
              <w:t>▲</w:t>
            </w:r>
            <w:r>
              <w:rPr>
                <w:sz w:val="22"/>
                <w:b/>
              </w:rPr>
              <w:t>1</w:t>
            </w:r>
            <w:r>
              <w:rPr>
                <w:sz w:val="22"/>
                <w:b/>
              </w:rPr>
              <w:t>.所投</w:t>
            </w:r>
            <w:r>
              <w:rPr>
                <w:sz w:val="22"/>
                <w:b/>
              </w:rPr>
              <w:t>设备的生产日期必须在交付日期前</w:t>
            </w:r>
            <w:r>
              <w:rPr>
                <w:sz w:val="22"/>
                <w:b/>
              </w:rPr>
              <w:t>6个月内，且整机使用寿命（自生产日期计）不少于</w:t>
            </w:r>
            <w:r>
              <w:rPr>
                <w:sz w:val="22"/>
                <w:b/>
              </w:rPr>
              <w:t>5</w:t>
            </w:r>
            <w:r>
              <w:rPr>
                <w:sz w:val="22"/>
                <w:b/>
              </w:rPr>
              <w:t>年（提供承诺函并加盖公章，格式详见</w:t>
            </w:r>
            <w:r>
              <w:rPr>
                <w:sz w:val="22"/>
                <w:b/>
              </w:rPr>
              <w:t>“第六章 投标文件格式与要求”格式十一.承诺函）。</w:t>
            </w:r>
          </w:p>
          <w:p>
            <w:pPr>
              <w:pStyle w:val="null3"/>
            </w:pPr>
            <w:r>
              <w:rPr>
                <w:sz w:val="22"/>
                <w:b/>
              </w:rPr>
              <w:t>▲</w:t>
            </w:r>
            <w:r>
              <w:rPr>
                <w:sz w:val="22"/>
                <w:b/>
              </w:rPr>
              <w:t>2</w:t>
            </w:r>
            <w:r>
              <w:rPr>
                <w:sz w:val="22"/>
                <w:b/>
              </w:rPr>
              <w:t>.全套</w:t>
            </w:r>
            <w:r>
              <w:rPr>
                <w:sz w:val="22"/>
                <w:b/>
              </w:rPr>
              <w:t>设备的保修期为本项目经采购人有关部门验收合格之日（以采购人记录的启用时间为准）起全保</w:t>
            </w:r>
            <w:r>
              <w:rPr>
                <w:sz w:val="22"/>
                <w:b/>
              </w:rPr>
              <w:t>≥</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采购包2（数字PCR检测系统）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★1.本采购包按总价报价。投标人的投标报价总价不得超出本采购包的预算金额：980,000.00元，否则视为无效投标处理。报价以人民币为货币单位。 ★2.投标人的报价应包括但不限于完成合同约定所需的人工费、差旅（交通、住宿）费、餐费、专家费、保险、管理费、接口费（含与医院现有LIS系统联网）、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5.设备使用全生命周期内需提供永久系统升级（包括拥有本项目所投设备的备件、专用设备和技术人员服务），产生的所有费用均包含在投标报价内，采购人不再额外支付费用。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中标供应商所提供设备须满足采购人现有LIS系统的对接要求，供应商应无条件、无偿配合完成与采购人LI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数字PCR检测系统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数字PCR检测系统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应用范围：将反应体系分成数万个独立单元，在独立微单元或微液滴中进行PCR扩增，根据阳性单元个数与比例得出靶分子起始拷贝数或浓度。主要应用领域有：拷贝数变异、稀有突变检测、基因相对表达研究、二代测序结果验证、微生物鉴定检出、二代测序靶向建库等。</w:t>
            </w:r>
          </w:p>
          <w:p>
            <w:pPr>
              <w:pStyle w:val="null3"/>
              <w:ind w:firstLine="220"/>
            </w:pPr>
            <w:r>
              <w:rPr>
                <w:sz w:val="22"/>
              </w:rPr>
              <w:t>2.一体机设计：仪器采用压力动力产生油包水微滴，微滴生成、扩增、检测过程一体化集成设计，全自动完成检测分析，无需外接任何外源性气源及空气压缩机。</w:t>
            </w:r>
          </w:p>
          <w:p>
            <w:pPr>
              <w:pStyle w:val="null3"/>
              <w:ind w:firstLine="220"/>
            </w:pPr>
            <w:r>
              <w:rPr>
                <w:sz w:val="22"/>
              </w:rPr>
              <w:t>3.单孔反应体系体积≥20µl。</w:t>
            </w:r>
          </w:p>
          <w:p>
            <w:pPr>
              <w:pStyle w:val="null3"/>
            </w:pPr>
            <w:r>
              <w:rPr>
                <w:sz w:val="22"/>
                <w:b/>
              </w:rPr>
              <w:t>▲4.可检测的荧光通道：≥5个荧光检测通道，包含但不限于FAM、VIC/HEX、ROX、CY5、CY5.5/Q705等常用检测通道。</w:t>
            </w:r>
          </w:p>
          <w:p>
            <w:pPr>
              <w:pStyle w:val="null3"/>
              <w:ind w:firstLine="220"/>
            </w:pPr>
            <w:r>
              <w:rPr>
                <w:sz w:val="22"/>
              </w:rPr>
              <w:t>5.可同时上样样本≥96个，设备运行中可随时添加来样，可实现样品随到随检。</w:t>
            </w:r>
          </w:p>
          <w:p>
            <w:pPr>
              <w:pStyle w:val="null3"/>
              <w:ind w:firstLine="220"/>
            </w:pPr>
            <w:r>
              <w:rPr>
                <w:sz w:val="22"/>
              </w:rPr>
              <w:t>6.仪器内设置有专用的废料存储盒，支持微滴样品回收功能，用于下游分析。</w:t>
            </w:r>
          </w:p>
          <w:p>
            <w:pPr>
              <w:pStyle w:val="null3"/>
            </w:pPr>
            <w:r>
              <w:rPr>
                <w:sz w:val="22"/>
                <w:b/>
              </w:rPr>
              <w:t>▲7.全流程全封闭体系设计，确保样本加样后不与芯片外部环境接触，确保 PCR 产物不流经仪器内部、不暴露在空气中，减少气溶胶污染。</w:t>
            </w:r>
          </w:p>
          <w:p>
            <w:pPr>
              <w:pStyle w:val="null3"/>
              <w:ind w:firstLine="220"/>
            </w:pPr>
            <w:r>
              <w:rPr>
                <w:sz w:val="22"/>
              </w:rPr>
              <w:t>8.检测仪控制分析软件：分析软件可同时对多批次数据自由组合分析，编辑公式对数据进行二次分析，可自动绘图；可预设检测项目及其判读标准，软件自动判读检测结果，并可根需要生成和打印医学检测报告，报告格式可定制。</w:t>
            </w:r>
          </w:p>
          <w:p>
            <w:pPr>
              <w:pStyle w:val="null3"/>
              <w:ind w:firstLine="220"/>
            </w:pPr>
            <w:r>
              <w:rPr>
                <w:sz w:val="22"/>
              </w:rPr>
              <w:t>9.有配套新冠、诺如、HIV、流感、结核、乙肝等试剂盒</w:t>
            </w:r>
            <w:r>
              <w:rPr>
                <w:sz w:val="22"/>
              </w:rPr>
              <w:t>。</w:t>
            </w:r>
          </w:p>
          <w:p>
            <w:pPr>
              <w:pStyle w:val="null3"/>
              <w:ind w:firstLine="220"/>
            </w:pPr>
            <w:r>
              <w:rPr>
                <w:sz w:val="22"/>
              </w:rPr>
              <w:t>10.配置清单（包括但不限于）</w:t>
            </w:r>
          </w:p>
          <w:tbl>
            <w:tblPr>
              <w:tblBorders>
                <w:top w:val="none" w:color="000000" w:sz="4"/>
                <w:left w:val="none" w:color="000000" w:sz="4"/>
                <w:bottom w:val="none" w:color="000000" w:sz="4"/>
                <w:right w:val="none" w:color="000000" w:sz="4"/>
                <w:insideH w:val="none"/>
                <w:insideV w:val="none"/>
              </w:tblBorders>
            </w:tblPr>
            <w:tblGrid>
              <w:gridCol w:w="676"/>
              <w:gridCol w:w="3736"/>
              <w:gridCol w:w="1171"/>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数量（单位）</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w:t>
                  </w:r>
                  <w:r>
                    <w:rPr>
                      <w:sz w:val="22"/>
                    </w:rPr>
                    <w:t>PCR</w:t>
                  </w:r>
                  <w:r>
                    <w:rPr>
                      <w:sz w:val="22"/>
                    </w:rPr>
                    <w:t>仪</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检测试剂等耗材（用于设备验收试机）</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若干，需满足验收工作需要</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pPr>
            <w:r>
              <w:rPr>
                <w:sz w:val="22"/>
                <w:b/>
              </w:rPr>
              <w:t>▲11.所投设备的生产日期必须在交付日期前6个月内，且整机使用寿命（自生产日期计）不少于8年（提供承诺函并加盖公章，格式详见“第六章 投标文件格式与要求”格式十一.承诺函）。</w:t>
            </w:r>
          </w:p>
          <w:p>
            <w:pPr>
              <w:pStyle w:val="null3"/>
            </w:pPr>
            <w:r>
              <w:rPr>
                <w:sz w:val="22"/>
                <w:b/>
              </w:rPr>
              <w:t>▲12.设备的保修期为本项目经采购人有关部门验收合格之日（以采购人记录的启用时间为准）起全保≥</w:t>
            </w:r>
            <w:r>
              <w:rPr>
                <w:sz w:val="22"/>
                <w:b/>
              </w:rPr>
              <w:t>5</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采购包3（全自动分枝杆菌阅片机）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★1.本采购包按总价报价。投标人的投标报价总价不得超出本采购包的预算金额：270,000.00元，否则视为无效投标处理。报价以人民币为货币单位。 ★2.投标人的报价应包括但不限于完成合同约定所需的人工费、差旅（交通、住宿）费、餐费、专家费、保险、管理费、税费、接口费（含与医院现有LIS系统联网）、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5.设备使用全生命周期内需提供永久系统升级（包括拥有本项目所投设备的备件、专用设备和技术人员服务），产生的所有费用均包含在投标报价内，采购人不再额外支付费用。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中标供应商所提供设备须满足采购人现有LIS系统的对接要求，供应商应无条件、无偿配合完成与采购人LI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全自动分枝杆菌阅片机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全自动分枝杆菌阅片机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1.设备用途：对人体样本涂片进行显微扫描，并对扫描图像进行结核分支杆菌识别，为临床结核病诊断辅助参考。</w:t>
            </w:r>
          </w:p>
          <w:p>
            <w:pPr>
              <w:pStyle w:val="null3"/>
              <w:ind w:firstLine="220"/>
            </w:pPr>
            <w:r>
              <w:rPr>
                <w:sz w:val="22"/>
              </w:rPr>
              <w:t>2.扫描方法：明场扫描或荧光扫描，扫描过程全自动，一次性加载玻片，一键开始或结束扫描，无需逐片点击停止扫描。</w:t>
            </w:r>
          </w:p>
          <w:p>
            <w:pPr>
              <w:pStyle w:val="null3"/>
              <w:ind w:firstLine="220"/>
            </w:pPr>
            <w:r>
              <w:rPr>
                <w:sz w:val="22"/>
              </w:rPr>
              <w:t>3.阴性～4+全类型样本扫描时间：明场扫描300个视野≤2分钟或荧光扫描≤1分钟，快扫模式下明场扫描300视野≤1分钟。</w:t>
            </w:r>
          </w:p>
          <w:p>
            <w:pPr>
              <w:pStyle w:val="null3"/>
              <w:ind w:firstLine="220"/>
            </w:pPr>
            <w:r>
              <w:rPr>
                <w:sz w:val="22"/>
              </w:rPr>
              <w:t>4.扫描通量：载玻片一次上机≥</w:t>
            </w:r>
            <w:r>
              <w:rPr>
                <w:sz w:val="22"/>
              </w:rPr>
              <w:t>8</w:t>
            </w:r>
            <w:r>
              <w:rPr>
                <w:sz w:val="22"/>
              </w:rPr>
              <w:t>0片。</w:t>
            </w:r>
          </w:p>
          <w:p>
            <w:pPr>
              <w:pStyle w:val="null3"/>
              <w:ind w:firstLine="220"/>
            </w:pPr>
            <w:r>
              <w:rPr>
                <w:sz w:val="22"/>
              </w:rPr>
              <w:t>5.可自动识别痰涂区域，具备图像标注、测量等处理功能，样本库具备扩展性，可扩展其他模块的样本扫描、标记、识别。</w:t>
            </w:r>
          </w:p>
          <w:p>
            <w:pPr>
              <w:pStyle w:val="null3"/>
            </w:pPr>
            <w:r>
              <w:rPr>
                <w:sz w:val="22"/>
                <w:b/>
              </w:rPr>
              <w:t>▲</w:t>
            </w:r>
            <w:r>
              <w:rPr>
                <w:sz w:val="22"/>
                <w:b/>
              </w:rPr>
              <w:t>6.</w:t>
            </w:r>
            <w:r>
              <w:rPr>
                <w:sz w:val="22"/>
                <w:b/>
              </w:rPr>
              <w:t>设备整机为国产医疗器械，专门针对结核分枝杆菌涂片筛查识别研发设计；设备搭载新型扫描光学系统，其中显微镜主体核心构件、专业物镜、高清成像相机等核心关键部件，均采用成熟优质组件，确保光学成像与智能识别的稳定性与精准度</w:t>
            </w:r>
            <w:r>
              <w:rPr>
                <w:sz w:val="22"/>
                <w:b/>
              </w:rPr>
              <w:t>。</w:t>
            </w:r>
          </w:p>
          <w:p>
            <w:pPr>
              <w:pStyle w:val="null3"/>
              <w:ind w:firstLine="220"/>
            </w:pPr>
            <w:r>
              <w:rPr>
                <w:sz w:val="22"/>
              </w:rPr>
              <w:t>7.每张玻片扫描结束后，</w:t>
            </w:r>
            <w:r>
              <w:rPr>
                <w:sz w:val="22"/>
              </w:rPr>
              <w:t>应</w:t>
            </w:r>
            <w:r>
              <w:rPr>
                <w:sz w:val="22"/>
              </w:rPr>
              <w:t>在显示器同屏显示扫描的所有视野图片和疑似图片，并拼接成完整的扫描区域</w:t>
            </w:r>
            <w:r>
              <w:rPr>
                <w:sz w:val="22"/>
              </w:rPr>
              <w:t>，</w:t>
            </w:r>
            <w:r>
              <w:rPr>
                <w:sz w:val="22"/>
              </w:rPr>
              <w:t>便于定位和目镜复核。</w:t>
            </w:r>
          </w:p>
          <w:p>
            <w:pPr>
              <w:pStyle w:val="null3"/>
              <w:ind w:firstLine="220"/>
            </w:pPr>
            <w:r>
              <w:rPr>
                <w:sz w:val="22"/>
              </w:rPr>
              <w:t>8.目标定位功能：可定位到任意目标物并在数码和目镜端进行审核，方便人工目镜复查。</w:t>
            </w:r>
          </w:p>
          <w:p>
            <w:pPr>
              <w:pStyle w:val="null3"/>
            </w:pPr>
            <w:r>
              <w:rPr>
                <w:sz w:val="22"/>
                <w:b/>
              </w:rPr>
              <w:t>▲</w:t>
            </w:r>
            <w:r>
              <w:rPr>
                <w:sz w:val="22"/>
                <w:b/>
              </w:rPr>
              <w:t>9.识别特性：通过图像识别技术进行样本分析，常规配置抗酸扫描模块，同时可以选配其他模块进行扫描、标记、识别。</w:t>
            </w:r>
          </w:p>
          <w:p>
            <w:pPr>
              <w:pStyle w:val="null3"/>
              <w:ind w:firstLine="220"/>
            </w:pPr>
            <w:r>
              <w:rPr>
                <w:sz w:val="22"/>
              </w:rPr>
              <w:t>10.采用高清相机组件，像素≥230万；保障图像清晰度和智能识别准确率。</w:t>
            </w:r>
          </w:p>
          <w:p>
            <w:pPr>
              <w:pStyle w:val="null3"/>
              <w:ind w:firstLine="220"/>
            </w:pPr>
            <w:r>
              <w:rPr>
                <w:sz w:val="22"/>
              </w:rPr>
              <w:t>11.样本预览功能：可对载玻片手写样本数字进行识别，可识别条码和二维码，可对样本区域进行预扫描。开始扫描前无需人工逐张玻片选择和点击确认扫描区域，一键自动扫描。</w:t>
            </w:r>
          </w:p>
          <w:p>
            <w:pPr>
              <w:pStyle w:val="null3"/>
              <w:ind w:firstLine="220"/>
            </w:pPr>
            <w:r>
              <w:rPr>
                <w:sz w:val="22"/>
              </w:rPr>
              <w:t>12.扫描仪工作站：处理器：I7≥八核；内存：≥8G。硬盘：≥2T。显示器：16:9；≥22寸；工作站外置，便于后期软件升级。</w:t>
            </w:r>
          </w:p>
          <w:p>
            <w:pPr>
              <w:pStyle w:val="null3"/>
              <w:ind w:firstLine="220"/>
            </w:pPr>
            <w:r>
              <w:rPr>
                <w:sz w:val="22"/>
              </w:rPr>
              <w:t>13.配置清单（包括但不限于）</w:t>
            </w:r>
          </w:p>
          <w:tbl>
            <w:tblPr>
              <w:tblBorders>
                <w:top w:val="none" w:color="000000" w:sz="4"/>
                <w:left w:val="none" w:color="000000" w:sz="4"/>
                <w:bottom w:val="none" w:color="000000" w:sz="4"/>
                <w:right w:val="none" w:color="000000" w:sz="4"/>
                <w:insideH w:val="none"/>
                <w:insideV w:val="none"/>
              </w:tblBorders>
            </w:tblPr>
            <w:tblGrid>
              <w:gridCol w:w="781"/>
              <w:gridCol w:w="3384"/>
              <w:gridCol w:w="1417"/>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配置名称</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数量（单位）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显微扫描仪</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染色机</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涂片</w:t>
                  </w:r>
                  <w:r>
                    <w:rPr>
                      <w:sz w:val="22"/>
                    </w:rPr>
                    <w:t>机</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配套耗材（用于设备验收试机）</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若干，需满足验收工作需要</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ind w:firstLine="220"/>
            </w:pPr>
            <w:r>
              <w:rPr>
                <w:sz w:val="22"/>
                <w:b/>
              </w:rPr>
              <w:t>▲14.所投设备的生产日期必须在交付日期前6个月内，且整机使用寿命（自生产日期计）不少于5年（提供承诺函并加盖公章，格式详见“第六章 投标文件格式与要求”格式十一.承诺函）。</w:t>
            </w:r>
          </w:p>
          <w:p>
            <w:pPr>
              <w:pStyle w:val="null3"/>
            </w:pPr>
            <w:r>
              <w:rPr>
                <w:sz w:val="22"/>
                <w:b/>
              </w:rPr>
              <w:t>▲15.设备的保修期为本项目经采购人有关部门验收合格之日（以采购人记录的启用时间为准）起全保≥</w:t>
            </w:r>
            <w:r>
              <w:rPr>
                <w:sz w:val="22"/>
                <w:b/>
              </w:rPr>
              <w:t>3</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采购包4（细菌分散计数仪）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★1.本采购包按总价报价。投标人的投标报价总价不得超出本采购包的预算金额：70,000.00元，否则视为无效投标处理。报价以人民币为货币单位。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5.设备使用全生命周期内需提供永久系统升级（包括拥有本项目所投设备的备件、专用设备和技术人员服务），产生的所有费用均包含在投标报价内，采购人不再额外支付费用。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细菌分散计数仪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细菌分散计数仪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w:t>
            </w:r>
            <w:r>
              <w:rPr>
                <w:sz w:val="22"/>
              </w:rPr>
              <w:t>设备用途</w:t>
            </w:r>
            <w:r>
              <w:rPr>
                <w:sz w:val="22"/>
              </w:rPr>
              <w:t>：</w:t>
            </w:r>
            <w:r>
              <w:rPr>
                <w:sz w:val="22"/>
              </w:rPr>
              <w:t>细菌分散及浊度测定，替换传统手工研磨、涡旋震荡分散等实验，实现固液分散和同步比浊，同时智能提供稀释到标准麦氏浊度菌悬液所需稀释体积的功能，是药敏实验等微生物检测前处理的重要工具。</w:t>
            </w:r>
          </w:p>
          <w:p>
            <w:pPr>
              <w:pStyle w:val="null3"/>
              <w:ind w:firstLine="220"/>
            </w:pPr>
            <w:r>
              <w:rPr>
                <w:sz w:val="22"/>
              </w:rPr>
              <w:t>2</w:t>
            </w:r>
            <w:r>
              <w:rPr>
                <w:sz w:val="22"/>
              </w:rPr>
              <w:t>.超声分散制备菌悬液，超声平均功率</w:t>
            </w:r>
            <w:r>
              <w:rPr>
                <w:sz w:val="22"/>
              </w:rPr>
              <w:t>为</w:t>
            </w:r>
            <w:r>
              <w:rPr>
                <w:sz w:val="22"/>
              </w:rPr>
              <w:t>20±2 W，在推荐操作时间内对细菌活性及耐药表型无影响。</w:t>
            </w:r>
          </w:p>
          <w:p>
            <w:pPr>
              <w:pStyle w:val="null3"/>
              <w:ind w:firstLine="220"/>
            </w:pPr>
            <w:r>
              <w:rPr>
                <w:sz w:val="22"/>
              </w:rPr>
              <w:t>3</w:t>
            </w:r>
            <w:r>
              <w:rPr>
                <w:sz w:val="22"/>
              </w:rPr>
              <w:t>.超声分散后可同步读取浊度参数。</w:t>
            </w:r>
          </w:p>
          <w:p>
            <w:pPr>
              <w:pStyle w:val="null3"/>
              <w:ind w:firstLine="220"/>
            </w:pPr>
            <w:r>
              <w:rPr>
                <w:sz w:val="22"/>
              </w:rPr>
              <w:t>4</w:t>
            </w:r>
            <w:r>
              <w:rPr>
                <w:sz w:val="22"/>
              </w:rPr>
              <w:t>.麦氏浊度检测线性范围：0.00</w:t>
            </w:r>
            <w:r>
              <w:rPr>
                <w:sz w:val="22"/>
              </w:rPr>
              <w:t>～</w:t>
            </w:r>
            <w:r>
              <w:rPr>
                <w:sz w:val="22"/>
              </w:rPr>
              <w:t>3.00MCF。</w:t>
            </w:r>
          </w:p>
          <w:p>
            <w:pPr>
              <w:pStyle w:val="null3"/>
            </w:pPr>
            <w:r>
              <w:rPr>
                <w:sz w:val="22"/>
                <w:b/>
              </w:rPr>
              <w:t>▲</w:t>
            </w:r>
            <w:r>
              <w:rPr>
                <w:sz w:val="22"/>
                <w:b/>
              </w:rPr>
              <w:t>5</w:t>
            </w:r>
            <w:r>
              <w:rPr>
                <w:sz w:val="22"/>
                <w:b/>
              </w:rPr>
              <w:t>.可自动换算稀释到目标浊度需要的稀释体积，目标麦氏浓度0.50</w:t>
            </w:r>
            <w:r>
              <w:rPr>
                <w:sz w:val="22"/>
                <w:b/>
              </w:rPr>
              <w:t>～</w:t>
            </w:r>
            <w:r>
              <w:rPr>
                <w:sz w:val="22"/>
                <w:b/>
              </w:rPr>
              <w:t>2.50MCF可设。试管内菌液体积1.50</w:t>
            </w:r>
            <w:r>
              <w:rPr>
                <w:sz w:val="22"/>
                <w:b/>
              </w:rPr>
              <w:t>～</w:t>
            </w:r>
            <w:r>
              <w:rPr>
                <w:sz w:val="22"/>
                <w:b/>
              </w:rPr>
              <w:t>2.00mL可设，步进</w:t>
            </w:r>
            <w:r>
              <w:rPr>
                <w:sz w:val="22"/>
                <w:b/>
              </w:rPr>
              <w:t>≥</w:t>
            </w:r>
            <w:r>
              <w:rPr>
                <w:sz w:val="22"/>
                <w:b/>
              </w:rPr>
              <w:t>0.01mL。</w:t>
            </w:r>
          </w:p>
          <w:p>
            <w:pPr>
              <w:pStyle w:val="null3"/>
              <w:ind w:firstLine="220"/>
            </w:pPr>
            <w:r>
              <w:rPr>
                <w:sz w:val="22"/>
              </w:rPr>
              <w:t>6</w:t>
            </w:r>
            <w:r>
              <w:rPr>
                <w:sz w:val="22"/>
              </w:rPr>
              <w:t>.配套提供细菌浊度标准管作为校正程序标准品，其保质期为自配制日期起12个月。</w:t>
            </w:r>
          </w:p>
          <w:p>
            <w:pPr>
              <w:pStyle w:val="null3"/>
              <w:ind w:firstLine="220"/>
            </w:pPr>
            <w:r>
              <w:rPr>
                <w:sz w:val="22"/>
              </w:rPr>
              <w:t>7</w:t>
            </w:r>
            <w:r>
              <w:rPr>
                <w:sz w:val="22"/>
              </w:rPr>
              <w:t>.浊度校正程序是0、0.5、1、2、3MCF，5点校正。</w:t>
            </w:r>
          </w:p>
          <w:p>
            <w:pPr>
              <w:pStyle w:val="null3"/>
              <w:ind w:firstLine="220"/>
            </w:pPr>
            <w:r>
              <w:rPr>
                <w:sz w:val="22"/>
              </w:rPr>
              <w:t>8</w:t>
            </w:r>
            <w:r>
              <w:rPr>
                <w:sz w:val="22"/>
              </w:rPr>
              <w:t>.超声分散运行总时间0</w:t>
            </w:r>
            <w:r>
              <w:rPr>
                <w:sz w:val="22"/>
              </w:rPr>
              <w:t>～</w:t>
            </w:r>
            <w:r>
              <w:rPr>
                <w:sz w:val="22"/>
              </w:rPr>
              <w:t>120 s可调，工作时间0</w:t>
            </w:r>
            <w:r>
              <w:rPr>
                <w:sz w:val="22"/>
              </w:rPr>
              <w:t>～</w:t>
            </w:r>
            <w:r>
              <w:rPr>
                <w:sz w:val="22"/>
              </w:rPr>
              <w:t>20s可设，间歇时间0</w:t>
            </w:r>
            <w:r>
              <w:rPr>
                <w:sz w:val="22"/>
              </w:rPr>
              <w:t>～</w:t>
            </w:r>
            <w:r>
              <w:rPr>
                <w:sz w:val="22"/>
              </w:rPr>
              <w:t>20s可设，步进</w:t>
            </w:r>
            <w:r>
              <w:rPr>
                <w:sz w:val="22"/>
                <w:b/>
              </w:rPr>
              <w:t>≥</w:t>
            </w:r>
            <w:r>
              <w:rPr>
                <w:sz w:val="22"/>
              </w:rPr>
              <w:t>1s。</w:t>
            </w:r>
          </w:p>
          <w:p>
            <w:pPr>
              <w:pStyle w:val="null3"/>
              <w:ind w:firstLine="220"/>
            </w:pPr>
            <w:r>
              <w:rPr>
                <w:sz w:val="22"/>
              </w:rPr>
              <w:t>9</w:t>
            </w:r>
            <w:r>
              <w:rPr>
                <w:sz w:val="22"/>
              </w:rPr>
              <w:t>.具备断电紧急开盖取液功能。</w:t>
            </w:r>
          </w:p>
          <w:p>
            <w:pPr>
              <w:pStyle w:val="null3"/>
              <w:ind w:firstLine="220"/>
            </w:pPr>
            <w:r>
              <w:rPr>
                <w:sz w:val="22"/>
              </w:rPr>
              <w:t>10</w:t>
            </w:r>
            <w:r>
              <w:rPr>
                <w:sz w:val="22"/>
              </w:rPr>
              <w:t>.可自动锁紧的上盖：超声过程中，仪器上盖锁紧，防止异常时菌液飞溅，起到生物安全防护的功能。</w:t>
            </w:r>
          </w:p>
          <w:p>
            <w:pPr>
              <w:pStyle w:val="null3"/>
              <w:ind w:firstLine="220"/>
            </w:pPr>
            <w:r>
              <w:rPr>
                <w:sz w:val="22"/>
              </w:rPr>
              <w:t>1</w:t>
            </w:r>
            <w:r>
              <w:rPr>
                <w:sz w:val="22"/>
              </w:rPr>
              <w:t>1</w:t>
            </w:r>
            <w:r>
              <w:rPr>
                <w:sz w:val="22"/>
              </w:rPr>
              <w:t>.超声换能器为损耗性部件，保质期与整机一致。</w:t>
            </w:r>
          </w:p>
          <w:p>
            <w:pPr>
              <w:pStyle w:val="null3"/>
              <w:ind w:firstLine="220"/>
            </w:pPr>
            <w:r>
              <w:rPr>
                <w:sz w:val="22"/>
              </w:rPr>
              <w:t>1</w:t>
            </w:r>
            <w:r>
              <w:rPr>
                <w:sz w:val="22"/>
              </w:rPr>
              <w:t>2</w:t>
            </w:r>
            <w:r>
              <w:rPr>
                <w:sz w:val="22"/>
              </w:rPr>
              <w:t>.配置清单（包括但不限于）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657"/>
              <w:gridCol w:w="3803"/>
              <w:gridCol w:w="1124"/>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数量（单位）</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细菌分散仪器</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pPr>
            <w:r>
              <w:rPr>
                <w:sz w:val="22"/>
                <w:b/>
              </w:rPr>
              <w:t>▲1</w:t>
            </w:r>
            <w:r>
              <w:rPr>
                <w:sz w:val="22"/>
                <w:b/>
              </w:rPr>
              <w:t>3</w:t>
            </w:r>
            <w:r>
              <w:rPr>
                <w:sz w:val="22"/>
                <w:b/>
              </w:rPr>
              <w:t>.所投设备的生产日期必须在交付日期前6个月内，且整机使用寿命（自生产日期计）不少于6年（提供承诺函并加盖公章，格式详见“第六章 投标文件格式与要求”格式十一.承诺函）。</w:t>
            </w:r>
          </w:p>
          <w:p>
            <w:pPr>
              <w:pStyle w:val="null3"/>
            </w:pPr>
            <w:r>
              <w:rPr>
                <w:sz w:val="22"/>
                <w:b/>
              </w:rPr>
              <w:t>▲1</w:t>
            </w:r>
            <w:r>
              <w:rPr>
                <w:sz w:val="22"/>
                <w:b/>
              </w:rPr>
              <w:t>4</w:t>
            </w:r>
            <w:r>
              <w:rPr>
                <w:sz w:val="22"/>
                <w:b/>
              </w:rPr>
              <w:t>.设备的保修期为本项目经采购人有关部门验收合格之日（以采购人记录的启用时间为准）起全保≥2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采购包5（光谱治疗仪）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★1.本采购包按总价报价。投标人的投标报价总价不得超出本采购包的预算金额：120000.00元，否则视为无效投标处理。报价以人民币为货币单位。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5.设备使用全生命周期内需提供永久系统升级（包括拥有本项目所投设备的备件、专用设备和技术人员服务），产生的所有费用均包含在投标报价内，采购人不再额外支付费用。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光谱治疗仪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光谱治疗仪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1.光源：LED</w:t>
            </w:r>
          </w:p>
          <w:p>
            <w:pPr>
              <w:pStyle w:val="null3"/>
              <w:ind w:firstLine="220"/>
            </w:pPr>
            <w:r>
              <w:rPr>
                <w:sz w:val="22"/>
              </w:rPr>
              <w:t>2.光源类型：设备须同时具有（红蓝黄光）和（单红光）。</w:t>
            </w:r>
          </w:p>
          <w:p>
            <w:pPr>
              <w:pStyle w:val="null3"/>
              <w:ind w:firstLine="220"/>
            </w:pPr>
            <w:r>
              <w:rPr>
                <w:sz w:val="22"/>
              </w:rPr>
              <w:t>3.辐照面积：点阵光源：≥500mm×</w:t>
            </w:r>
            <w:r>
              <w:rPr>
                <w:sz w:val="22"/>
              </w:rPr>
              <w:t>28</w:t>
            </w:r>
            <w:r>
              <w:rPr>
                <w:sz w:val="22"/>
              </w:rPr>
              <w:t>0mm；单红光源：≥Φ90mm。</w:t>
            </w:r>
          </w:p>
          <w:p>
            <w:pPr>
              <w:pStyle w:val="null3"/>
            </w:pPr>
            <w:r>
              <w:rPr>
                <w:sz w:val="22"/>
                <w:b/>
              </w:rPr>
              <w:t>▲</w:t>
            </w:r>
            <w:r>
              <w:rPr>
                <w:sz w:val="22"/>
                <w:b/>
              </w:rPr>
              <w:t>4.波长:633±10nm；417±20nm；590±10nm。</w:t>
            </w:r>
          </w:p>
          <w:p>
            <w:pPr>
              <w:pStyle w:val="null3"/>
              <w:ind w:firstLine="220"/>
            </w:pPr>
            <w:r>
              <w:rPr>
                <w:sz w:val="22"/>
              </w:rPr>
              <w:t>5.升降高度调节范围≥300mm，抬升动力系统配置≥180°。</w:t>
            </w:r>
          </w:p>
          <w:p>
            <w:pPr>
              <w:pStyle w:val="null3"/>
              <w:ind w:firstLine="220"/>
            </w:pPr>
            <w:r>
              <w:rPr>
                <w:sz w:val="22"/>
              </w:rPr>
              <w:t>6.照射方式：≥2种，至少包括连续模式和调制模式。</w:t>
            </w:r>
          </w:p>
          <w:p>
            <w:pPr>
              <w:pStyle w:val="null3"/>
              <w:ind w:firstLine="220"/>
            </w:pPr>
            <w:r>
              <w:rPr>
                <w:sz w:val="22"/>
              </w:rPr>
              <w:t>7.调制宽度及间隔：0.1s</w:t>
            </w:r>
            <w:r>
              <w:rPr>
                <w:sz w:val="22"/>
              </w:rPr>
              <w:t>～</w:t>
            </w:r>
            <w:r>
              <w:rPr>
                <w:sz w:val="22"/>
              </w:rPr>
              <w:t>2s之间可调。</w:t>
            </w:r>
          </w:p>
          <w:p>
            <w:pPr>
              <w:pStyle w:val="null3"/>
              <w:ind w:firstLine="220"/>
            </w:pPr>
            <w:r>
              <w:rPr>
                <w:sz w:val="22"/>
              </w:rPr>
              <w:t>8.调制频率：0.25Hz</w:t>
            </w:r>
            <w:r>
              <w:rPr>
                <w:sz w:val="22"/>
              </w:rPr>
              <w:t>～</w:t>
            </w:r>
            <w:r>
              <w:rPr>
                <w:sz w:val="22"/>
              </w:rPr>
              <w:t>5Hz之间可调。</w:t>
            </w:r>
          </w:p>
          <w:p>
            <w:pPr>
              <w:pStyle w:val="null3"/>
            </w:pPr>
            <w:r>
              <w:rPr>
                <w:sz w:val="22"/>
                <w:b/>
              </w:rPr>
              <w:t>▲</w:t>
            </w:r>
            <w:r>
              <w:rPr>
                <w:sz w:val="22"/>
                <w:b/>
              </w:rPr>
              <w:t>9.点阵光源最大有效辐照度：红光：≥110mW/cm</w:t>
            </w:r>
            <w:r>
              <w:rPr>
                <w:sz w:val="22"/>
                <w:b/>
              </w:rPr>
              <w:t>²</w:t>
            </w:r>
            <w:r>
              <w:rPr>
                <w:sz w:val="22"/>
                <w:b/>
              </w:rPr>
              <w:t>,蓝光：≥170 mW /cm</w:t>
            </w:r>
            <w:r>
              <w:rPr>
                <w:sz w:val="22"/>
                <w:b/>
              </w:rPr>
              <w:t>²</w:t>
            </w:r>
            <w:r>
              <w:rPr>
                <w:sz w:val="22"/>
                <w:b/>
              </w:rPr>
              <w:t>；黄光：</w:t>
            </w:r>
            <w:r>
              <w:rPr>
                <w:sz w:val="22"/>
                <w:b/>
              </w:rPr>
              <w:t>≥25 mW/cm</w:t>
            </w:r>
            <w:r>
              <w:rPr>
                <w:sz w:val="22"/>
                <w:b/>
              </w:rPr>
              <w:t>²</w:t>
            </w:r>
            <w:r>
              <w:rPr>
                <w:sz w:val="22"/>
                <w:b/>
              </w:rPr>
              <w:t>,单红光：≥110mW/cm</w:t>
            </w:r>
            <w:r>
              <w:rPr>
                <w:sz w:val="22"/>
                <w:b/>
              </w:rPr>
              <w:t>²</w:t>
            </w:r>
            <w:r>
              <w:rPr>
                <w:sz w:val="22"/>
                <w:b/>
              </w:rPr>
              <w:t>。</w:t>
            </w:r>
          </w:p>
          <w:p>
            <w:pPr>
              <w:pStyle w:val="null3"/>
              <w:ind w:firstLine="220"/>
            </w:pPr>
            <w:r>
              <w:rPr>
                <w:sz w:val="22"/>
              </w:rPr>
              <w:t>10.点阵光源：≥5页光源模块，每页可自由选择开关。</w:t>
            </w:r>
          </w:p>
          <w:p>
            <w:pPr>
              <w:pStyle w:val="null3"/>
              <w:ind w:firstLine="220"/>
            </w:pPr>
            <w:r>
              <w:rPr>
                <w:sz w:val="22"/>
              </w:rPr>
              <w:t>11.屏幕：≥8寸液晶触摸屏。</w:t>
            </w:r>
          </w:p>
          <w:p>
            <w:pPr>
              <w:pStyle w:val="null3"/>
            </w:pPr>
            <w:r>
              <w:rPr>
                <w:sz w:val="22"/>
                <w:b/>
              </w:rPr>
              <w:t>▲</w:t>
            </w:r>
            <w:r>
              <w:rPr>
                <w:sz w:val="22"/>
                <w:b/>
              </w:rPr>
              <w:t>12.具有≥2种光源同时照射模式，光源辐照度大小10%～100%之间可调。</w:t>
            </w:r>
          </w:p>
          <w:p>
            <w:pPr>
              <w:pStyle w:val="null3"/>
              <w:ind w:firstLine="220"/>
            </w:pPr>
            <w:r>
              <w:rPr>
                <w:sz w:val="22"/>
              </w:rPr>
              <w:t>13.辐照时间：控制范围：1～90min59s之间连续可调。</w:t>
            </w:r>
          </w:p>
          <w:p>
            <w:pPr>
              <w:pStyle w:val="null3"/>
              <w:ind w:firstLine="220"/>
            </w:pPr>
            <w:r>
              <w:rPr>
                <w:sz w:val="22"/>
              </w:rPr>
              <w:t>14.预设方案快捷键：≥5个。</w:t>
            </w:r>
          </w:p>
          <w:p>
            <w:pPr>
              <w:pStyle w:val="null3"/>
              <w:ind w:firstLine="220"/>
            </w:pPr>
            <w:r>
              <w:rPr>
                <w:sz w:val="22"/>
              </w:rPr>
              <w:t>15.具有故障报警功能、开机自检功能、体表温度监测开关功能等。</w:t>
            </w:r>
          </w:p>
          <w:p>
            <w:pPr>
              <w:pStyle w:val="null3"/>
              <w:ind w:firstLine="220"/>
            </w:pPr>
            <w:r>
              <w:rPr>
                <w:sz w:val="22"/>
              </w:rPr>
              <w:t>16.冷却系统：风冷。</w:t>
            </w:r>
          </w:p>
          <w:p>
            <w:pPr>
              <w:pStyle w:val="null3"/>
              <w:ind w:firstLine="220"/>
            </w:pPr>
            <w:r>
              <w:rPr>
                <w:sz w:val="22"/>
              </w:rPr>
              <w:t>17.系统语言：支持中英文界面切换。</w:t>
            </w:r>
          </w:p>
          <w:p>
            <w:pPr>
              <w:pStyle w:val="null3"/>
              <w:ind w:firstLine="220"/>
            </w:pPr>
            <w:r>
              <w:rPr>
                <w:sz w:val="22"/>
              </w:rPr>
              <w:t>18.配置清单（包括但不限于）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789"/>
              <w:gridCol w:w="3155"/>
              <w:gridCol w:w="1654"/>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单位（数量）</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光谱治疗仪</w:t>
                  </w:r>
                </w:p>
              </w:tc>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ind w:firstLine="220"/>
            </w:pPr>
            <w:r>
              <w:rPr>
                <w:sz w:val="22"/>
                <w:b/>
              </w:rPr>
              <w:t>▲1</w:t>
            </w:r>
            <w:r>
              <w:rPr>
                <w:sz w:val="22"/>
                <w:b/>
              </w:rPr>
              <w:t>9</w:t>
            </w:r>
            <w:r>
              <w:rPr>
                <w:sz w:val="22"/>
                <w:b/>
              </w:rPr>
              <w:t>.所投设备的生产日期必须在交付日期前6个月内，且整机使用寿命（自生产日期计）不少于</w:t>
            </w:r>
            <w:r>
              <w:rPr>
                <w:sz w:val="22"/>
                <w:b/>
              </w:rPr>
              <w:t>10</w:t>
            </w:r>
            <w:r>
              <w:rPr>
                <w:sz w:val="22"/>
                <w:b/>
              </w:rPr>
              <w:t>年（提供承诺函并加盖公章，格式详见</w:t>
            </w:r>
            <w:r>
              <w:rPr>
                <w:sz w:val="22"/>
                <w:b/>
              </w:rPr>
              <w:t>“第六章 投标文件格式与要求”格式十一.承诺函）。</w:t>
            </w:r>
          </w:p>
          <w:p>
            <w:pPr>
              <w:pStyle w:val="null3"/>
            </w:pPr>
            <w:r>
              <w:rPr>
                <w:sz w:val="22"/>
                <w:b/>
              </w:rPr>
              <w:t>▲</w:t>
            </w:r>
            <w:r>
              <w:rPr>
                <w:sz w:val="22"/>
                <w:b/>
              </w:rPr>
              <w:t>20</w:t>
            </w:r>
            <w:r>
              <w:rPr>
                <w:sz w:val="22"/>
                <w:b/>
              </w:rPr>
              <w:t>.设备的保修期为本项目经采购人有关部门验收合格之日（以采购人记录的启用时间为准）起全保≥</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各采购包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采购包1(高通量测序平台)：综合评分法,是指投标文件满足招标文件全部实质性要求，且按照评审因素的量化指标评审得分最高的投标人为中标候选人的评标方法。（最低报价不是中标的唯一依据。）</w:t>
      </w:r>
    </w:p>
    <w:p>
      <w:pPr>
        <w:pStyle w:val="null3"/>
      </w:pPr>
      <w:r>
        <w:rPr/>
        <w:t>采购包2(数字PCR检测系统)：综合评分法,是指投标文件满足招标文件全部实质性要求，且按照评审因素的量化指标评审得分最高的投标人为中标候选人的评标方法。（最低报价不是中标的唯一依据。）</w:t>
      </w:r>
    </w:p>
    <w:p>
      <w:pPr>
        <w:pStyle w:val="null3"/>
      </w:pPr>
      <w:r>
        <w:rPr/>
        <w:t>采购包3(全自动分枝杆菌阅片机)：综合评分法,是指投标文件满足招标文件全部实质性要求，且按照评审因素的量化指标评审得分最高的投标人为中标候选人的评标方法。（最低报价不是中标的唯一依据。）</w:t>
      </w:r>
    </w:p>
    <w:p>
      <w:pPr>
        <w:pStyle w:val="null3"/>
      </w:pPr>
      <w:r>
        <w:rPr/>
        <w:t>采购包4(细菌分散计数仪)：综合评分法,是指投标文件满足招标文件全部实质性要求，且按照评审因素的量化指标评审得分最高的投标人为中标候选人的评标方法。（最低报价不是中标的唯一依据。）</w:t>
      </w:r>
    </w:p>
    <w:p>
      <w:pPr>
        <w:pStyle w:val="null3"/>
      </w:pPr>
      <w:r>
        <w:rPr/>
        <w:t>采购包5(光谱治疗仪)：综合评分法,是指投标文件满足招标文件全部实质性要求，且按照评审因素的量化指标评审得分最高的投标人为中标候选人的评标方法。（最低报价不是中标的唯一依据。）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采购包1（高通量测序平台）：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采购包2（数字PCR检测系统）：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采购包3（全自动分枝杆菌阅片机）：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采购包4（细菌分散计数仪）：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采购包5（光谱治疗仪）：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采购包1（高通量测序平台）：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特殊主体要求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采购包2（数字PCR检测系统）：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特殊主体要求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采购包3（全自动分枝杆菌阅片机）：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特殊主体要求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采购包4（细菌分散计数仪）：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特殊主体要求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采购包5（光谱治疗仪）：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特殊主体要求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采购包1（高通量测序平台）：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采购包2（数字PCR检测系统）：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采购包3（全自动分枝杆菌阅片机）：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采购包4（细菌分散计数仪）：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采购包5（光谱治疗仪）：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采购包1(高通量测序平台):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(17.0分)</w:t>
            </w:r>
          </w:p>
        </w:tc>
        <w:tc>
          <w:tcPr>
            <w:tcW w:type="dxa" w:w="5076"/>
          </w:tcPr>
          <w:p>
            <w:pPr>
              <w:pStyle w:val="null3"/>
              <w:jc w:val="left"/>
            </w:pPr>
            <w:r>
              <w:rPr/>
              <w:t>考核投标人对招标文件第二章《采购需求》中采购包1“附表一”的具体技术（参数）要求（★号条款除外）”中所有条款的响应程度（每条条款最小一级序号均以一项计算）： 1.完全响应技术要求的，得17分； 2.本采购包“▲”条款参数共9条。按量化指标，评审分数按以下公式进行计算：优于或完全响应的参数数量/参数总数量*9分=“▲”条款参数得分；本小项共9分（计算得分按四舍五入保留2位小数）； 3.本采购包一般条款参数共42条。按量化指标，评审分数按以下公式进行计算：优于或完全响应的参数数量/参数总数量*8分=非“▲”条款参数得分。本小项共8分（计算得分按四舍五入保留2位小数）。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(12.0分)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1.提供的方案包含评审要求的全部内容，有专门针对本项目包装、运输、安装、产品检测的方案，条理非常清晰，脉络分明，培训计划操作性强，得12分； 2.提供的方案包含评审要求的全部内容，有专门针对本项目包装、运输、安装、产品检测的方案，条理基本清晰，脉络较分明，培训计划操作性较强，得6.5分；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配套耗材和试剂清单，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内容简易，配套耗材和试剂清单有缺漏或不够明确，缺乏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（一）考核投标人对招标文件第二章《采购需求》中采购包1中“主要商务条款”的所有条款（★号条款、“标的提供的时间”除外）的响应程度（每条条款最小一级序号均以一项计算）：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考核投标人对招标文件第二章《采购需求》中采购包1中“主要商务条款”的“标的提供的时间”条款的响应程度（每条条款最小一级序号均以一项计算）：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采购包2(数字PCR检测系统):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考核投标人对招标文件第二章《采购需求》中采购包2“附表一”的具体技术（参数）要求（★号条款除外）”中所有条款的响应程度（每条条款最小一级序号均以一项计算）： 1.完全响应技术要求的，得15分； 2.本采购包“▲”条款参数共4条。按量化指标，评审分数按以下公式进行计算：优于或完全响应的参数数量/参数总数量*8分=“▲”条款参数得分；本小项共8分（计算得分按四舍五入保留2位小数）； 3.本采购包一般条款参数共11条。按量化指标，评审分数按以下公式进行计算：优于或完全响应的参数数量/参数总数量*7分=非“▲”条款参数得分。本小项共7分（计算得分按四舍五入保留2位小数）。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配套耗材和试剂清单，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内容简易，配套耗材和试剂清单有缺漏或不够明确，缺乏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（一）考核投标人对招标文件第二章《采购需求》中采购包2中“主要商务条款”的所有条款（★号条款、“标的提供的时间”除外）的响应程度（每条条款最小一级序号均以一项计算）：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考核投标人对招标文件第二章《采购需求》中采购包2中“主要商务条款”的“标的提供的时间”条款的响应程度（每条条款最小一级序号均以一项计算）：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采购包3(全自动分枝杆菌阅片机):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考核投标人对招标文件第二章《采购需求》中采购包3“附表一”的具体技术（参数）要求（★号条款除外）”中所有条款的响应程度（每条条款最小一级序号均以一项计算）： 1.完全响应技术要求的，得15分； 2.本采购包“▲”条款参数共4条。按量化指标，评审分数按以下公式进行计算：优于或完全响应的参数数量/参数总数量*8分=“▲”条款参数得分；本小项共8分（计算得分按四舍五入保留2位小数）； 3.本采购包一般条款参数共16条。按量化指标，评审分数按以下公式进行计算：优于或完全响应的参数数量/参数总数量*7分=非“▲”条款参数得分。本小项共7分（计算得分按四舍五入保留2位小数）。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(15.0分)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1.提供的方案包含评审要求的全部内容，有专门针对本项目包装、运输、安装、产品检测的方案，条理非常清晰，脉络分明，培训计划操作性强，得15分； 2.提供的方案包含评审要求的全部内容，有专门针对本项目包装、运输、安装、产品检测的方案，条理基本清晰，脉络较分明，培训计划操作性较强，得8分；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(15.0分)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15分。 2.提供的方案包含评审要求的全部内容，具备较为明确的配套耗材和试剂清单，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分。 3.提供的方案内容简易，配套耗材和试剂清单有缺漏或不够明确，缺乏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（一）考核投标人对招标文件第二章《采购需求》中采购包3中“主要商务条款”的所有条款（★号条款、“标的提供的时间”除外）的响应程度（每条条款最小一级序号均以一项计算）：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考核投标人对招标文件第二章《采购需求》中采购包3中“主要商务条款”的“标的提供的时间”条款的响应程度（每条条款最小一级序号均以一项计算）：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采购包4(细菌分散计数仪):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考核投标人对招标文件第二章《采购需求》中采购包4“附表一”的具体技术（参数）要求（★号条款除外）”中所有条款的响应程度（每条条款最小一级序号均以一项计算）： 1.完全响应技术要求的，得15分； 2.本采购包“▲”条款参数共3条。按量化指标，评审分数按以下公式进行计算：优于或完全响应的参数数量/参数总数量*6分=“▲”条款参数得分；本小项共6分（计算得分按四舍五入保留2位小数）； 3.本采购包一般条款参数共13条。按量化指标，评审分数按以下公式进行计算：优于或完全响应的参数数量/参数总数量*9分=非“▲”条款参数得分。本小项共9分（计算得分按四舍五入保留2位小数）。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(13.0分)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1.提供的方案包含评审要求的全部内容，有专门针对本项目包装、运输、安装、产品检测的方案，条理非常清晰，脉络分明，培训计划操作性强，得13分； 2.提供的方案包含评审要求的全部内容，有专门针对本项目包装、运输、安装、产品检测的方案，条理基本清晰，脉络较分明，培训计划操作性较强，得7分；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(17.0分)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17分。 2.提供的方案包含评审要求的全部内容，具备较为明确的配套耗材和试剂清单，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9分。 3.提供的方案内容简易，配套耗材和试剂清单有缺漏或不够明确，缺乏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（一）考核投标人对招标文件第二章《采购需求》中采购包4中“主要商务条款”的所有条款（★号条款、“标的提供的时间”除外）的响应程度（每条条款最小一级序号均以一项计算）：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考核投标人对招标文件第二章《采购需求》中采购包4中“主要商务条款”的“标的提供的时间”条款的响应程度（每条条款最小一级序号均以一项计算）：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采购包5(光谱治疗仪):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考核投标人对招标文件第二章《采购需求》中采购包5“附表一”的具体技术（参数）要求（★号条款除外）”中所有条款的响应程度（每条条款最小一级序号均以一项计算）：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3.本采购包一般条款参数共17条。按量化指标，评审分数按以下公式进行计算：优于或完全响应的参数数量/参数总数量*5分=非“▲”条款参数得分。本小项共5分（计算得分按四舍五入保留2位小数）。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根据项目采购需求情况，评标委员会对投标人拟提供的设备的运营、维护、升级方案等进行评审，内容包括但不限于：①易损备件方案；②设备使用年限；③设备维保方案；④服务响应时间、服务承诺。 1.提供的方案包含评审要求的全部内容，具备明确的易损备件清单，易损备件报价合理、成本可控，手具数量充足、手具可使用次数高、更换频次性价比高；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易损备件清单，易损备件报价较为合理、成本较为可控，手具数量较为充足、手具可使用次数较高、更换频次性价比较高；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内容简易，易损备件清单有缺漏或不够明确，易损备件报价无法满足项目需求、成本不可控，手具数量较为缺乏、手具可使用次数较低、更换频次性价比较低；设备使用年限承诺不够明确或缺失，全生命周期性价比较差；维保费用报价无法满足项目需求，未列明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（一）考核投标人对招标文件第二章《采购需求》中采购包5中“主要商务条款”的所有条款（★号条款、“标的提供的时间”除外）的响应程度（每条条款最小一级序号均以一项计算）：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考核投标人对招标文件第二章《采购需求》中采购包5中“主要商务条款”的“标的提供的时间”条款的响应程度（每条条款最小一级序号均以一项计算）：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采购包4：</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采购包5：</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jc w:val="center"/>
      </w:pPr>
      <w:r>
        <w:rPr>
          <w:sz w:val="44"/>
          <w:b/>
        </w:rPr>
        <w:t>中山市第二人民医院设备采购项目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合同书</w:t>
      </w:r>
    </w:p>
    <w:p>
      <w:pPr>
        <w:pStyle w:val="null3"/>
        <w:jc w:val="center"/>
      </w:pPr>
      <w:r>
        <w:rPr>
          <w:b/>
        </w:rPr>
        <w:t xml:space="preserve">  </w:t>
      </w:r>
    </w:p>
    <w:p>
      <w:pPr>
        <w:pStyle w:val="null3"/>
        <w:jc w:val="both"/>
      </w:pPr>
      <w:r>
        <w:rPr/>
        <w:t xml:space="preserve"> </w:t>
      </w:r>
    </w:p>
    <w:p>
      <w:pPr>
        <w:pStyle w:val="null3"/>
        <w:jc w:val="center"/>
      </w:pPr>
      <w:r>
        <w:rPr>
          <w:sz w:val="18"/>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2570"/>
        <w:jc w:val="center"/>
      </w:pPr>
      <w:r>
        <w:rPr>
          <w:sz w:val="32"/>
          <w:b/>
        </w:rPr>
        <w:t>院内采购</w:t>
      </w:r>
      <w:r>
        <w:rPr>
          <w:sz w:val="32"/>
          <w:b/>
        </w:rPr>
        <w:t xml:space="preserve">□      院外采购 □   </w:t>
      </w:r>
    </w:p>
    <w:p>
      <w:pPr>
        <w:pStyle w:val="null3"/>
        <w:jc w:val="center"/>
      </w:pPr>
      <w:r>
        <w:rPr>
          <w:sz w:val="28"/>
          <w:b/>
        </w:rPr>
        <w:t>项目名称：</w:t>
      </w:r>
      <w:r>
        <w:rPr>
          <w:sz w:val="28"/>
          <w:b/>
          <w:u w:val="single"/>
        </w:rPr>
        <w:t>中山市第二人民医院</w:t>
      </w:r>
      <w:r>
        <w:rPr>
          <w:sz w:val="28"/>
          <w:b/>
          <w:u w:val="single"/>
        </w:rPr>
        <w:t xml:space="preserve">              </w:t>
      </w:r>
      <w:r>
        <w:rPr>
          <w:sz w:val="28"/>
          <w:b/>
          <w:u w:val="single"/>
        </w:rPr>
        <w:t>项目</w:t>
      </w:r>
    </w:p>
    <w:p>
      <w:pPr>
        <w:pStyle w:val="null3"/>
        <w:ind w:firstLine="1124"/>
        <w:jc w:val="center"/>
      </w:pPr>
      <w:r>
        <w:rPr>
          <w:sz w:val="28"/>
          <w:b/>
        </w:rPr>
        <w:t>合同编号：</w:t>
      </w:r>
      <w:r>
        <w:rPr>
          <w:b/>
          <w:u w:val="single"/>
        </w:rPr>
        <w:t xml:space="preserve">                                     </w:t>
      </w:r>
    </w:p>
    <w:p>
      <w:pPr>
        <w:pStyle w:val="null3"/>
        <w:ind w:firstLine="1124"/>
        <w:jc w:val="center"/>
      </w:pPr>
      <w:r>
        <w:rPr>
          <w:sz w:val="28"/>
          <w:b/>
        </w:rPr>
        <w:t>签约地点：</w:t>
      </w:r>
      <w:r>
        <w:rPr>
          <w:sz w:val="28"/>
          <w:b/>
          <w:u w:val="single"/>
        </w:rPr>
        <w:t>中山市第二人民医院</w:t>
      </w:r>
      <w:r>
        <w:rPr>
          <w:sz w:val="28"/>
          <w:b/>
          <w:u w:val="single"/>
        </w:rPr>
        <w:t xml:space="preserve">  </w:t>
      </w:r>
    </w:p>
    <w:p>
      <w:pPr>
        <w:pStyle w:val="null3"/>
        <w:ind w:firstLine="422"/>
        <w:jc w:val="left"/>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sz w:val="24"/>
          <w:b/>
        </w:rPr>
        <w:t>甲方：中山市第二人民医院</w:t>
      </w:r>
      <w:r>
        <w:rPr>
          <w:sz w:val="24"/>
          <w:b/>
        </w:rPr>
        <w:t xml:space="preserve">    </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361"/>
        <w:jc w:val="both"/>
      </w:pPr>
      <w:r>
        <w:rPr>
          <w:sz w:val="24"/>
          <w:b/>
        </w:rPr>
        <w:t>乙方：</w:t>
      </w:r>
      <w:r>
        <w:rPr>
          <w:sz w:val="24"/>
          <w:b/>
        </w:rPr>
        <w:t>______________________</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480"/>
        <w:jc w:val="left"/>
      </w:pPr>
      <w:r>
        <w:rPr>
          <w:sz w:val="24"/>
        </w:rPr>
        <w:t>根据中山市第二人民医院</w:t>
      </w:r>
      <w:r>
        <w:rPr>
          <w:sz w:val="24"/>
        </w:rPr>
        <w:t>____________________</w:t>
      </w:r>
      <w:r>
        <w:rPr>
          <w:sz w:val="24"/>
        </w:rPr>
        <w:t>采购项目</w:t>
      </w:r>
      <w:r>
        <w:rPr>
          <w:sz w:val="24"/>
        </w:rPr>
        <w:t>(</w:t>
      </w:r>
      <w:r>
        <w:rPr>
          <w:sz w:val="24"/>
        </w:rPr>
        <w:t>采购代理编号：</w:t>
      </w:r>
      <w:r>
        <w:rPr>
          <w:sz w:val="24"/>
        </w:rPr>
        <w:t>______________)</w:t>
      </w:r>
      <w:r>
        <w:rPr>
          <w:sz w:val="24"/>
        </w:rPr>
        <w:t>的</w:t>
      </w:r>
      <w:r>
        <w:rPr>
          <w:sz w:val="24"/>
          <w:b/>
        </w:rPr>
        <w:t>院外招标</w:t>
      </w:r>
      <w:r>
        <w:rPr>
          <w:sz w:val="24"/>
          <w:b/>
        </w:rPr>
        <w:t>□院内成交□</w:t>
      </w:r>
      <w:r>
        <w:rPr>
          <w:sz w:val="24"/>
        </w:rPr>
        <w:t>结果，按照《中华人民共和国政府采购法》及其实施条例、《中华人民共和国民法典》的规定，中山市第二人民医院（以下简称甲方）与</w:t>
      </w:r>
      <w:r>
        <w:rPr>
          <w:sz w:val="24"/>
        </w:rPr>
        <w:t>____________</w:t>
      </w:r>
      <w:r>
        <w:rPr>
          <w:sz w:val="24"/>
        </w:rPr>
        <w:t>（以下简称乙方）就乙方向甲方提供的设备和服务，经甲乙双方协商一致，签订本合同，共同遵守如下条款：</w:t>
      </w:r>
    </w:p>
    <w:p>
      <w:pPr>
        <w:pStyle w:val="null3"/>
        <w:ind w:firstLine="482"/>
        <w:jc w:val="both"/>
      </w:pPr>
      <w:r>
        <w:rPr>
          <w:sz w:val="24"/>
          <w:b/>
        </w:rPr>
        <w:t>一、合同标的：采购清单</w:t>
      </w:r>
    </w:p>
    <w:tbl>
      <w:tblPr>
        <w:tblW w:w="0" w:type="auto"/>
        <w:tblBorders>
          <w:top w:val="none" w:color="000000" w:sz="4"/>
          <w:left w:val="none" w:color="000000" w:sz="4"/>
          <w:bottom w:val="none" w:color="000000" w:sz="4"/>
          <w:right w:val="none" w:color="000000" w:sz="4"/>
          <w:insideH w:val="none"/>
          <w:insideV w:val="none"/>
        </w:tblBorders>
      </w:tblPr>
      <w:tblGrid>
        <w:gridCol w:w="733"/>
        <w:gridCol w:w="977"/>
        <w:gridCol w:w="1160"/>
        <w:gridCol w:w="1160"/>
        <w:gridCol w:w="763"/>
        <w:gridCol w:w="763"/>
        <w:gridCol w:w="1084"/>
        <w:gridCol w:w="992"/>
        <w:gridCol w:w="672"/>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w:t>
            </w:r>
          </w:p>
          <w:p>
            <w:pPr>
              <w:pStyle w:val="null3"/>
              <w:jc w:val="center"/>
            </w:pPr>
            <w:r>
              <w:rPr>
                <w:sz w:val="18"/>
                <w:b/>
              </w:rPr>
              <w:t>（进口产品必填）</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总额（元）</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总计</w:t>
            </w:r>
          </w:p>
        </w:tc>
        <w:tc>
          <w:tcPr>
            <w:tcW w:type="dxa" w:w="757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人民币（大写）：</w:t>
            </w:r>
            <w:r>
              <w:rPr>
                <w:sz w:val="24"/>
                <w:b/>
              </w:rPr>
              <w:t xml:space="preserve">   </w:t>
            </w:r>
            <w:r>
              <w:rPr>
                <w:sz w:val="24"/>
                <w:b/>
              </w:rPr>
              <w:t>佰</w:t>
            </w:r>
            <w:r>
              <w:rPr>
                <w:sz w:val="24"/>
                <w:b/>
              </w:rPr>
              <w:t xml:space="preserve">   </w:t>
            </w:r>
            <w:r>
              <w:rPr>
                <w:sz w:val="24"/>
                <w:b/>
              </w:rPr>
              <w:t>拾</w:t>
            </w:r>
            <w:r>
              <w:rPr>
                <w:sz w:val="24"/>
                <w:b/>
              </w:rPr>
              <w:t xml:space="preserve">   </w:t>
            </w:r>
            <w:r>
              <w:rPr>
                <w:sz w:val="24"/>
                <w:b/>
              </w:rPr>
              <w:t>万</w:t>
            </w:r>
            <w:r>
              <w:rPr>
                <w:sz w:val="24"/>
                <w:b/>
              </w:rPr>
              <w:t xml:space="preserve">   </w:t>
            </w:r>
            <w:r>
              <w:rPr>
                <w:sz w:val="24"/>
                <w:b/>
              </w:rPr>
              <w:t>仟</w:t>
            </w:r>
            <w:r>
              <w:rPr>
                <w:sz w:val="24"/>
                <w:b/>
              </w:rPr>
              <w:t xml:space="preserve">   </w:t>
            </w:r>
            <w:r>
              <w:rPr>
                <w:sz w:val="24"/>
                <w:b/>
              </w:rPr>
              <w:t>佰</w:t>
            </w:r>
            <w:r>
              <w:rPr>
                <w:sz w:val="24"/>
                <w:b/>
              </w:rPr>
              <w:t xml:space="preserve">  </w:t>
            </w:r>
            <w:r>
              <w:rPr>
                <w:sz w:val="24"/>
                <w:b/>
              </w:rPr>
              <w:t>拾</w:t>
            </w:r>
            <w:r>
              <w:rPr>
                <w:sz w:val="24"/>
                <w:b/>
              </w:rPr>
              <w:t xml:space="preserve">  </w:t>
            </w:r>
            <w:r>
              <w:rPr>
                <w:sz w:val="24"/>
                <w:b/>
              </w:rPr>
              <w:t>元整（￥</w:t>
            </w:r>
            <w:r>
              <w:rPr>
                <w:sz w:val="24"/>
                <w:b/>
              </w:rPr>
              <w:t xml:space="preserve">  </w:t>
            </w:r>
            <w:r>
              <w:rPr>
                <w:sz w:val="24"/>
                <w:b/>
              </w:rPr>
              <w:t>, .00</w:t>
            </w:r>
            <w:r>
              <w:rPr>
                <w:sz w:val="24"/>
                <w:b/>
              </w:rPr>
              <w:t>元）</w:t>
            </w:r>
          </w:p>
        </w:tc>
      </w:tr>
    </w:tbl>
    <w:p>
      <w:pPr>
        <w:pStyle w:val="null3"/>
        <w:ind w:firstLine="480"/>
        <w:jc w:val="both"/>
      </w:pPr>
      <w:r>
        <w:rPr>
          <w:sz w:val="24"/>
        </w:rPr>
        <w:t>上述《采购清单》（以下统称货物）详细配置参数详见合同附件，该附件与本合同一经签订具有同等法律效力。</w:t>
      </w:r>
    </w:p>
    <w:p>
      <w:pPr>
        <w:pStyle w:val="null3"/>
        <w:jc w:val="both"/>
      </w:pPr>
      <w:r>
        <w:rPr>
          <w:sz w:val="24"/>
          <w:b/>
        </w:rPr>
        <w:t>二、合同总价</w:t>
      </w:r>
    </w:p>
    <w:p>
      <w:pPr>
        <w:pStyle w:val="null3"/>
        <w:ind w:firstLine="480"/>
        <w:jc w:val="both"/>
      </w:pPr>
      <w:r>
        <w:rPr>
          <w:sz w:val="24"/>
        </w:rPr>
        <w:t>本项目总价</w:t>
      </w:r>
      <w:r>
        <w:rPr>
          <w:sz w:val="24"/>
        </w:rPr>
        <w:t>(</w:t>
      </w:r>
      <w:r>
        <w:rPr>
          <w:sz w:val="24"/>
        </w:rPr>
        <w:t>含税</w:t>
      </w:r>
      <w:r>
        <w:rPr>
          <w:sz w:val="24"/>
        </w:rPr>
        <w:t>)</w:t>
      </w:r>
      <w:r>
        <w:rPr>
          <w:sz w:val="24"/>
        </w:rPr>
        <w:t>为人民币（大写）：</w:t>
      </w:r>
      <w:r>
        <w:rPr>
          <w:sz w:val="24"/>
          <w:b/>
          <w:u w:val="single"/>
        </w:rPr>
        <w:t xml:space="preserve">    </w:t>
      </w:r>
      <w:r>
        <w:rPr>
          <w:sz w:val="24"/>
          <w:b/>
          <w:u w:val="single"/>
        </w:rPr>
        <w:t>元整（</w:t>
      </w:r>
      <w:r>
        <w:rPr>
          <w:sz w:val="24"/>
          <w:b/>
        </w:rPr>
        <w:t>小写：</w:t>
      </w:r>
      <w:r>
        <w:rPr>
          <w:sz w:val="24"/>
          <w:b/>
          <w:u w:val="single"/>
        </w:rPr>
        <w:t>￥</w:t>
      </w:r>
      <w:r>
        <w:rPr>
          <w:sz w:val="24"/>
          <w:b/>
          <w:u w:val="single"/>
        </w:rPr>
        <w:t xml:space="preserve">      </w:t>
      </w:r>
      <w:r>
        <w:rPr>
          <w:sz w:val="24"/>
          <w:b/>
          <w:u w:val="single"/>
        </w:rPr>
        <w:t>元）</w:t>
      </w:r>
      <w:r>
        <w:rPr>
          <w:sz w:val="24"/>
        </w:rPr>
        <w:t>，税率为</w:t>
      </w:r>
      <w:r>
        <w:rPr>
          <w:u w:val="single"/>
        </w:rPr>
        <w:t xml:space="preserve">   </w:t>
      </w:r>
      <w:r>
        <w:rPr>
          <w:sz w:val="24"/>
        </w:rPr>
        <w:t>%</w:t>
      </w:r>
      <w:r>
        <w:rPr>
          <w:sz w:val="24"/>
        </w:rPr>
        <w:t>，税金为</w:t>
      </w:r>
      <w:r>
        <w:rPr>
          <w:u w:val="single"/>
        </w:rPr>
        <w:t xml:space="preserve">   </w:t>
      </w:r>
      <w:r>
        <w:rPr>
          <w:sz w:val="24"/>
        </w:rPr>
        <w:t>元，不含税价为</w:t>
      </w:r>
      <w:r>
        <w:rPr>
          <w:u w:val="single"/>
        </w:rPr>
        <w:t xml:space="preserve">   </w:t>
      </w:r>
      <w:r>
        <w:rPr>
          <w:sz w:val="24"/>
        </w:rPr>
        <w:t>元。该货物总金额是该项目产品、包装、检验、相关附件、运输、装卸、搬运、安装调试、试运行、工具、零配件、验收、资料、税费、技术支持、培训费、质保期内维护费用等的所有含税费用。</w:t>
      </w:r>
    </w:p>
    <w:p>
      <w:pPr>
        <w:pStyle w:val="null3"/>
        <w:ind w:firstLine="480"/>
        <w:jc w:val="both"/>
      </w:pPr>
      <w:r>
        <w:rPr>
          <w:sz w:val="24"/>
        </w:rPr>
        <w:t>本合同执行期间合同总金额不变。未经甲方书面同意，乙方不得就本合同的履行另行收取其他费用。</w:t>
      </w:r>
    </w:p>
    <w:p>
      <w:pPr>
        <w:pStyle w:val="null3"/>
        <w:ind w:firstLine="482"/>
        <w:jc w:val="both"/>
      </w:pPr>
      <w:r>
        <w:rPr>
          <w:sz w:val="24"/>
          <w:b/>
        </w:rPr>
        <w:t>三、设备质量要求及其随附证明文件</w:t>
      </w:r>
    </w:p>
    <w:p>
      <w:pPr>
        <w:pStyle w:val="null3"/>
        <w:ind w:firstLine="480"/>
        <w:jc w:val="both"/>
      </w:pPr>
      <w:r>
        <w:rPr>
          <w:sz w:val="24"/>
        </w:rPr>
        <w:t>（一）设备为原制造商制造的全新产品，未经使用过的，质量可靠，完全符合合同规定的型号、规格、材质质量要求，符合国家同类级别产品的性能质量要求，并应按合同规定的规格提供产品的配套内容，产品生产时间与甲方收到产品时间之间的间隔不得超过壹年。整机无污染，无侵犯知识产权行为，无任何质量缺陷，表面无划损，在中国境内可依常规安全合法使用。</w:t>
      </w:r>
    </w:p>
    <w:p>
      <w:pPr>
        <w:pStyle w:val="null3"/>
        <w:ind w:firstLine="480"/>
        <w:jc w:val="both"/>
      </w:pPr>
      <w:r>
        <w:rPr>
          <w:sz w:val="24"/>
        </w:rPr>
        <w:t>（二）货物质量、交付及验收标准依次序适用标准为：</w:t>
      </w:r>
      <w:r>
        <w:rPr>
          <w:sz w:val="24"/>
        </w:rPr>
        <w:t>①中华人民共和国产品质量技术规范的强制性要求、国家标准、环保标准。适用时须获得国家强制性产品认证，取得相关证书并加施认证标志。适用时可结合行业标准；②招标文件和响应承诺中甲方认可的合理最佳配置、参数及各项要求；③原产地官方标准。</w:t>
      </w:r>
    </w:p>
    <w:p>
      <w:pPr>
        <w:pStyle w:val="null3"/>
        <w:ind w:firstLine="480"/>
        <w:jc w:val="both"/>
      </w:pPr>
      <w:r>
        <w:rPr>
          <w:sz w:val="24"/>
        </w:rPr>
        <w:t>（三）货物需符合投标文件及本合同附件中的相关要求。乙方投标时所提供的设备如在实际供货时已经废型（不列入该厂家当时的产品系统），应按原价提供性能与原设备同等级或更高配置的设备。</w:t>
      </w:r>
    </w:p>
    <w:p>
      <w:pPr>
        <w:pStyle w:val="null3"/>
        <w:ind w:firstLine="480"/>
        <w:jc w:val="both"/>
      </w:pPr>
      <w:r>
        <w:rPr>
          <w:sz w:val="24"/>
        </w:rPr>
        <w:t>（四）货物如是进口设备，乙方须向甲方提供该货物的中国海关通关许可文件的复印件，同时提供原件给甲方核验。适用时须获得国家强制性产品认证。</w:t>
      </w:r>
    </w:p>
    <w:p>
      <w:pPr>
        <w:pStyle w:val="null3"/>
        <w:ind w:firstLine="480"/>
        <w:jc w:val="both"/>
      </w:pPr>
      <w:r>
        <w:rPr>
          <w:sz w:val="24"/>
        </w:rPr>
        <w:t>（五）乙方应将关键设备的用户手册、保修手册、有关单证资料及配备件、随机工具等在设备交付时一并交付给甲方，使用操作及安全须知等重要资料应附有中文说明。乙方还需根据成交设备具体情况，提供包括但不仅限于以下内容：</w:t>
      </w:r>
    </w:p>
    <w:p>
      <w:pPr>
        <w:pStyle w:val="null3"/>
        <w:ind w:firstLine="480"/>
        <w:jc w:val="both"/>
      </w:pPr>
      <w:r>
        <w:rPr>
          <w:sz w:val="24"/>
        </w:rPr>
        <w:t>1.</w:t>
      </w:r>
      <w:r>
        <w:rPr>
          <w:sz w:val="24"/>
        </w:rPr>
        <w:t>专用工具：提供一套维修所需的专用工具及其清单。</w:t>
      </w:r>
    </w:p>
    <w:p>
      <w:pPr>
        <w:pStyle w:val="null3"/>
        <w:ind w:firstLine="480"/>
        <w:jc w:val="both"/>
      </w:pPr>
      <w:r>
        <w:rPr>
          <w:sz w:val="24"/>
        </w:rPr>
        <w:t>2.</w:t>
      </w:r>
      <w:r>
        <w:rPr>
          <w:sz w:val="24"/>
        </w:rPr>
        <w:t>提供所有耗材的注册证等相关材料。</w:t>
      </w:r>
    </w:p>
    <w:p>
      <w:pPr>
        <w:pStyle w:val="null3"/>
        <w:ind w:firstLine="480"/>
        <w:jc w:val="both"/>
      </w:pPr>
      <w:r>
        <w:rPr>
          <w:sz w:val="24"/>
        </w:rPr>
        <w:t>3.</w:t>
      </w:r>
      <w:r>
        <w:rPr>
          <w:sz w:val="24"/>
        </w:rPr>
        <w:t>与设备相关的其他有必要提供的资料等。</w:t>
      </w:r>
    </w:p>
    <w:p>
      <w:pPr>
        <w:pStyle w:val="null3"/>
        <w:jc w:val="both"/>
      </w:pP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w:t>
      </w:r>
      <w:r>
        <w:rPr>
          <w:sz w:val="24"/>
        </w:rPr>
        <w:t>）配合、监督乙方开展上述服务；</w:t>
      </w:r>
    </w:p>
    <w:p>
      <w:pPr>
        <w:pStyle w:val="null3"/>
        <w:ind w:firstLine="480"/>
        <w:jc w:val="both"/>
      </w:pPr>
      <w:r>
        <w:rPr>
          <w:sz w:val="24"/>
        </w:rPr>
        <w:t>（</w:t>
      </w:r>
      <w:r>
        <w:rPr>
          <w:sz w:val="24"/>
        </w:rPr>
        <w:t>2</w:t>
      </w:r>
      <w:r>
        <w:rPr>
          <w:sz w:val="24"/>
        </w:rPr>
        <w:t>）按约定及时向乙方支付费用；</w:t>
      </w:r>
    </w:p>
    <w:p>
      <w:pPr>
        <w:pStyle w:val="null3"/>
        <w:ind w:firstLine="480"/>
        <w:jc w:val="both"/>
      </w:pPr>
      <w:r>
        <w:rPr>
          <w:sz w:val="24"/>
        </w:rPr>
        <w:t>（</w:t>
      </w:r>
      <w:r>
        <w:rPr>
          <w:sz w:val="24"/>
        </w:rPr>
        <w:t>3</w:t>
      </w:r>
      <w:r>
        <w:rPr>
          <w:sz w:val="24"/>
        </w:rPr>
        <w:t>）遵守国家法律法规，不得要求乙方虚开发票，不得向乙方索要“好处”、“礼品”等；</w:t>
      </w:r>
    </w:p>
    <w:p>
      <w:pPr>
        <w:pStyle w:val="null3"/>
        <w:ind w:firstLine="480"/>
        <w:jc w:val="both"/>
      </w:pPr>
      <w:r>
        <w:rPr>
          <w:sz w:val="24"/>
        </w:rPr>
        <w:t>（</w:t>
      </w:r>
      <w:r>
        <w:rPr>
          <w:sz w:val="24"/>
        </w:rPr>
        <w:t>4</w:t>
      </w:r>
      <w:r>
        <w:rPr>
          <w:sz w:val="24"/>
        </w:rPr>
        <w:t>）对乙方未按合同约定履约在验收报告中注明违约情形和事项，并应及时通知医院相关部门。违反相关法规的向相关行政执法部门举报；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w:t>
      </w:r>
      <w:r>
        <w:rPr>
          <w:sz w:val="24"/>
        </w:rPr>
        <w:t>）其他法律法规规定应尽的义务。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w:t>
      </w:r>
      <w:r>
        <w:rPr>
          <w:sz w:val="24"/>
        </w:rPr>
        <w:t>）严格按采购文件要求与响应文件承诺的质量及服务执行，保质、保量、按时完成履约。</w:t>
      </w:r>
    </w:p>
    <w:p>
      <w:pPr>
        <w:pStyle w:val="null3"/>
        <w:ind w:firstLine="480"/>
        <w:jc w:val="both"/>
      </w:pPr>
      <w:r>
        <w:rPr>
          <w:sz w:val="24"/>
        </w:rPr>
        <w:t>（</w:t>
      </w:r>
      <w:r>
        <w:rPr>
          <w:sz w:val="24"/>
        </w:rPr>
        <w:t>2</w:t>
      </w:r>
      <w:r>
        <w:rPr>
          <w:sz w:val="24"/>
        </w:rPr>
        <w:t>）不得将合同权利义务全部或部分转让给第三人。</w:t>
      </w:r>
    </w:p>
    <w:p>
      <w:pPr>
        <w:pStyle w:val="null3"/>
        <w:ind w:firstLine="480"/>
        <w:jc w:val="both"/>
      </w:pPr>
      <w:r>
        <w:rPr>
          <w:sz w:val="24"/>
        </w:rPr>
        <w:t>（</w:t>
      </w:r>
      <w:r>
        <w:rPr>
          <w:sz w:val="24"/>
        </w:rPr>
        <w:t>3</w:t>
      </w:r>
      <w:r>
        <w:rPr>
          <w:sz w:val="24"/>
        </w:rPr>
        <w:t>）服务期间，对乙方所指派的人员的安全负责，应采取安全措施，确保人员、材料、设备和设施等的安全，防止合同履行到期前的人身伤害和财产损失，应对其履行合同所雇佣的全包人员的工伤事故承担责任。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w:t>
      </w:r>
      <w:r>
        <w:rPr>
          <w:sz w:val="24"/>
        </w:rPr>
        <w:t>）遵守职业道德和行业规范，不得进行送礼、报销费用等一切不正当竞争行为和商业贿赂行为。</w:t>
      </w:r>
    </w:p>
    <w:p>
      <w:pPr>
        <w:pStyle w:val="null3"/>
        <w:ind w:firstLine="482"/>
        <w:jc w:val="both"/>
      </w:pPr>
      <w:r>
        <w:rPr>
          <w:sz w:val="24"/>
          <w:b/>
        </w:rPr>
        <w:t>五、货物送达要求</w:t>
      </w:r>
    </w:p>
    <w:p>
      <w:pPr>
        <w:pStyle w:val="null3"/>
        <w:ind w:firstLine="400"/>
        <w:jc w:val="both"/>
      </w:pPr>
      <w:r>
        <w:rPr>
          <w:sz w:val="24"/>
        </w:rPr>
        <w:t>（一）送达时间：合同签订日起</w:t>
      </w:r>
      <w:r>
        <w:rPr>
          <w:sz w:val="24"/>
        </w:rPr>
        <w:t>_____</w:t>
      </w:r>
      <w:r>
        <w:rPr>
          <w:sz w:val="24"/>
        </w:rPr>
        <w:t>天内乙方将设备送到甲方指定的地点，乙方应在货物运抵现场一周前，向甲方提供安装调试及运行的进度计划表。在甲方满足乙方进场实施的条件下，乙方在到货之日起</w:t>
      </w:r>
      <w:r>
        <w:rPr>
          <w:sz w:val="24"/>
        </w:rPr>
        <w:t>5</w:t>
      </w:r>
      <w:r>
        <w:rPr>
          <w:sz w:val="24"/>
        </w:rPr>
        <w:t>天（或由项目归口管理科室和使用科室结合实际自行确定具体时间）内安装、调试完毕，并经试运行期满且验收合格后交付使用。</w:t>
      </w:r>
    </w:p>
    <w:p>
      <w:pPr>
        <w:pStyle w:val="null3"/>
        <w:ind w:firstLine="400"/>
        <w:jc w:val="both"/>
      </w:pPr>
      <w:r>
        <w:rPr>
          <w:sz w:val="24"/>
        </w:rPr>
        <w:t>（二）设备为原厂商未启封全新包装，具出厂合格证，序列号、包装箱号与出厂批号一致，并可追索查阅。所有随设备的附件必须齐全。</w:t>
      </w:r>
    </w:p>
    <w:p>
      <w:pPr>
        <w:pStyle w:val="null3"/>
        <w:ind w:firstLine="360"/>
        <w:jc w:val="both"/>
      </w:pPr>
      <w:r>
        <w:rPr>
          <w:sz w:val="24"/>
        </w:rPr>
        <w:t>（三）双方协定：货物验收合格之日为货物交付使用之日。</w:t>
      </w:r>
    </w:p>
    <w:p>
      <w:pPr>
        <w:pStyle w:val="null3"/>
        <w:ind w:firstLine="360"/>
        <w:jc w:val="both"/>
      </w:pPr>
      <w:r>
        <w:rPr>
          <w:sz w:val="24"/>
        </w:rPr>
        <w:t>（四）乙方未能满足本条要求的，视为乙方违约，乙方应承担违约责任。</w:t>
      </w:r>
    </w:p>
    <w:p>
      <w:pPr>
        <w:pStyle w:val="null3"/>
        <w:ind w:firstLine="360"/>
        <w:jc w:val="both"/>
      </w:pPr>
      <w:r>
        <w:rPr>
          <w:sz w:val="24"/>
        </w:rPr>
        <w:t>（五）负责连接院内</w:t>
      </w:r>
      <w:r>
        <w:rPr>
          <w:sz w:val="24"/>
        </w:rPr>
        <w:t>_____</w:t>
      </w:r>
      <w:r>
        <w:rPr>
          <w:sz w:val="24"/>
        </w:rPr>
        <w:t>系统的所有工作及费用。</w:t>
      </w:r>
    </w:p>
    <w:p>
      <w:pPr>
        <w:pStyle w:val="null3"/>
        <w:ind w:firstLine="360"/>
        <w:jc w:val="both"/>
      </w:pPr>
      <w:r>
        <w:rPr>
          <w:sz w:val="24"/>
        </w:rPr>
        <w:t>（六）本合同的履行地点为：甲方所在地中山市第二人民医院的指定地点。</w:t>
      </w:r>
    </w:p>
    <w:p>
      <w:pPr>
        <w:pStyle w:val="null3"/>
        <w:ind w:firstLine="361"/>
        <w:jc w:val="both"/>
      </w:pPr>
      <w:r>
        <w:rPr>
          <w:sz w:val="24"/>
          <w:b/>
        </w:rPr>
        <w:t>六、安装与调试</w:t>
      </w:r>
    </w:p>
    <w:p>
      <w:pPr>
        <w:pStyle w:val="null3"/>
        <w:ind w:left="285" w:firstLine="192"/>
        <w:jc w:val="both"/>
      </w:pPr>
      <w:r>
        <w:rPr>
          <w:sz w:val="24"/>
        </w:rPr>
        <w:t>（一）安装调试：所有产品送抵甲方指定地点后，乙方承担安装调试。</w:t>
      </w:r>
    </w:p>
    <w:p>
      <w:pPr>
        <w:pStyle w:val="null3"/>
        <w:ind w:firstLine="475"/>
        <w:jc w:val="both"/>
      </w:pPr>
      <w:r>
        <w:rPr>
          <w:sz w:val="24"/>
        </w:rPr>
        <w:t>（二）产品测试：产品安装调试完成后，由甲方进行产品操作测试，乙方给予充分的配合。</w:t>
      </w:r>
    </w:p>
    <w:p>
      <w:pPr>
        <w:pStyle w:val="null3"/>
        <w:ind w:firstLine="475"/>
        <w:jc w:val="both"/>
      </w:pPr>
      <w:r>
        <w:rPr>
          <w:sz w:val="24"/>
        </w:rPr>
        <w:t>（三）乙方必须依照招标文件的要求和投标文件的承诺，将设备、系统安装并调试至正常运行的最佳状态，试运行期为</w:t>
      </w:r>
      <w:r>
        <w:rPr>
          <w:u w:val="single"/>
        </w:rPr>
        <w:t xml:space="preserve">   </w:t>
      </w:r>
      <w:r>
        <w:rPr>
          <w:sz w:val="24"/>
        </w:rPr>
        <w:t>日。</w:t>
      </w:r>
    </w:p>
    <w:p>
      <w:pPr>
        <w:pStyle w:val="null3"/>
        <w:ind w:firstLine="475"/>
        <w:jc w:val="both"/>
      </w:pPr>
      <w:r>
        <w:rPr>
          <w:sz w:val="24"/>
        </w:rPr>
        <w:t>（四）乙方安装时须对各安装场地内的其它货物、设施有良好保护措施，保持场地或周围环境清洁。</w:t>
      </w:r>
    </w:p>
    <w:p>
      <w:pPr>
        <w:pStyle w:val="null3"/>
        <w:ind w:firstLine="482"/>
        <w:jc w:val="both"/>
      </w:pPr>
      <w:r>
        <w:rPr>
          <w:sz w:val="24"/>
          <w:b/>
        </w:rPr>
        <w:t>七、验收</w:t>
      </w:r>
    </w:p>
    <w:p>
      <w:pPr>
        <w:pStyle w:val="null3"/>
        <w:ind w:firstLine="480"/>
        <w:jc w:val="both"/>
      </w:pPr>
      <w:r>
        <w:rPr>
          <w:sz w:val="24"/>
        </w:rPr>
        <w:t>（一）项目验收：产品安装测试合格后</w:t>
      </w:r>
      <w:r>
        <w:rPr>
          <w:sz w:val="24"/>
        </w:rPr>
        <w:t>5</w:t>
      </w:r>
      <w:r>
        <w:rPr>
          <w:sz w:val="24"/>
        </w:rPr>
        <w:t>个工作日内甲方组织验收小组进行验收，验收合格后，甲乙双方签署验收报告；甲方无正当理由在验收期内不对设备进行验收，视为验收合格；如果乙方没有按甲方安排的时间进行相关工作，甲方有权在相应的付款时间段推迟付款，直至乙方完成此时间段的工作。</w:t>
      </w:r>
    </w:p>
    <w:p>
      <w:pPr>
        <w:pStyle w:val="null3"/>
        <w:ind w:firstLine="480"/>
        <w:jc w:val="both"/>
      </w:pPr>
      <w:r>
        <w:rPr>
          <w:sz w:val="24"/>
        </w:rPr>
        <w:t>（二）验收标准：甲方组成验收小组，依照本合同的约定以及第三条</w:t>
      </w:r>
      <w:r>
        <w:rPr>
          <w:sz w:val="24"/>
        </w:rPr>
        <w:t>“设备质量要求及其随附证明文件”规定的内容、规定的验收要求及程序进行验收，必要时邀请相关的专业人员或机构参与验收。</w:t>
      </w:r>
    </w:p>
    <w:p>
      <w:pPr>
        <w:pStyle w:val="null3"/>
        <w:ind w:firstLine="480"/>
        <w:jc w:val="both"/>
      </w:pPr>
      <w:r>
        <w:rPr>
          <w:sz w:val="24"/>
        </w:rPr>
        <w:t>（三）甲方有权要求乙方提供进口设备的报关单、许可文件、产品认证文件及检验检疫证明（如有适用）。</w:t>
      </w:r>
    </w:p>
    <w:p>
      <w:pPr>
        <w:pStyle w:val="null3"/>
        <w:ind w:firstLine="480"/>
        <w:jc w:val="both"/>
      </w:pPr>
      <w:r>
        <w:rPr>
          <w:sz w:val="24"/>
        </w:rPr>
        <w:t>（四）乙方应将关键设备的用户手册、保修手册、有关单证资料及配备件、随机工具等交付给甲方，使用操作及安全须知等重要资料应附有中文说明。</w:t>
      </w:r>
    </w:p>
    <w:p>
      <w:pPr>
        <w:pStyle w:val="null3"/>
        <w:ind w:firstLine="480"/>
        <w:jc w:val="both"/>
      </w:pPr>
      <w:r>
        <w:rPr>
          <w:sz w:val="24"/>
        </w:rPr>
        <w:t>（五）保质期内如发生质量问题争议时，须由具备资质的检测机构进行检测、鉴定。属于乙方责任的，由乙方承担检测、鉴定费。否则由甲方承担。</w:t>
      </w:r>
    </w:p>
    <w:p>
      <w:pPr>
        <w:pStyle w:val="null3"/>
        <w:ind w:firstLine="480"/>
        <w:jc w:val="both"/>
      </w:pPr>
      <w:r>
        <w:rPr>
          <w:sz w:val="24"/>
        </w:rPr>
        <w:t>（六）验收以双方签字确认的样板为验收标准。如验收货物时，发现乙方所交付的合同货物有次品、损坏或与双方签字确认的样板不一致，甲方有权拒收货物，乙方要在</w:t>
      </w:r>
      <w:r>
        <w:rPr>
          <w:u w:val="single"/>
        </w:rPr>
        <w:t xml:space="preserve">   </w:t>
      </w:r>
      <w:r>
        <w:rPr>
          <w:sz w:val="24"/>
        </w:rPr>
        <w:t>日内更换符合合同要求的货物，由此产生的有关费用由乙方承担。</w:t>
      </w:r>
    </w:p>
    <w:p>
      <w:pPr>
        <w:pStyle w:val="null3"/>
        <w:ind w:firstLine="361"/>
        <w:jc w:val="both"/>
      </w:pPr>
      <w:r>
        <w:rPr>
          <w:sz w:val="24"/>
          <w:b/>
        </w:rPr>
        <w:t>八、付款方式</w:t>
      </w:r>
    </w:p>
    <w:p>
      <w:pPr>
        <w:pStyle w:val="null3"/>
        <w:ind w:firstLine="361"/>
        <w:jc w:val="both"/>
      </w:pPr>
      <w:r>
        <w:rPr>
          <w:sz w:val="24"/>
        </w:rPr>
        <w:t>（一）银行转账方式支付。</w:t>
      </w:r>
    </w:p>
    <w:p>
      <w:pPr>
        <w:pStyle w:val="null3"/>
        <w:ind w:firstLine="361"/>
        <w:jc w:val="both"/>
      </w:pPr>
      <w:r>
        <w:rPr>
          <w:sz w:val="24"/>
        </w:rPr>
        <w:t>（</w:t>
      </w:r>
      <w:r>
        <w:rPr>
          <w:sz w:val="24"/>
        </w:rPr>
        <w:t>1</w:t>
      </w:r>
      <w:r>
        <w:rPr>
          <w:sz w:val="24"/>
        </w:rPr>
        <w:t>）合同签订后，甲方支付合同款项的</w:t>
      </w:r>
      <w:r>
        <w:rPr>
          <w:sz w:val="24"/>
        </w:rPr>
        <w:t>30%</w:t>
      </w:r>
      <w:r>
        <w:rPr>
          <w:sz w:val="24"/>
        </w:rPr>
        <w:t>。</w:t>
      </w:r>
    </w:p>
    <w:p>
      <w:pPr>
        <w:pStyle w:val="null3"/>
        <w:ind w:firstLine="361"/>
        <w:jc w:val="both"/>
      </w:pPr>
      <w:r>
        <w:rPr>
          <w:sz w:val="24"/>
        </w:rPr>
        <w:t>（</w:t>
      </w:r>
      <w:r>
        <w:rPr>
          <w:sz w:val="24"/>
        </w:rPr>
        <w:t>2</w:t>
      </w:r>
      <w:r>
        <w:rPr>
          <w:sz w:val="24"/>
        </w:rPr>
        <w:t>）合同设备安装调试、培训完成、试运行</w:t>
      </w:r>
      <w:r>
        <w:rPr>
          <w:sz w:val="24"/>
        </w:rPr>
        <w:t>7</w:t>
      </w:r>
      <w:r>
        <w:rPr>
          <w:sz w:val="24"/>
        </w:rPr>
        <w:t>日并验收合格后，甲方支付合同款项</w:t>
      </w:r>
      <w:r>
        <w:rPr>
          <w:sz w:val="24"/>
        </w:rPr>
        <w:t>70%</w:t>
      </w:r>
      <w:r>
        <w:rPr>
          <w:sz w:val="24"/>
        </w:rPr>
        <w:t>。</w:t>
      </w:r>
    </w:p>
    <w:p>
      <w:pPr>
        <w:pStyle w:val="null3"/>
        <w:ind w:firstLine="361"/>
        <w:jc w:val="both"/>
      </w:pPr>
      <w:r>
        <w:rPr>
          <w:sz w:val="24"/>
        </w:rPr>
        <w:t>（</w:t>
      </w:r>
      <w:r>
        <w:rPr>
          <w:sz w:val="24"/>
        </w:rPr>
        <w:t>3</w:t>
      </w:r>
      <w:r>
        <w:rPr>
          <w:sz w:val="24"/>
        </w:rPr>
        <w:t>）本合同的每笔款项均以人民币通过银行转账方式结算，乙方凭以下资料提交付款申请：①合同复印件；②甲方指定人员签字确认的验收合格报告；③开具符合甲方财务要求的等额发票；甲方收到付款申请资料确认无误后支付款项，若乙方为大型企业，甲方于确认后</w:t>
      </w:r>
      <w:r>
        <w:rPr>
          <w:sz w:val="24"/>
        </w:rPr>
        <w:t>60</w:t>
      </w:r>
      <w:r>
        <w:rPr>
          <w:sz w:val="24"/>
        </w:rPr>
        <w:t>天内支付款项；若乙方为中小型企业，甲方于确认后</w:t>
      </w:r>
      <w:r>
        <w:rPr>
          <w:sz w:val="24"/>
        </w:rPr>
        <w:t>30</w:t>
      </w:r>
      <w:r>
        <w:rPr>
          <w:sz w:val="24"/>
        </w:rPr>
        <w:t>天内支付款项。（或根据项目实际情况约定，注意：不论如何约定支付条款，均需乙方先出具等额合法发票后支付）。</w:t>
      </w:r>
    </w:p>
    <w:p>
      <w:pPr>
        <w:pStyle w:val="null3"/>
        <w:ind w:firstLine="361"/>
        <w:jc w:val="both"/>
      </w:pPr>
      <w:r>
        <w:rPr>
          <w:sz w:val="24"/>
        </w:rPr>
        <w:t>（二）乙方按甲方要求提供的详细清单和相关票据，乙方提供发票的开票单位名称、开户银行及收款账号须与合同一致。乙方指定收款账户如下：</w:t>
      </w:r>
    </w:p>
    <w:p>
      <w:pPr>
        <w:pStyle w:val="null3"/>
        <w:jc w:val="both"/>
      </w:pPr>
      <w:r>
        <w:rPr>
          <w:sz w:val="24"/>
          <w:b/>
        </w:rPr>
        <w:t>账户名称：</w:t>
      </w:r>
    </w:p>
    <w:p>
      <w:pPr>
        <w:pStyle w:val="null3"/>
        <w:jc w:val="both"/>
      </w:pPr>
      <w:r>
        <w:rPr>
          <w:sz w:val="24"/>
          <w:b/>
        </w:rPr>
        <w:t>账号：</w:t>
      </w:r>
    </w:p>
    <w:p>
      <w:pPr>
        <w:pStyle w:val="null3"/>
        <w:jc w:val="both"/>
      </w:pPr>
      <w:r>
        <w:rPr>
          <w:sz w:val="24"/>
          <w:b/>
        </w:rPr>
        <w:t>开户行：</w:t>
      </w:r>
    </w:p>
    <w:p>
      <w:pPr>
        <w:pStyle w:val="null3"/>
        <w:ind w:firstLine="480"/>
        <w:jc w:val="both"/>
      </w:pPr>
      <w:r>
        <w:rPr>
          <w:sz w:val="24"/>
        </w:rPr>
        <w:t>（三）因甲方使用的是财政资金，甲方在前款规定的付款时间为向政府采购支付部门提出办理财政支付申请手续的时间（不含政府财政支付部门审核的时间），在规定时间内提出支付申请手续后即视为甲方已履行付款义务。若出现财政资金不到位、集中支付延误、交付延期等情况，由双方协商处理，甲方予以配合。非因甲方过错导致的财政支付延误，不视为甲方违约。</w:t>
      </w:r>
    </w:p>
    <w:p>
      <w:pPr>
        <w:pStyle w:val="null3"/>
        <w:ind w:firstLine="487"/>
        <w:jc w:val="left"/>
      </w:pPr>
      <w:r>
        <w:rPr>
          <w:sz w:val="24"/>
          <w:b/>
        </w:rPr>
        <w:t>九、售后及质量保证</w:t>
      </w:r>
    </w:p>
    <w:p>
      <w:pPr>
        <w:pStyle w:val="null3"/>
        <w:ind w:firstLine="480"/>
        <w:jc w:val="both"/>
      </w:pPr>
      <w:r>
        <w:rPr>
          <w:sz w:val="24"/>
        </w:rPr>
        <w:t>（一）乙方保证提供的所有设备和配件需为原装正装，并需在验收时向甲方提供所有设备及配件的全套原包装以便查询其正货来源。</w:t>
      </w:r>
    </w:p>
    <w:p>
      <w:pPr>
        <w:pStyle w:val="null3"/>
        <w:ind w:firstLine="480"/>
        <w:jc w:val="both"/>
      </w:pPr>
      <w:r>
        <w:rPr>
          <w:sz w:val="24"/>
        </w:rPr>
        <w:t>（二）乙方在本合同下向甲方提供的产品的质保期为</w:t>
      </w:r>
      <w:r>
        <w:rPr>
          <w:sz w:val="24"/>
        </w:rPr>
        <w:t>?_____</w:t>
      </w:r>
      <w:r>
        <w:rPr>
          <w:sz w:val="24"/>
        </w:rPr>
        <w:t>年（按出厂厂家标准或国家相关行业规范中较严格者为准，但最低不少于一年），从货物验收合格之日起算。</w:t>
      </w:r>
      <w:r>
        <w:rPr>
          <w:sz w:val="24"/>
        </w:rPr>
        <w:t>____</w:t>
      </w:r>
      <w:r>
        <w:rPr>
          <w:sz w:val="24"/>
        </w:rPr>
        <w:t>年内出现质量问题应立即更换新机。整机保修期</w:t>
      </w:r>
      <w:r>
        <w:rPr>
          <w:sz w:val="24"/>
        </w:rPr>
        <w:t>_____</w:t>
      </w:r>
      <w:r>
        <w:rPr>
          <w:sz w:val="24"/>
        </w:rPr>
        <w:t>年，终身维修。在保修期内要求经常回访，有问题做到及时处理。出现质量问题时，响应时间小于</w:t>
      </w:r>
      <w:r>
        <w:rPr>
          <w:u w:val="single"/>
        </w:rPr>
        <w:t xml:space="preserve">      </w:t>
      </w:r>
      <w:r>
        <w:rPr>
          <w:sz w:val="24"/>
        </w:rPr>
        <w:t>小时，</w:t>
      </w:r>
      <w:r>
        <w:rPr>
          <w:u w:val="single"/>
        </w:rPr>
        <w:t xml:space="preserve">       </w:t>
      </w:r>
      <w:r>
        <w:rPr>
          <w:sz w:val="24"/>
        </w:rPr>
        <w:t>小时内排除故障；若无法修复正常使用，乙方必须提供同规格、同型号、同参数的设备保证采购人使用，如同一故障发生三次，或在二个月内无法修复，乙方无条件换货；如保修期内因故障停机，按停机时间的双倍顺延保修期</w:t>
      </w:r>
      <w:r>
        <w:rPr>
          <w:sz w:val="24"/>
        </w:rPr>
        <w:t>,</w:t>
      </w:r>
      <w:r>
        <w:rPr>
          <w:sz w:val="24"/>
        </w:rPr>
        <w:t>保修期结束后，乙方仍应负责提供终身维修服务，但只能收取零配件费，乙方免费提供最新版本软件升级。</w:t>
      </w:r>
    </w:p>
    <w:p>
      <w:pPr>
        <w:pStyle w:val="null3"/>
        <w:ind w:firstLine="480"/>
        <w:jc w:val="left"/>
      </w:pPr>
      <w:r>
        <w:rPr>
          <w:sz w:val="24"/>
        </w:rPr>
        <w:t>（三）保质期内产品的任何质量问题，乙方需负责解决（不超过</w:t>
      </w:r>
      <w:r>
        <w:rPr>
          <w:sz w:val="24"/>
        </w:rPr>
        <w:t>24</w:t>
      </w:r>
      <w:r>
        <w:rPr>
          <w:sz w:val="24"/>
        </w:rPr>
        <w:t>小时，解决方式包括但不限于退换货、退费、赔偿），且承担因此产生的全部费用。此处的质保期指的是产品存在质量瑕疵的质保期，如果产品存在缺陷造成人身财产损害或安全事故的，质保期应当按照相关法律法规的规定计算，不受此处的期限限制。</w:t>
      </w:r>
    </w:p>
    <w:p>
      <w:pPr>
        <w:pStyle w:val="null3"/>
        <w:ind w:left="480" w:firstLine="360"/>
        <w:jc w:val="both"/>
      </w:pPr>
      <w:r>
        <w:rPr>
          <w:sz w:val="24"/>
        </w:rPr>
        <w:t>售后服务公司：</w:t>
      </w:r>
      <w:r>
        <w:rPr>
          <w:sz w:val="24"/>
        </w:rPr>
        <w:t>____________</w:t>
      </w:r>
      <w:r>
        <w:rPr>
          <w:sz w:val="24"/>
        </w:rPr>
        <w:t>公司</w:t>
      </w:r>
    </w:p>
    <w:p>
      <w:pPr>
        <w:pStyle w:val="null3"/>
        <w:ind w:left="480" w:firstLine="360"/>
        <w:jc w:val="both"/>
      </w:pPr>
      <w:r>
        <w:rPr>
          <w:sz w:val="24"/>
        </w:rPr>
        <w:t>联系地址：</w:t>
      </w:r>
      <w:r>
        <w:rPr>
          <w:sz w:val="24"/>
        </w:rPr>
        <w:t>____________________</w:t>
      </w:r>
    </w:p>
    <w:p>
      <w:pPr>
        <w:pStyle w:val="null3"/>
        <w:ind w:left="480" w:firstLine="360"/>
        <w:jc w:val="both"/>
      </w:pPr>
      <w:r>
        <w:rPr>
          <w:sz w:val="24"/>
        </w:rPr>
        <w:t>联系人：</w:t>
      </w:r>
      <w:r>
        <w:rPr>
          <w:sz w:val="24"/>
        </w:rPr>
        <w:t>_______</w:t>
      </w:r>
    </w:p>
    <w:p>
      <w:pPr>
        <w:pStyle w:val="null3"/>
        <w:ind w:left="480" w:firstLine="360"/>
        <w:jc w:val="both"/>
      </w:pPr>
      <w:r>
        <w:rPr>
          <w:sz w:val="24"/>
        </w:rPr>
        <w:t>联系电话：</w:t>
      </w:r>
      <w:r>
        <w:rPr>
          <w:sz w:val="24"/>
        </w:rPr>
        <w:t>_____________</w:t>
      </w:r>
    </w:p>
    <w:p>
      <w:pPr>
        <w:pStyle w:val="null3"/>
        <w:ind w:left="480"/>
        <w:jc w:val="both"/>
      </w:pPr>
      <w:r>
        <w:rPr>
          <w:sz w:val="24"/>
        </w:rPr>
        <w:t>厂家售后服务联系方式</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厂家名称</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b/>
        </w:rPr>
        <w:t xml:space="preserve"> </w:t>
      </w:r>
      <w:r>
        <w:rPr>
          <w:sz w:val="24"/>
          <w:b/>
        </w:rPr>
        <w:t>十、知识产权归属</w:t>
      </w:r>
    </w:p>
    <w:p>
      <w:pPr>
        <w:pStyle w:val="null3"/>
        <w:ind w:firstLine="48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包括但不限于上述侵权指控中所产生的诉讼费用、律师费用、调查费用、和解金额或赔偿金额，如甲方现行赔付的，有权向乙方追偿。同时，乙方应采取措施以确保甲方不需支付任何其他费用，使甲方对支撑服务成果拥有合法使用权。</w:t>
      </w:r>
    </w:p>
    <w:p>
      <w:pPr>
        <w:pStyle w:val="null3"/>
        <w:ind w:firstLine="482"/>
        <w:jc w:val="both"/>
      </w:pPr>
      <w:r>
        <w:rPr>
          <w:sz w:val="24"/>
          <w:b/>
        </w:rPr>
        <w:t xml:space="preserve"> </w:t>
      </w:r>
      <w:r>
        <w:rPr>
          <w:sz w:val="24"/>
          <w:b/>
        </w:rPr>
        <w:t>十一、索赔</w:t>
      </w:r>
    </w:p>
    <w:p>
      <w:pPr>
        <w:pStyle w:val="null3"/>
        <w:ind w:firstLine="480"/>
        <w:jc w:val="both"/>
      </w:pPr>
      <w:r>
        <w:rPr>
          <w:sz w:val="24"/>
        </w:rPr>
        <w:t>（一）如有异议，甲方有权根据有关政府部门的检验结果向乙方提出索赔。</w:t>
      </w:r>
    </w:p>
    <w:p>
      <w:pPr>
        <w:pStyle w:val="null3"/>
        <w:ind w:firstLine="480"/>
        <w:jc w:val="both"/>
      </w:pPr>
      <w:r>
        <w:rPr>
          <w:sz w:val="24"/>
        </w:rPr>
        <w:t>（二）</w:t>
      </w:r>
      <w:r>
        <w:rPr/>
        <w:t xml:space="preserve"> </w:t>
      </w:r>
      <w:r>
        <w:rPr>
          <w:sz w:val="24"/>
        </w:rPr>
        <w:t>在合同执行期间，由乙方所提供产品，如因该产品质量原因影响该产品的正常使用或导致产品功能减少，甲方可自主决定选择以下一种或多种方式解决故障事宜：</w:t>
      </w:r>
    </w:p>
    <w:p>
      <w:pPr>
        <w:pStyle w:val="null3"/>
        <w:ind w:firstLine="48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480"/>
        <w:jc w:val="both"/>
      </w:pPr>
      <w:r>
        <w:rPr>
          <w:sz w:val="24"/>
        </w:rPr>
        <w:t>（</w:t>
      </w:r>
      <w:r>
        <w:rPr>
          <w:sz w:val="24"/>
        </w:rPr>
        <w:t>2</w:t>
      </w:r>
      <w:r>
        <w:rPr>
          <w:sz w:val="24"/>
        </w:rPr>
        <w:t>）根据货物低劣程度、损坏程度以及甲方所遭受损失的数额甲乙双方商定降低货物的价格。</w:t>
      </w:r>
    </w:p>
    <w:p>
      <w:pPr>
        <w:pStyle w:val="null3"/>
        <w:ind w:firstLine="480"/>
        <w:jc w:val="both"/>
      </w:pPr>
      <w:r>
        <w:rPr>
          <w:sz w:val="24"/>
        </w:rPr>
        <w:t>（</w:t>
      </w:r>
      <w:r>
        <w:rPr>
          <w:sz w:val="24"/>
        </w:rPr>
        <w:t>3</w:t>
      </w:r>
      <w:r>
        <w:rPr>
          <w:sz w:val="24"/>
        </w:rPr>
        <w:t>）乙方必须于</w:t>
      </w:r>
      <w:r>
        <w:rPr>
          <w:sz w:val="24"/>
          <w:u w:val="single"/>
        </w:rPr>
        <w:t xml:space="preserve"> </w:t>
      </w:r>
      <w:r>
        <w:rPr>
          <w:sz w:val="24"/>
          <w:u w:val="single"/>
        </w:rPr>
        <w:t>5</w:t>
      </w:r>
      <w:r>
        <w:rPr>
          <w:sz w:val="24"/>
        </w:rPr>
        <w:t>天内用符合规格、质量和性能要求的新零件、部件或货物来更换有缺陷的部分或修补缺陷的部分，乙方未能按时完成维护，每拖延一天，须向甲方支付合同金额的</w:t>
      </w:r>
      <w:r>
        <w:rPr>
          <w:sz w:val="24"/>
          <w:shd w:fill="FFFFFF" w:val="clear"/>
        </w:rPr>
        <w:t>3</w:t>
      </w:r>
      <w:r>
        <w:rPr>
          <w:sz w:val="24"/>
          <w:shd w:fill="FFFFFF" w:val="clear"/>
        </w:rPr>
        <w:t>‰</w:t>
      </w:r>
      <w:r>
        <w:rPr>
          <w:sz w:val="24"/>
        </w:rPr>
        <w:t>的违约金。同时，相应延长质量保证期。乙方应承担一切费用和风险并负有赔偿甲方所发生的一切损失的责任。</w:t>
      </w:r>
    </w:p>
    <w:p>
      <w:pPr>
        <w:pStyle w:val="null3"/>
        <w:ind w:firstLine="480"/>
        <w:jc w:val="both"/>
      </w:pPr>
      <w:r>
        <w:rPr>
          <w:sz w:val="24"/>
        </w:rPr>
        <w:t>（</w:t>
      </w:r>
      <w:r>
        <w:rPr>
          <w:sz w:val="24"/>
        </w:rPr>
        <w:t>4</w:t>
      </w:r>
      <w:r>
        <w:rPr>
          <w:sz w:val="24"/>
        </w:rPr>
        <w:t>）如果在甲方发出索赔通知后</w:t>
      </w:r>
      <w:r>
        <w:rPr>
          <w:sz w:val="24"/>
          <w:u w:val="single"/>
          <w:shd w:fill="FFFFFF" w:val="clear"/>
        </w:rPr>
        <w:t xml:space="preserve"> </w:t>
      </w:r>
      <w:r>
        <w:rPr>
          <w:sz w:val="24"/>
          <w:u w:val="single"/>
          <w:shd w:fill="FFFFFF" w:val="clear"/>
        </w:rPr>
        <w:t xml:space="preserve">10 </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361"/>
        <w:jc w:val="both"/>
      </w:pPr>
      <w:r>
        <w:rPr>
          <w:sz w:val="24"/>
          <w:b/>
        </w:rPr>
        <w:t>十二、争议的解决</w:t>
      </w:r>
    </w:p>
    <w:p>
      <w:pPr>
        <w:pStyle w:val="null3"/>
        <w:ind w:firstLine="360"/>
        <w:jc w:val="left"/>
      </w:pPr>
      <w:r>
        <w:rPr>
          <w:sz w:val="24"/>
        </w:rPr>
        <w:t>未尽事宜以及因本合同引起的或与本合同有关的如何纠纷，由双方友好协商解决。协商不能解决的，双方同意将本合同引起的或与本合同有关的一切争议按以下第（</w:t>
      </w:r>
      <w:r>
        <w:rPr>
          <w:sz w:val="24"/>
        </w:rPr>
        <w:t xml:space="preserve">  </w:t>
      </w:r>
      <w:r>
        <w:rPr>
          <w:sz w:val="24"/>
        </w:rPr>
        <w:t>）项方式解决：</w:t>
      </w:r>
    </w:p>
    <w:p>
      <w:pPr>
        <w:pStyle w:val="null3"/>
        <w:ind w:firstLine="361"/>
        <w:jc w:val="both"/>
      </w:pPr>
      <w:r>
        <w:rPr>
          <w:sz w:val="24"/>
          <w:b/>
        </w:rPr>
        <w:t>十三、不可抗力</w:t>
      </w:r>
    </w:p>
    <w:p>
      <w:pPr>
        <w:pStyle w:val="null3"/>
        <w:ind w:firstLine="465"/>
        <w:jc w:val="both"/>
      </w:pPr>
      <w:r>
        <w:rPr>
          <w:sz w:val="24"/>
        </w:rPr>
        <w:t>（一）不可抗力指战争、严重火灾、洪水、台风、地震等或其它双方认定本合同签署时无法预见且无法避免的不可抗力事件。</w:t>
      </w:r>
    </w:p>
    <w:p>
      <w:pPr>
        <w:pStyle w:val="null3"/>
        <w:ind w:right="-195" w:firstLine="360"/>
        <w:jc w:val="both"/>
      </w:pPr>
      <w:r>
        <w:rPr>
          <w:sz w:val="24"/>
        </w:rPr>
        <w:t>（二）任何一方由于不可抗力原因不能履行合同时，应在不可抗力事件发生之日起</w:t>
      </w:r>
      <w:r>
        <w:rPr>
          <w:sz w:val="24"/>
        </w:rPr>
        <w:t>3</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right="-195" w:firstLine="360"/>
        <w:jc w:val="both"/>
      </w:pPr>
      <w:r>
        <w:rPr>
          <w:sz w:val="24"/>
        </w:rPr>
        <w:t>（三）宣称发生不可抗力的一方应迅速书面通知其他另一方，并在其后的</w:t>
      </w:r>
      <w:r>
        <w:rPr>
          <w:sz w:val="24"/>
        </w:rPr>
        <w:t>5</w:t>
      </w:r>
      <w:r>
        <w:rPr>
          <w:sz w:val="24"/>
        </w:rPr>
        <w:t>天内提供有关部门出具的证明文件作为证明不可抗力发生及其持续时间的足够证据。不可抗力事件持续发生的，合同一方应及时向合同另一方提交中间报告，说明不可抗力和履行合同受阻的情况，并于不可抗力事件结束后</w:t>
      </w:r>
      <w:r>
        <w:rPr>
          <w:sz w:val="24"/>
        </w:rPr>
        <w:t>28</w:t>
      </w:r>
      <w:r>
        <w:rPr>
          <w:sz w:val="24"/>
        </w:rPr>
        <w:t>天内提交最终报告及有关资料。</w:t>
      </w:r>
    </w:p>
    <w:p>
      <w:pPr>
        <w:pStyle w:val="null3"/>
        <w:ind w:firstLine="465"/>
        <w:jc w:val="both"/>
      </w:pPr>
      <w:r>
        <w:rPr>
          <w:sz w:val="24"/>
        </w:rPr>
        <w:t>（四）如果发生不可抗力事件，双方应立即互相协商，以找到公平的解决办法，均应采取措施尽量避免和减少损失的扩大，任何一方没有采取有效措施导致损失扩大的，应对扩大的损失承担责任。</w:t>
      </w:r>
    </w:p>
    <w:p>
      <w:pPr>
        <w:pStyle w:val="null3"/>
        <w:ind w:firstLine="465"/>
        <w:jc w:val="both"/>
      </w:pPr>
      <w:r>
        <w:rPr>
          <w:sz w:val="24"/>
        </w:rPr>
        <w:t>（五）不可抗力事件引起的后果及造成的人员和财产损失由合同双方按照合同约定各自承担。</w:t>
      </w:r>
    </w:p>
    <w:p>
      <w:pPr>
        <w:pStyle w:val="null3"/>
        <w:ind w:firstLine="465"/>
        <w:jc w:val="both"/>
      </w:pPr>
      <w:r>
        <w:rPr>
          <w:sz w:val="24"/>
        </w:rPr>
        <w:t>（六）因合同一方迟延履行合同义务，在迟延履行期间遭遇不可抗力的，不免除其违约责任且不可抗力造成的损失由违约方自行承担。</w:t>
      </w:r>
    </w:p>
    <w:p>
      <w:pPr>
        <w:pStyle w:val="null3"/>
        <w:ind w:firstLine="465"/>
        <w:jc w:val="both"/>
      </w:pPr>
      <w:r>
        <w:rPr>
          <w:sz w:val="24"/>
        </w:rPr>
        <w:t>（七）如果不可抗力事件影响合同执行超过</w:t>
      </w:r>
      <w:r>
        <w:rPr>
          <w:sz w:val="24"/>
        </w:rPr>
        <w:t>30</w:t>
      </w:r>
      <w:r>
        <w:rPr>
          <w:sz w:val="24"/>
        </w:rPr>
        <w:t>日，双方应尽快通过友好协商来解决合同执行问题并达成协议。</w:t>
      </w:r>
    </w:p>
    <w:p>
      <w:pPr>
        <w:pStyle w:val="null3"/>
        <w:ind w:firstLine="482"/>
        <w:jc w:val="both"/>
      </w:pPr>
      <w:r>
        <w:rPr>
          <w:sz w:val="24"/>
          <w:b/>
        </w:rPr>
        <w:t>十四、保密</w:t>
      </w:r>
    </w:p>
    <w:p>
      <w:pPr>
        <w:pStyle w:val="null3"/>
        <w:ind w:firstLine="480"/>
        <w:jc w:val="both"/>
      </w:pPr>
      <w:r>
        <w:rPr>
          <w:sz w:val="24"/>
        </w:rPr>
        <w:t>（一）乙方须严格遵守保密规定，除法律规定或合同另有约定外，未经甲方事先书面同意，乙方不得泄露甲方或甲方其他关联合作方的任何形式的信息和资料，不得提供给与本合同无关的任何第三方，不得将其用于履行本合同之外的其他用途。即使向与履行本合同有关的人员提供，也应注意保密并限于履行合同所必需的范围。</w:t>
      </w:r>
    </w:p>
    <w:p>
      <w:pPr>
        <w:pStyle w:val="null3"/>
        <w:ind w:firstLine="480"/>
        <w:jc w:val="both"/>
      </w:pPr>
      <w:r>
        <w:rPr>
          <w:sz w:val="24"/>
        </w:rPr>
        <w:t>（二）甲方提供的资料信息，除非甲方有明确的相反说明，否则均属于保密信息。除合同本身之外，上款所列举的任何物件均是甲方的财产。如甲方有要求，乙方在完成合同后应将这些物件及全部复制件还给甲方或销毁。尽管有前述约定，接受方及其代表根据相关法律、法规、行政或司法机关或程序、内部合规管理制度的要求可留存相关保密信息及其复印件或复制件及包含保密信息的任何文件及副本，但其应对保留的保密信息继续承担本合同项下的保密义务。</w:t>
      </w:r>
    </w:p>
    <w:p>
      <w:pPr>
        <w:pStyle w:val="null3"/>
        <w:ind w:firstLine="480"/>
        <w:jc w:val="both"/>
      </w:pPr>
      <w:r>
        <w:rPr>
          <w:sz w:val="24"/>
        </w:rPr>
        <w:t>（三）如乙方或其工作人员违反本合同约定的保密义务，应当立即采取停止、阻断等各种防止保密信息进一步扩大传播的应对措施，及时补救并立即通知甲方，甲方有权解除合同，乙方应按照合同总价款的</w:t>
      </w:r>
      <w:r>
        <w:rPr>
          <w:sz w:val="24"/>
        </w:rPr>
        <w:t>20%</w:t>
      </w:r>
      <w:r>
        <w:rPr>
          <w:sz w:val="24"/>
        </w:rPr>
        <w:t>支付违约金，违约金不足以弥补甲方损失的，以实际损失为准。甲方损失包括但不限于因泄密给甲方造成的损失和甲方因采取措施防止保密信息的进一步泄露以及调查泄密事件所支出的费用，如调查费、律师费、公证费、诉讼费</w:t>
      </w:r>
      <w:r>
        <w:rPr>
          <w:sz w:val="24"/>
        </w:rPr>
        <w:t>/</w:t>
      </w:r>
      <w:r>
        <w:rPr>
          <w:sz w:val="24"/>
        </w:rPr>
        <w:t>仲裁费、保全费、保函费、差旅费、鉴定费、乙方及其泄密对象因违约行为的获益等费用。</w:t>
      </w:r>
    </w:p>
    <w:p>
      <w:pPr>
        <w:pStyle w:val="null3"/>
        <w:ind w:firstLine="480"/>
        <w:jc w:val="both"/>
      </w:pPr>
      <w:r>
        <w:rPr>
          <w:sz w:val="24"/>
        </w:rPr>
        <w:t>（四）该保密条款有效期为永久有效，不因合同的终止而终止。</w:t>
      </w:r>
    </w:p>
    <w:p>
      <w:pPr>
        <w:pStyle w:val="null3"/>
        <w:jc w:val="both"/>
      </w:pPr>
      <w:r>
        <w:rPr>
          <w:sz w:val="24"/>
          <w:b/>
        </w:rPr>
        <w:t>十四、违约责任</w:t>
      </w:r>
    </w:p>
    <w:p>
      <w:pPr>
        <w:pStyle w:val="null3"/>
        <w:ind w:firstLine="480"/>
        <w:jc w:val="both"/>
      </w:pPr>
      <w:r>
        <w:rPr>
          <w:sz w:val="24"/>
        </w:rPr>
        <w:t>（一）甲方无正当理由解除合同，甲方向乙方偿付合同总额的</w:t>
      </w:r>
      <w:r>
        <w:rPr>
          <w:sz w:val="24"/>
        </w:rPr>
        <w:t>5%</w:t>
      </w:r>
      <w:r>
        <w:rPr>
          <w:sz w:val="24"/>
        </w:rPr>
        <w:t>的违约金。</w:t>
      </w:r>
    </w:p>
    <w:p>
      <w:pPr>
        <w:pStyle w:val="null3"/>
        <w:ind w:firstLine="480"/>
        <w:jc w:val="both"/>
      </w:pPr>
      <w:r>
        <w:rPr>
          <w:sz w:val="24"/>
        </w:rPr>
        <w:t>（二）甲方无正当理由逾期付款，则自甲方逾期付款之日起，每日按甲方应付未付的总额的万分之五向乙方偿付违约金。</w:t>
      </w:r>
    </w:p>
    <w:p>
      <w:pPr>
        <w:pStyle w:val="null3"/>
        <w:ind w:firstLine="480"/>
        <w:jc w:val="both"/>
      </w:pPr>
      <w:r>
        <w:rPr>
          <w:sz w:val="24"/>
        </w:rPr>
        <w:t>（三）乙方未能按合同规定的时间提供服务，从逾期之日起每日按合同总价万分之五的数额向甲方支付违约金；逾期</w:t>
      </w:r>
      <w:r>
        <w:rPr>
          <w:sz w:val="24"/>
        </w:rPr>
        <w:t>15</w:t>
      </w:r>
      <w:r>
        <w:rPr>
          <w:sz w:val="24"/>
        </w:rPr>
        <w:t>日以上的，甲方有权解除合同，乙方须向甲方支付合同总价</w:t>
      </w:r>
      <w:r>
        <w:rPr>
          <w:sz w:val="24"/>
        </w:rPr>
        <w:t>5%</w:t>
      </w:r>
      <w:r>
        <w:rPr>
          <w:sz w:val="24"/>
        </w:rPr>
        <w:t>的违约金。</w:t>
      </w:r>
    </w:p>
    <w:p>
      <w:pPr>
        <w:pStyle w:val="null3"/>
        <w:ind w:firstLine="480"/>
        <w:jc w:val="both"/>
      </w:pPr>
      <w:r>
        <w:rPr>
          <w:sz w:val="24"/>
        </w:rPr>
        <w:t>（四）除本合同另有约定外，因乙方在合同期限内提供的服务不符合采购文件规定，甲方有权采用以下任一方式处理：</w:t>
      </w:r>
    </w:p>
    <w:p>
      <w:pPr>
        <w:pStyle w:val="null3"/>
        <w:ind w:firstLine="480"/>
        <w:jc w:val="both"/>
      </w:pPr>
      <w:r>
        <w:rPr>
          <w:sz w:val="24"/>
        </w:rPr>
        <w:t>（</w:t>
      </w:r>
      <w:r>
        <w:rPr>
          <w:sz w:val="24"/>
        </w:rPr>
        <w:t>1</w:t>
      </w:r>
      <w:r>
        <w:rPr>
          <w:sz w:val="24"/>
        </w:rPr>
        <w:t>）甲方有权拒收及解除合同，并且乙方须向甲方支付合同总价</w:t>
      </w:r>
      <w:r>
        <w:rPr>
          <w:sz w:val="24"/>
        </w:rPr>
        <w:t>5%</w:t>
      </w:r>
      <w:r>
        <w:rPr>
          <w:sz w:val="24"/>
        </w:rPr>
        <w:t>的违约金。</w:t>
      </w:r>
    </w:p>
    <w:p>
      <w:pPr>
        <w:pStyle w:val="null3"/>
        <w:ind w:firstLine="480"/>
        <w:jc w:val="both"/>
      </w:pPr>
      <w:r>
        <w:rPr>
          <w:sz w:val="24"/>
        </w:rPr>
        <w:t>（</w:t>
      </w:r>
      <w:r>
        <w:rPr>
          <w:sz w:val="24"/>
        </w:rPr>
        <w:t>2</w:t>
      </w:r>
      <w:r>
        <w:rPr>
          <w:sz w:val="24"/>
        </w:rPr>
        <w:t>）甲方向乙方发出整改意见或建议，若乙方没有在甲方规定的时间内完成整改的，每逾期一日按合同总价的万分之五向甲方偿付违约金，乙方逾期十五日仍未完成整改，甲方有权解除合同，且不承担任何责任与费用，乙方须一次性向甲方支付合同总价</w:t>
      </w:r>
      <w:r>
        <w:rPr>
          <w:sz w:val="24"/>
        </w:rPr>
        <w:t>5%</w:t>
      </w:r>
      <w:r>
        <w:rPr>
          <w:sz w:val="24"/>
        </w:rPr>
        <w:t>的违约金，并承担对此给甲方造成的损失。</w:t>
      </w:r>
    </w:p>
    <w:p>
      <w:pPr>
        <w:pStyle w:val="null3"/>
        <w:ind w:firstLine="480"/>
        <w:jc w:val="both"/>
      </w:pPr>
      <w:r>
        <w:rPr>
          <w:sz w:val="24"/>
        </w:rPr>
        <w:t>（五）乙方提供的货物或服务，如影响甲方的使用，在规定的整改期限内仍未完成整改的，甲方有权自行寻找第三方单位提供相应的货物或服务。因第三方单位产生的费用由乙方自行支付或从本单位服务费用中直接扣减，由甲方支付给第三方单位。</w:t>
      </w:r>
    </w:p>
    <w:p>
      <w:pPr>
        <w:pStyle w:val="null3"/>
        <w:ind w:firstLine="480"/>
        <w:jc w:val="both"/>
      </w:pPr>
      <w:r>
        <w:rPr>
          <w:sz w:val="24"/>
        </w:rPr>
        <w:t>（六）合同履行期内，如乙方因自身原因而提出提前终止合同的，乙方应一次性向甲方支付合同总价的</w:t>
      </w:r>
      <w:r>
        <w:rPr>
          <w:sz w:val="24"/>
        </w:rPr>
        <w:t>5%</w:t>
      </w:r>
      <w:r>
        <w:rPr>
          <w:sz w:val="24"/>
        </w:rPr>
        <w:t>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（七）因不可抗力因素造成乙方或双方违约，经双方协议达成共识的，由双方协商解决。</w:t>
      </w:r>
    </w:p>
    <w:p>
      <w:pPr>
        <w:pStyle w:val="null3"/>
        <w:ind w:firstLine="480"/>
        <w:jc w:val="both"/>
      </w:pPr>
      <w:r>
        <w:rPr>
          <w:sz w:val="24"/>
        </w:rPr>
        <w:t>（八）其他违约责任按《中华人民共和国政府采购法》及其实施条例、《中华人民共和国民法典》等法律法规处理。</w:t>
      </w:r>
    </w:p>
    <w:p>
      <w:pPr>
        <w:pStyle w:val="null3"/>
        <w:ind w:firstLine="361"/>
        <w:jc w:val="both"/>
      </w:pPr>
      <w:r>
        <w:rPr>
          <w:sz w:val="24"/>
          <w:b/>
        </w:rPr>
        <w:t>十五、税费</w:t>
      </w:r>
    </w:p>
    <w:p>
      <w:pPr>
        <w:pStyle w:val="null3"/>
        <w:ind w:firstLine="480"/>
        <w:jc w:val="both"/>
      </w:pPr>
      <w:r>
        <w:rPr>
          <w:sz w:val="24"/>
        </w:rPr>
        <w:t>在中国境内、外发生的与本合同执行有关的一切税费均由乙方负担。</w:t>
      </w:r>
    </w:p>
    <w:p>
      <w:pPr>
        <w:pStyle w:val="null3"/>
        <w:ind w:firstLine="361"/>
        <w:jc w:val="both"/>
      </w:pPr>
      <w:r>
        <w:rPr>
          <w:sz w:val="24"/>
          <w:b/>
        </w:rPr>
        <w:t>十六、其它</w:t>
      </w:r>
    </w:p>
    <w:p>
      <w:pPr>
        <w:pStyle w:val="null3"/>
        <w:ind w:firstLine="361"/>
        <w:jc w:val="both"/>
      </w:pPr>
      <w:r>
        <w:rPr>
          <w:sz w:val="24"/>
        </w:rPr>
        <w:t>（一）本合同所有附件、招标文件、投标文件、中标通知书均为合同的有效组成部分，与本合同具有同等法律效力。</w:t>
      </w:r>
    </w:p>
    <w:p>
      <w:pPr>
        <w:pStyle w:val="null3"/>
        <w:ind w:firstLine="360"/>
        <w:jc w:val="both"/>
      </w:pPr>
      <w:r>
        <w:rPr>
          <w:sz w:val="24"/>
        </w:rPr>
        <w:t>（二）在执行本合同的过程中，所有经双方签署确认的文件（包括会议纪要、补充协议、往来信函）即成为本合同的有效组成部分。</w:t>
      </w:r>
    </w:p>
    <w:p>
      <w:pPr>
        <w:pStyle w:val="null3"/>
        <w:ind w:firstLine="360"/>
        <w:jc w:val="both"/>
      </w:pPr>
      <w:r>
        <w:rPr>
          <w:sz w:val="24"/>
        </w:rPr>
        <w:t>（三）双方确认，此合同载明的地址、电话、邮箱为本合同履行过程中各类相关文件以及司法文书送达的签收有效地址。如一方地址、电话、邮箱有变更，应在变更当日内书面通知对方，变更一方未发出或延迟发出变更通知的，另一方在实际收到变更通知前已按照本合同联系方式发出通知的，视为已履行通知义务，由此造成的损失由变更一方承担。</w:t>
      </w:r>
    </w:p>
    <w:p>
      <w:pPr>
        <w:pStyle w:val="null3"/>
        <w:ind w:firstLine="360"/>
        <w:jc w:val="both"/>
      </w:pPr>
      <w:r>
        <w:rPr>
          <w:sz w:val="24"/>
        </w:rPr>
        <w:t>（四）除甲方事先书面同意外，乙方不得部分或全部转让其应履行的合同项下的义务。</w:t>
      </w:r>
    </w:p>
    <w:p>
      <w:pPr>
        <w:pStyle w:val="null3"/>
        <w:ind w:firstLine="482"/>
        <w:jc w:val="both"/>
      </w:pPr>
      <w:r>
        <w:rPr>
          <w:sz w:val="24"/>
          <w:b/>
        </w:rPr>
        <w:t>十七、合同生效和终止</w:t>
      </w:r>
    </w:p>
    <w:p>
      <w:pPr>
        <w:pStyle w:val="null3"/>
        <w:ind w:firstLine="480"/>
        <w:jc w:val="both"/>
      </w:pPr>
      <w:r>
        <w:rPr>
          <w:sz w:val="24"/>
        </w:rPr>
        <w:t>（一）合同自甲乙双方加盖公章或合同专用章且法定代表人或授权代表人签字之日起生效</w:t>
      </w:r>
      <w:r>
        <w:rPr>
          <w:sz w:val="24"/>
        </w:rPr>
        <w:t>,</w:t>
      </w:r>
      <w:r>
        <w:rPr>
          <w:sz w:val="24"/>
        </w:rPr>
        <w:t>至合同条款全部履行结束后终止。</w:t>
      </w:r>
    </w:p>
    <w:p>
      <w:pPr>
        <w:pStyle w:val="null3"/>
        <w:ind w:firstLine="480"/>
        <w:jc w:val="both"/>
      </w:pPr>
      <w:r>
        <w:rPr>
          <w:sz w:val="24"/>
        </w:rPr>
        <w:t>（二）合同附件及项目投标书具有与合同正文的一部分，具有同等合同法律效力。</w:t>
      </w:r>
    </w:p>
    <w:p>
      <w:pPr>
        <w:pStyle w:val="null3"/>
        <w:ind w:firstLine="480"/>
        <w:jc w:val="both"/>
      </w:pPr>
      <w:r>
        <w:rPr>
          <w:sz w:val="24"/>
        </w:rPr>
        <w:t xml:space="preserve">      </w:t>
      </w:r>
      <w:r>
        <w:rPr>
          <w:sz w:val="24"/>
        </w:rPr>
        <w:t>附件一：中标通知书</w:t>
      </w:r>
    </w:p>
    <w:p>
      <w:pPr>
        <w:pStyle w:val="null3"/>
        <w:ind w:firstLine="480"/>
        <w:jc w:val="both"/>
      </w:pPr>
      <w:r>
        <w:rPr>
          <w:sz w:val="24"/>
        </w:rPr>
        <w:t xml:space="preserve">      </w:t>
      </w:r>
      <w:r>
        <w:rPr>
          <w:sz w:val="24"/>
        </w:rPr>
        <w:t>附件二：设备配置清单</w:t>
      </w:r>
    </w:p>
    <w:p>
      <w:pPr>
        <w:pStyle w:val="null3"/>
        <w:ind w:firstLine="480"/>
        <w:jc w:val="both"/>
      </w:pPr>
      <w:r>
        <w:rPr>
          <w:sz w:val="24"/>
        </w:rPr>
        <w:t xml:space="preserve">      </w:t>
      </w:r>
      <w:r>
        <w:rPr>
          <w:sz w:val="24"/>
        </w:rPr>
        <w:t>附件三：主要备品备件、配套耗材清单</w:t>
      </w:r>
    </w:p>
    <w:p>
      <w:pPr>
        <w:pStyle w:val="null3"/>
        <w:numPr>
          <w:ilvl w:val="0"/>
          <w:numId w:val="1"/>
        </w:numPr>
        <w:jc w:val="both"/>
      </w:pPr>
      <w:r>
        <w:rPr>
          <w:sz w:val="24"/>
        </w:rPr>
        <w:t>提交广州仲裁委员会中山分会，依照该委员会仲裁规则进行仲裁。仲裁裁决是终局的，对双方均具有约束力。</w:t>
      </w:r>
    </w:p>
    <w:p>
      <w:pPr>
        <w:pStyle w:val="null3"/>
        <w:numPr>
          <w:ilvl w:val="0"/>
          <w:numId w:val="1"/>
        </w:numPr>
        <w:jc w:val="both"/>
      </w:pPr>
      <w:r>
        <w:rPr>
          <w:sz w:val="24"/>
        </w:rPr>
        <w:t>提交至甲方所在地有管辖权人民法院进行诉讼。</w:t>
      </w:r>
    </w:p>
    <w:p>
      <w:pPr>
        <w:pStyle w:val="null3"/>
        <w:ind w:firstLine="480"/>
        <w:jc w:val="center"/>
      </w:pPr>
      <w:r>
        <w:rPr>
          <w:sz w:val="24"/>
          <w:b/>
        </w:rPr>
        <w:t>（以下无正文，仅供签署）</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w:t>
      </w:r>
      <w:r>
        <w:rPr>
          <w:sz w:val="24"/>
        </w:rPr>
        <w:t>(</w:t>
      </w:r>
      <w:r>
        <w:rPr>
          <w:sz w:val="24"/>
        </w:rPr>
        <w:t>盖章</w:t>
      </w:r>
      <w:r>
        <w:rPr>
          <w:sz w:val="24"/>
        </w:rPr>
        <w:t xml:space="preserve">): </w:t>
      </w:r>
      <w:r>
        <w:rPr>
          <w:sz w:val="24"/>
        </w:rPr>
        <w:t>中山市第二人民医院</w:t>
      </w:r>
      <w:r>
        <w:rPr/>
        <w:t xml:space="preserve">  </w:t>
      </w:r>
      <w:r>
        <w:rPr>
          <w:sz w:val="24"/>
        </w:rPr>
        <w:t xml:space="preserve">    </w:t>
      </w:r>
      <w:r>
        <w:rPr>
          <w:sz w:val="24"/>
        </w:rPr>
        <w:t>乙方</w:t>
      </w:r>
      <w:r>
        <w:rPr>
          <w:sz w:val="24"/>
        </w:rPr>
        <w:t>(</w:t>
      </w:r>
      <w:r>
        <w:rPr>
          <w:sz w:val="24"/>
        </w:rPr>
        <w:t>盖章</w:t>
      </w:r>
      <w:r>
        <w:rPr>
          <w:sz w:val="24"/>
        </w:rPr>
        <w:t>)</w:t>
      </w:r>
      <w:r>
        <w:rPr>
          <w:sz w:val="24"/>
        </w:rPr>
        <w:t>：</w:t>
      </w:r>
    </w:p>
    <w:p>
      <w:pPr>
        <w:pStyle w:val="null3"/>
        <w:ind w:firstLine="480"/>
        <w:jc w:val="both"/>
      </w:pPr>
      <w:r>
        <w:rPr>
          <w:sz w:val="24"/>
        </w:rPr>
        <w:t>签约代表</w:t>
      </w:r>
      <w:r>
        <w:rPr>
          <w:sz w:val="24"/>
        </w:rPr>
        <w:t>(</w:t>
      </w:r>
      <w:r>
        <w:rPr>
          <w:sz w:val="24"/>
        </w:rPr>
        <w:t>签字</w:t>
      </w:r>
      <w:r>
        <w:rPr>
          <w:sz w:val="24"/>
        </w:rPr>
        <w:t>)</w:t>
      </w:r>
      <w:r>
        <w:rPr>
          <w:sz w:val="24"/>
        </w:rPr>
        <w:t>：</w:t>
      </w:r>
      <w:r>
        <w:rPr/>
        <w:t xml:space="preserve">                 </w:t>
      </w:r>
      <w:r>
        <w:rPr>
          <w:sz w:val="24"/>
        </w:rPr>
        <w:t xml:space="preserve">    </w:t>
      </w:r>
      <w:r>
        <w:rPr>
          <w:sz w:val="24"/>
        </w:rPr>
        <w:t>签约代表</w:t>
      </w:r>
      <w:r>
        <w:rPr>
          <w:sz w:val="24"/>
        </w:rPr>
        <w:t>(</w:t>
      </w:r>
      <w:r>
        <w:rPr>
          <w:sz w:val="24"/>
        </w:rPr>
        <w:t>签字</w:t>
      </w:r>
      <w:r>
        <w:rPr>
          <w:sz w:val="24"/>
        </w:rPr>
        <w:t>)</w:t>
      </w:r>
      <w:r>
        <w:rPr>
          <w:sz w:val="24"/>
        </w:rPr>
        <w:t>：</w:t>
      </w:r>
    </w:p>
    <w:p>
      <w:pPr>
        <w:pStyle w:val="null3"/>
        <w:ind w:firstLine="480"/>
        <w:jc w:val="both"/>
      </w:pPr>
      <w:r>
        <w:rPr>
          <w:sz w:val="24"/>
        </w:rPr>
        <w:t>地址：</w:t>
      </w:r>
      <w:r>
        <w:rPr/>
        <w:t xml:space="preserve">                          </w:t>
      </w:r>
      <w:r>
        <w:rPr>
          <w:sz w:val="24"/>
        </w:rPr>
        <w:t xml:space="preserve">     </w:t>
      </w:r>
      <w:r>
        <w:rPr>
          <w:sz w:val="24"/>
        </w:rPr>
        <w:t>地址：</w:t>
      </w:r>
      <w:r>
        <w:rPr/>
        <w:t xml:space="preserve"> </w:t>
      </w:r>
    </w:p>
    <w:p>
      <w:pPr>
        <w:pStyle w:val="null3"/>
        <w:ind w:right="240" w:firstLine="480"/>
        <w:jc w:val="both"/>
      </w:pPr>
      <w:r>
        <w:rPr>
          <w:sz w:val="24"/>
        </w:rPr>
        <w:t>电话：　　　</w:t>
      </w:r>
      <w:r>
        <w:rPr/>
        <w:t xml:space="preserve">                    </w:t>
      </w:r>
      <w:r>
        <w:rPr>
          <w:sz w:val="24"/>
        </w:rPr>
        <w:t xml:space="preserve">     </w:t>
      </w:r>
      <w:r>
        <w:rPr>
          <w:sz w:val="24"/>
        </w:rPr>
        <w:t>电话：</w:t>
      </w:r>
    </w:p>
    <w:p>
      <w:pPr>
        <w:pStyle w:val="null3"/>
        <w:ind w:right="240" w:firstLine="480"/>
        <w:jc w:val="both"/>
      </w:pPr>
      <w:r>
        <w:rPr>
          <w:sz w:val="24"/>
        </w:rPr>
        <w:t>邮箱：　　　</w:t>
      </w:r>
      <w:r>
        <w:rPr/>
        <w:t xml:space="preserve">                     </w:t>
      </w:r>
      <w:r>
        <w:rPr>
          <w:sz w:val="24"/>
        </w:rPr>
        <w:t xml:space="preserve">    </w:t>
      </w:r>
      <w:r>
        <w:rPr>
          <w:sz w:val="24"/>
        </w:rPr>
        <w:t>邮箱：</w:t>
      </w:r>
    </w:p>
    <w:p>
      <w:pPr>
        <w:pStyle w:val="null3"/>
        <w:ind w:firstLine="480"/>
        <w:jc w:val="both"/>
      </w:pPr>
      <w:r>
        <w:rPr>
          <w:sz w:val="24"/>
        </w:rPr>
        <w:t>开户银行</w:t>
      </w:r>
      <w:r>
        <w:rPr>
          <w:sz w:val="24"/>
        </w:rPr>
        <w:t xml:space="preserve">:                            </w:t>
      </w:r>
      <w:r>
        <w:rPr>
          <w:sz w:val="24"/>
        </w:rPr>
        <w:t>开户银行</w:t>
      </w:r>
      <w:r>
        <w:rPr>
          <w:sz w:val="24"/>
        </w:rPr>
        <w:t>:</w:t>
      </w:r>
    </w:p>
    <w:p>
      <w:pPr>
        <w:pStyle w:val="null3"/>
        <w:ind w:firstLine="480"/>
        <w:jc w:val="both"/>
      </w:pPr>
      <w:r>
        <w:rPr>
          <w:sz w:val="24"/>
        </w:rPr>
        <w:t>账号</w:t>
      </w:r>
      <w:r>
        <w:rPr>
          <w:sz w:val="24"/>
        </w:rPr>
        <w:t xml:space="preserve">:                               </w:t>
      </w:r>
      <w:r>
        <w:rPr>
          <w:sz w:val="24"/>
        </w:rPr>
        <w:t>账 号</w:t>
      </w:r>
      <w:r>
        <w:rPr>
          <w:sz w:val="24"/>
        </w:rPr>
        <w:t>:</w:t>
      </w:r>
    </w:p>
    <w:p>
      <w:pPr>
        <w:pStyle w:val="null3"/>
        <w:ind w:firstLine="480"/>
        <w:jc w:val="both"/>
      </w:pPr>
      <w:r>
        <w:rPr>
          <w:sz w:val="24"/>
        </w:rPr>
        <w:t>纳税人识别号：</w:t>
      </w:r>
      <w:r>
        <w:rPr>
          <w:sz w:val="24"/>
        </w:rPr>
        <w:t>44200066333399X</w:t>
      </w:r>
    </w:p>
    <w:p>
      <w:pPr>
        <w:pStyle w:val="null3"/>
        <w:ind w:firstLine="480"/>
        <w:jc w:val="both"/>
      </w:pPr>
      <w:r>
        <w:rPr>
          <w:sz w:val="24"/>
        </w:rPr>
        <w:t>统一社会信用代码：</w:t>
      </w:r>
      <w:r>
        <w:rPr>
          <w:sz w:val="24"/>
        </w:rPr>
        <w:t>1244200066333399XT</w:t>
      </w:r>
      <w:r>
        <w:rPr/>
        <w:t xml:space="preserve">    </w:t>
      </w:r>
      <w:r>
        <w:rPr>
          <w:sz w:val="24"/>
        </w:rPr>
        <w:t>统一社会信用代码：</w:t>
      </w:r>
    </w:p>
    <w:p>
      <w:pPr>
        <w:pStyle w:val="null3"/>
        <w:ind w:right="240" w:firstLine="480"/>
        <w:jc w:val="both"/>
      </w:pPr>
      <w:r>
        <w:rPr>
          <w:sz w:val="24"/>
        </w:rPr>
        <w:t>签约日期：</w:t>
      </w:r>
      <w:r>
        <w:rPr>
          <w:sz w:val="24"/>
        </w:rPr>
        <w:t xml:space="preserve">     </w:t>
      </w:r>
      <w:r>
        <w:rPr>
          <w:sz w:val="24"/>
        </w:rPr>
        <w:t>年</w:t>
      </w:r>
      <w:r>
        <w:rPr/>
        <w:t xml:space="preserve">   </w:t>
      </w:r>
      <w:r>
        <w:rPr>
          <w:sz w:val="24"/>
        </w:rPr>
        <w:t>月</w:t>
      </w:r>
      <w:r>
        <w:rPr/>
        <w:t xml:space="preserve">   </w:t>
      </w:r>
      <w:r>
        <w:rPr>
          <w:sz w:val="24"/>
        </w:rPr>
        <w:t>日</w:t>
      </w:r>
      <w:r>
        <w:rPr>
          <w:sz w:val="24"/>
        </w:rPr>
        <w:t xml:space="preserve">          </w:t>
      </w:r>
      <w:r>
        <w:rPr>
          <w:sz w:val="24"/>
        </w:rPr>
        <w:t>签约日期：</w:t>
      </w:r>
      <w:r>
        <w:rPr>
          <w:sz w:val="24"/>
        </w:rPr>
        <w:t xml:space="preserve">     </w:t>
      </w:r>
      <w:r>
        <w:rPr>
          <w:sz w:val="24"/>
        </w:rPr>
        <w:t>年</w:t>
      </w:r>
      <w:r>
        <w:rPr/>
        <w:t xml:space="preserve">   </w:t>
      </w:r>
      <w:r>
        <w:rPr>
          <w:sz w:val="24"/>
        </w:rPr>
        <w:t>月</w:t>
      </w:r>
      <w:r>
        <w:rPr/>
        <w:t xml:space="preserve">   </w:t>
      </w:r>
      <w:r>
        <w:rPr>
          <w:sz w:val="24"/>
        </w:rPr>
        <w:t>日</w:t>
      </w:r>
    </w:p>
    <w:p>
      <w:pPr>
        <w:pStyle w:val="null3"/>
        <w:numPr>
          <w:ilvl w:val="0"/>
          <w:numId w:val="1"/>
        </w:numPr>
        <w:jc w:val="both"/>
      </w:pPr>
      <w:r>
        <w:rPr>
          <w:sz w:val="24"/>
        </w:rPr>
        <w:t>本合同正本一式伍份，甲方执肆份，乙方执壹份，均具有同等法律效力。</w:t>
      </w:r>
    </w:p>
    <w:p>
      <w:pPr>
        <w:pStyle w:val="null3"/>
        <w:numPr>
          <w:ilvl w:val="0"/>
          <w:numId w:val="1"/>
        </w:numPr>
        <w:jc w:val="both"/>
      </w:pPr>
      <w:r>
        <w:rPr>
          <w:sz w:val="24"/>
        </w:rPr>
        <w:t>合同未尽事宜，由双方协商处理。如经甲乙双方同意，可以增补并另行签订补充协议。补充协议与本合同具有同样的法律效力。</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442000-2026-01468</w:t>
      </w:r>
    </w:p>
    <w:p>
      <w:pPr>
        <w:pStyle w:val="null3"/>
        <w:jc w:val="center"/>
        <w:outlineLvl w:val="3"/>
      </w:pPr>
      <w:r>
        <w:rPr>
          <w:sz w:val="24"/>
          <w:b/>
        </w:rPr>
        <w:t>采购项目编号：</w:t>
      </w:r>
      <w:r>
        <w:rPr>
          <w:sz w:val="24"/>
          <w:b/>
        </w:rPr>
        <w:t>442000-2026-01468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中山市第二人民医院传染病防控能力提升医疗设备一批采购项目（第二批）</w:t>
      </w:r>
      <w:r>
        <w:rPr>
          <w:u w:val="single"/>
        </w:rPr>
        <w:t>”</w:t>
      </w:r>
      <w:r>
        <w:rPr/>
        <w:t>项目的招标[采购项目编号为：</w:t>
      </w:r>
      <w:r>
        <w:rPr>
          <w:u w:val="single"/>
        </w:rPr>
        <w:t>442000-2026-01468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中山市第二人民医院传染病防控能力提升医疗设备一批采购项目（第二批）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中山市第二人民医院传染病防控能力提升医疗设备一批采购项目（第二批）</w:t>
      </w:r>
      <w:r>
        <w:rPr/>
        <w:t>”项目采购[采购项目编号为</w:t>
      </w:r>
      <w:r>
        <w:rPr/>
        <w:t>442000-2026-01468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中山市第二人民医院传染病防控能力提升医疗设备一批采购项目（第二批）</w:t>
      </w:r>
      <w:r>
        <w:rPr/>
        <w:t>招标中获中标（采购项目编号：</w:t>
      </w:r>
      <w:r>
        <w:rPr/>
        <w:t>442000-2026-01468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中山市第二人民医院传染病防控能力提升医疗设备一批采购项目（第二批）</w:t>
      </w:r>
      <w:r>
        <w:rPr/>
        <w:t>”项目（采购项目编号：</w:t>
      </w:r>
      <w:r>
        <w:rPr/>
        <w:t>442000-2026-01468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