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9C9CD1">
      <w:pPr>
        <w:jc w:val="right"/>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中山市房屋建筑和市政基础设施工程</w:t>
      </w:r>
      <w:r>
        <w:rPr>
          <w:rFonts w:hint="eastAsia" w:ascii="宋体" w:hAnsi="宋体" w:eastAsia="宋体" w:cs="宋体"/>
          <w:color w:val="auto"/>
          <w:sz w:val="18"/>
          <w:szCs w:val="18"/>
          <w:highlight w:val="none"/>
          <w:lang w:val="en-US" w:eastAsia="zh-CN"/>
        </w:rPr>
        <w:t>施工</w:t>
      </w:r>
      <w:r>
        <w:rPr>
          <w:rFonts w:hint="eastAsia" w:ascii="宋体" w:hAnsi="宋体" w:eastAsia="宋体" w:cs="宋体"/>
          <w:color w:val="auto"/>
          <w:sz w:val="18"/>
          <w:szCs w:val="18"/>
          <w:highlight w:val="none"/>
        </w:rPr>
        <w:t>招标文件示范文本</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rPr>
        <w:t>适用于评定分离</w:t>
      </w:r>
      <w:r>
        <w:rPr>
          <w:rFonts w:hint="eastAsia" w:ascii="宋体" w:hAnsi="宋体" w:eastAsia="宋体" w:cs="宋体"/>
          <w:color w:val="auto"/>
          <w:sz w:val="18"/>
          <w:szCs w:val="18"/>
          <w:highlight w:val="none"/>
          <w:lang w:eastAsia="zh-CN"/>
        </w:rPr>
        <w:t>）</w:t>
      </w:r>
    </w:p>
    <w:p w14:paraId="0CAFB89E">
      <w:pPr>
        <w:spacing w:line="360" w:lineRule="auto"/>
        <w:jc w:val="righ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w:t>
      </w:r>
      <w:r>
        <w:rPr>
          <w:rFonts w:hint="eastAsia" w:ascii="宋体" w:hAnsi="宋体" w:eastAsia="宋体" w:cs="宋体"/>
          <w:color w:val="auto"/>
          <w:sz w:val="18"/>
          <w:szCs w:val="18"/>
          <w:highlight w:val="none"/>
          <w:lang w:val="en-US" w:eastAsia="zh-CN"/>
        </w:rPr>
        <w:t>202</w:t>
      </w:r>
      <w:r>
        <w:rPr>
          <w:rFonts w:hint="default" w:ascii="宋体" w:hAnsi="宋体" w:cs="宋体"/>
          <w:color w:val="auto"/>
          <w:sz w:val="18"/>
          <w:szCs w:val="18"/>
          <w:highlight w:val="none"/>
          <w:lang w:val="en-US" w:eastAsia="zh-CN"/>
        </w:rPr>
        <w:t>6-</w:t>
      </w:r>
      <w:r>
        <w:rPr>
          <w:rFonts w:hint="eastAsia" w:ascii="宋体" w:hAnsi="宋体" w:cs="宋体"/>
          <w:color w:val="auto"/>
          <w:sz w:val="18"/>
          <w:szCs w:val="18"/>
          <w:highlight w:val="none"/>
          <w:lang w:val="en-US" w:eastAsia="zh-CN"/>
        </w:rPr>
        <w:t>3</w:t>
      </w:r>
      <w:r>
        <w:rPr>
          <w:rFonts w:hint="eastAsia" w:ascii="宋体" w:hAnsi="宋体" w:eastAsia="宋体" w:cs="宋体"/>
          <w:color w:val="auto"/>
          <w:sz w:val="18"/>
          <w:szCs w:val="18"/>
          <w:highlight w:val="none"/>
        </w:rPr>
        <w:t>版</w:t>
      </w:r>
      <w:r>
        <w:rPr>
          <w:rFonts w:hint="eastAsia" w:ascii="宋体" w:hAnsi="宋体" w:cs="宋体"/>
          <w:color w:val="auto"/>
          <w:sz w:val="18"/>
          <w:szCs w:val="18"/>
          <w:highlight w:val="none"/>
          <w:lang w:val="en-US" w:eastAsia="zh-CN"/>
        </w:rPr>
        <w:t>,2026-10-1启用</w:t>
      </w:r>
      <w:r>
        <w:rPr>
          <w:rFonts w:hint="eastAsia" w:ascii="宋体" w:hAnsi="宋体" w:eastAsia="宋体" w:cs="宋体"/>
          <w:color w:val="auto"/>
          <w:sz w:val="18"/>
          <w:szCs w:val="18"/>
          <w:highlight w:val="none"/>
        </w:rPr>
        <w:t>）</w:t>
      </w:r>
    </w:p>
    <w:p w14:paraId="54B0B574">
      <w:pPr>
        <w:spacing w:line="360" w:lineRule="auto"/>
        <w:jc w:val="right"/>
        <w:rPr>
          <w:rFonts w:hint="eastAsia" w:ascii="宋体" w:hAnsi="宋体" w:eastAsia="宋体" w:cs="宋体"/>
          <w:color w:val="auto"/>
          <w:szCs w:val="21"/>
          <w:highlight w:val="none"/>
        </w:rPr>
      </w:pPr>
    </w:p>
    <w:p w14:paraId="1C7283AA">
      <w:pPr>
        <w:spacing w:line="360" w:lineRule="auto"/>
        <w:jc w:val="center"/>
        <w:rPr>
          <w:rFonts w:hint="eastAsia" w:ascii="宋体" w:hAnsi="宋体" w:eastAsia="宋体" w:cs="宋体"/>
          <w:b/>
          <w:color w:val="auto"/>
          <w:sz w:val="52"/>
          <w:szCs w:val="52"/>
          <w:highlight w:val="none"/>
        </w:rPr>
      </w:pPr>
      <w:permStart w:id="0" w:edGrp="everyone"/>
      <w:r>
        <w:rPr>
          <w:rFonts w:hint="eastAsia" w:ascii="宋体" w:hAnsi="宋体" w:eastAsia="宋体" w:cs="宋体"/>
          <w:b/>
          <w:color w:val="auto"/>
          <w:sz w:val="52"/>
          <w:szCs w:val="52"/>
          <w:highlight w:val="none"/>
        </w:rPr>
        <w:t>中山南联新能源汽车产业基地项目</w:t>
      </w:r>
    </w:p>
    <w:p w14:paraId="0884A4B2">
      <w:pPr>
        <w:spacing w:line="360" w:lineRule="auto"/>
        <w:jc w:val="center"/>
        <w:rPr>
          <w:rFonts w:hint="eastAsia" w:ascii="宋体" w:hAnsi="宋体" w:eastAsia="宋体" w:cs="宋体"/>
          <w:b/>
          <w:color w:val="auto"/>
          <w:sz w:val="52"/>
          <w:szCs w:val="52"/>
          <w:highlight w:val="none"/>
          <w:lang w:val="en-US" w:eastAsia="zh-CN"/>
        </w:rPr>
      </w:pPr>
      <w:r>
        <w:rPr>
          <w:rFonts w:hint="eastAsia" w:ascii="宋体" w:hAnsi="宋体" w:eastAsia="宋体" w:cs="宋体"/>
          <w:b/>
          <w:color w:val="auto"/>
          <w:sz w:val="52"/>
          <w:szCs w:val="52"/>
          <w:highlight w:val="none"/>
        </w:rPr>
        <w:t>（一期）-施工</w:t>
      </w:r>
      <w:permEnd w:id="0"/>
      <w:r>
        <w:rPr>
          <w:rFonts w:hint="eastAsia" w:ascii="宋体" w:hAnsi="宋体" w:eastAsia="宋体" w:cs="宋体"/>
          <w:b/>
          <w:color w:val="auto"/>
          <w:sz w:val="52"/>
          <w:szCs w:val="52"/>
          <w:highlight w:val="none"/>
        </w:rPr>
        <w:t>招标文件</w:t>
      </w:r>
    </w:p>
    <w:p w14:paraId="50CDB087">
      <w:pPr>
        <w:spacing w:line="480" w:lineRule="auto"/>
        <w:jc w:val="center"/>
        <w:rPr>
          <w:rFonts w:hint="eastAsia" w:ascii="宋体" w:hAnsi="宋体" w:eastAsia="宋体" w:cs="宋体"/>
          <w:color w:val="auto"/>
          <w:highlight w:val="none"/>
        </w:rPr>
      </w:pPr>
      <w:r>
        <w:rPr>
          <w:rFonts w:hint="eastAsia" w:ascii="宋体" w:hAnsi="宋体" w:eastAsia="宋体" w:cs="宋体"/>
          <w:b/>
          <w:color w:val="auto"/>
          <w:sz w:val="36"/>
          <w:szCs w:val="36"/>
          <w:highlight w:val="none"/>
          <w:lang w:eastAsia="zh-CN"/>
        </w:rPr>
        <w:t>（</w:t>
      </w:r>
      <w:r>
        <w:rPr>
          <w:rFonts w:hint="eastAsia" w:ascii="宋体" w:hAnsi="宋体" w:eastAsia="宋体" w:cs="宋体"/>
          <w:b/>
          <w:color w:val="auto"/>
          <w:sz w:val="36"/>
          <w:szCs w:val="36"/>
          <w:highlight w:val="none"/>
        </w:rPr>
        <w:t>适用于评定分离</w:t>
      </w:r>
      <w:r>
        <w:rPr>
          <w:rFonts w:hint="eastAsia" w:ascii="宋体" w:hAnsi="宋体"/>
          <w:b/>
          <w:color w:val="auto"/>
          <w:sz w:val="36"/>
          <w:szCs w:val="36"/>
          <w:highlight w:val="none"/>
          <w:lang w:eastAsia="zh-CN"/>
        </w:rPr>
        <w:t>、</w:t>
      </w:r>
      <w:r>
        <w:rPr>
          <w:rFonts w:hint="eastAsia" w:ascii="宋体" w:hAnsi="宋体"/>
          <w:b/>
          <w:color w:val="auto"/>
          <w:sz w:val="36"/>
          <w:szCs w:val="36"/>
        </w:rPr>
        <w:t>网上开标电子评标</w:t>
      </w:r>
      <w:r>
        <w:rPr>
          <w:rFonts w:hint="eastAsia" w:ascii="宋体" w:hAnsi="宋体" w:eastAsia="宋体" w:cs="宋体"/>
          <w:b/>
          <w:color w:val="auto"/>
          <w:sz w:val="36"/>
          <w:szCs w:val="36"/>
          <w:highlight w:val="none"/>
          <w:lang w:eastAsia="zh-CN"/>
        </w:rPr>
        <w:t>）</w:t>
      </w:r>
    </w:p>
    <w:p w14:paraId="4DD61A5E">
      <w:pPr>
        <w:pStyle w:val="8"/>
        <w:keepNext w:val="0"/>
        <w:keepLines w:val="0"/>
        <w:pageBreakBefore w:val="0"/>
        <w:widowControl w:val="0"/>
        <w:kinsoku/>
        <w:wordWrap/>
        <w:overflowPunct/>
        <w:topLinePunct w:val="0"/>
        <w:bidi w:val="0"/>
        <w:spacing w:line="360" w:lineRule="auto"/>
        <w:textAlignment w:val="auto"/>
        <w:rPr>
          <w:rFonts w:ascii="宋体"/>
          <w:b/>
          <w:color w:val="auto"/>
          <w:sz w:val="32"/>
          <w:szCs w:val="32"/>
          <w:highlight w:val="none"/>
        </w:rPr>
      </w:pPr>
    </w:p>
    <w:p w14:paraId="14281DCE">
      <w:pPr>
        <w:keepNext w:val="0"/>
        <w:keepLines w:val="0"/>
        <w:pageBreakBefore w:val="0"/>
        <w:widowControl w:val="0"/>
        <w:kinsoku/>
        <w:wordWrap/>
        <w:overflowPunct/>
        <w:topLinePunct w:val="0"/>
        <w:bidi w:val="0"/>
        <w:spacing w:line="360" w:lineRule="auto"/>
        <w:textAlignment w:val="auto"/>
        <w:rPr>
          <w:rFonts w:ascii="宋体"/>
          <w:b/>
          <w:color w:val="auto"/>
          <w:sz w:val="32"/>
          <w:szCs w:val="32"/>
          <w:highlight w:val="none"/>
        </w:rPr>
      </w:pPr>
    </w:p>
    <w:p w14:paraId="3DE5514A">
      <w:pPr>
        <w:pStyle w:val="8"/>
        <w:keepNext w:val="0"/>
        <w:keepLines w:val="0"/>
        <w:pageBreakBefore w:val="0"/>
        <w:widowControl w:val="0"/>
        <w:kinsoku/>
        <w:wordWrap/>
        <w:overflowPunct/>
        <w:topLinePunct w:val="0"/>
        <w:bidi w:val="0"/>
        <w:spacing w:line="360" w:lineRule="auto"/>
        <w:textAlignment w:val="auto"/>
        <w:rPr>
          <w:rFonts w:ascii="宋体"/>
          <w:b/>
          <w:color w:val="auto"/>
          <w:sz w:val="32"/>
          <w:szCs w:val="32"/>
          <w:highlight w:val="none"/>
        </w:rPr>
      </w:pPr>
    </w:p>
    <w:p w14:paraId="1B7448CF">
      <w:pPr>
        <w:keepNext w:val="0"/>
        <w:keepLines w:val="0"/>
        <w:pageBreakBefore w:val="0"/>
        <w:widowControl w:val="0"/>
        <w:kinsoku/>
        <w:wordWrap/>
        <w:overflowPunct/>
        <w:topLinePunct w:val="0"/>
        <w:bidi w:val="0"/>
        <w:spacing w:line="360" w:lineRule="auto"/>
        <w:textAlignment w:val="auto"/>
        <w:rPr>
          <w:rFonts w:ascii="宋体"/>
          <w:b w:val="0"/>
          <w:bCs/>
          <w:color w:val="auto"/>
          <w:sz w:val="32"/>
          <w:szCs w:val="32"/>
          <w:highlight w:val="none"/>
        </w:rPr>
      </w:pPr>
    </w:p>
    <w:p w14:paraId="210B39FA">
      <w:pPr>
        <w:pStyle w:val="8"/>
        <w:keepNext w:val="0"/>
        <w:keepLines w:val="0"/>
        <w:pageBreakBefore w:val="0"/>
        <w:widowControl w:val="0"/>
        <w:kinsoku/>
        <w:wordWrap/>
        <w:overflowPunct/>
        <w:topLinePunct w:val="0"/>
        <w:bidi w:val="0"/>
        <w:spacing w:line="360" w:lineRule="auto"/>
        <w:textAlignment w:val="auto"/>
        <w:rPr>
          <w:rFonts w:ascii="宋体"/>
          <w:b w:val="0"/>
          <w:bCs/>
          <w:color w:val="auto"/>
          <w:sz w:val="32"/>
          <w:szCs w:val="32"/>
          <w:highlight w:val="none"/>
        </w:rPr>
      </w:pPr>
    </w:p>
    <w:p w14:paraId="45D90823">
      <w:pPr>
        <w:pStyle w:val="8"/>
        <w:keepNext w:val="0"/>
        <w:keepLines w:val="0"/>
        <w:pageBreakBefore w:val="0"/>
        <w:widowControl w:val="0"/>
        <w:kinsoku/>
        <w:wordWrap/>
        <w:overflowPunct/>
        <w:topLinePunct w:val="0"/>
        <w:bidi w:val="0"/>
        <w:spacing w:line="360" w:lineRule="auto"/>
        <w:textAlignment w:val="auto"/>
        <w:rPr>
          <w:b w:val="0"/>
          <w:bCs/>
          <w:color w:val="auto"/>
          <w:highlight w:val="none"/>
        </w:rPr>
      </w:pPr>
    </w:p>
    <w:p w14:paraId="015B78F5">
      <w:pPr>
        <w:pStyle w:val="8"/>
        <w:keepNext w:val="0"/>
        <w:keepLines w:val="0"/>
        <w:pageBreakBefore w:val="0"/>
        <w:widowControl w:val="0"/>
        <w:kinsoku/>
        <w:wordWrap/>
        <w:overflowPunct/>
        <w:topLinePunct w:val="0"/>
        <w:bidi w:val="0"/>
        <w:spacing w:line="360" w:lineRule="auto"/>
        <w:textAlignment w:val="auto"/>
        <w:rPr>
          <w:b w:val="0"/>
          <w:bCs/>
          <w:color w:val="auto"/>
          <w:highlight w:val="none"/>
        </w:rPr>
      </w:pPr>
    </w:p>
    <w:p w14:paraId="6CE7C193">
      <w:pPr>
        <w:spacing w:line="360" w:lineRule="auto"/>
        <w:ind w:firstLine="948" w:firstLineChars="295"/>
        <w:rPr>
          <w:rFonts w:hint="eastAsia" w:ascii="宋体" w:hAnsi="宋体" w:eastAsia="宋体" w:cs="宋体"/>
          <w:b/>
          <w:color w:val="auto"/>
          <w:sz w:val="32"/>
          <w:szCs w:val="32"/>
          <w:highlight w:val="none"/>
          <w:u w:val="single"/>
        </w:rPr>
      </w:pPr>
      <w:r>
        <w:rPr>
          <w:rFonts w:hint="eastAsia" w:ascii="宋体" w:hAnsi="宋体" w:eastAsia="宋体" w:cs="宋体"/>
          <w:b/>
          <w:color w:val="auto"/>
          <w:sz w:val="32"/>
          <w:szCs w:val="32"/>
          <w:highlight w:val="none"/>
        </w:rPr>
        <w:t xml:space="preserve">招 标 </w:t>
      </w:r>
      <w:r>
        <w:rPr>
          <w:rFonts w:hint="eastAsia" w:ascii="宋体" w:hAnsi="宋体" w:eastAsia="宋体" w:cs="宋体"/>
          <w:b/>
          <w:color w:val="auto"/>
          <w:sz w:val="32"/>
          <w:szCs w:val="32"/>
          <w:highlight w:val="none"/>
          <w:lang w:val="en-US" w:eastAsia="zh-CN"/>
        </w:rPr>
        <w:t>人</w:t>
      </w:r>
      <w:r>
        <w:rPr>
          <w:rFonts w:hint="eastAsia" w:ascii="宋体" w:hAnsi="宋体" w:eastAsia="宋体" w:cs="宋体"/>
          <w:b/>
          <w:color w:val="auto"/>
          <w:sz w:val="32"/>
          <w:szCs w:val="32"/>
          <w:highlight w:val="none"/>
        </w:rPr>
        <w:t xml:space="preserve"> ：</w:t>
      </w:r>
      <w:permStart w:id="1" w:edGrp="everyone"/>
      <w:r>
        <w:rPr>
          <w:rFonts w:hint="eastAsia" w:ascii="宋体" w:hAnsi="宋体" w:eastAsia="宋体" w:cs="宋体"/>
          <w:b/>
          <w:color w:val="auto"/>
          <w:sz w:val="32"/>
          <w:szCs w:val="32"/>
          <w:highlight w:val="none"/>
          <w:u w:val="single"/>
        </w:rPr>
        <w:t xml:space="preserve">  </w:t>
      </w:r>
      <w:r>
        <w:rPr>
          <w:rFonts w:hint="eastAsia" w:ascii="宋体" w:hAnsi="宋体" w:cs="宋体"/>
          <w:b/>
          <w:color w:val="auto"/>
          <w:sz w:val="32"/>
          <w:szCs w:val="32"/>
          <w:highlight w:val="none"/>
          <w:u w:val="single"/>
          <w:lang w:eastAsia="zh-CN"/>
        </w:rPr>
        <w:t>中山市坦能科技有限公司</w:t>
      </w:r>
      <w:r>
        <w:rPr>
          <w:rFonts w:hint="eastAsia" w:ascii="宋体" w:hAnsi="宋体" w:eastAsia="宋体" w:cs="宋体"/>
          <w:b/>
          <w:color w:val="auto"/>
          <w:sz w:val="32"/>
          <w:szCs w:val="32"/>
          <w:highlight w:val="none"/>
          <w:u w:val="single"/>
        </w:rPr>
        <w:t xml:space="preserve">  </w:t>
      </w:r>
      <w:permEnd w:id="1"/>
      <w:r>
        <w:rPr>
          <w:rFonts w:hint="eastAsia" w:ascii="宋体" w:hAnsi="宋体" w:eastAsia="宋体" w:cs="宋体"/>
          <w:b/>
          <w:color w:val="auto"/>
          <w:sz w:val="32"/>
          <w:szCs w:val="32"/>
          <w:highlight w:val="none"/>
        </w:rPr>
        <w:t>（盖章）</w:t>
      </w:r>
    </w:p>
    <w:p w14:paraId="308C5C8A">
      <w:pPr>
        <w:spacing w:line="360" w:lineRule="auto"/>
        <w:ind w:firstLine="948" w:firstLineChars="295"/>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招标代理机构：</w:t>
      </w:r>
      <w:permStart w:id="2" w:edGrp="everyone"/>
      <w:r>
        <w:rPr>
          <w:rFonts w:hint="eastAsia" w:ascii="宋体" w:hAnsi="宋体" w:eastAsia="宋体" w:cs="宋体"/>
          <w:b/>
          <w:color w:val="auto"/>
          <w:sz w:val="32"/>
          <w:szCs w:val="32"/>
          <w:highlight w:val="none"/>
          <w:u w:val="single"/>
        </w:rPr>
        <w:t xml:space="preserve"> </w:t>
      </w:r>
      <w:r>
        <w:rPr>
          <w:rFonts w:hint="eastAsia" w:ascii="宋体" w:hAnsi="宋体" w:cs="宋体"/>
          <w:b/>
          <w:color w:val="auto"/>
          <w:sz w:val="32"/>
          <w:szCs w:val="32"/>
          <w:highlight w:val="none"/>
          <w:u w:val="single"/>
          <w:lang w:val="en-US" w:eastAsia="zh-CN"/>
        </w:rPr>
        <w:t>智林招标（广东）有限公司</w:t>
      </w:r>
      <w:r>
        <w:rPr>
          <w:rFonts w:hint="eastAsia" w:ascii="宋体" w:hAnsi="宋体" w:eastAsia="宋体" w:cs="宋体"/>
          <w:b/>
          <w:color w:val="auto"/>
          <w:sz w:val="32"/>
          <w:szCs w:val="32"/>
          <w:highlight w:val="none"/>
          <w:u w:val="single"/>
        </w:rPr>
        <w:t xml:space="preserve"> </w:t>
      </w:r>
      <w:permEnd w:id="2"/>
      <w:r>
        <w:rPr>
          <w:rFonts w:hint="eastAsia" w:ascii="宋体" w:hAnsi="宋体" w:eastAsia="宋体" w:cs="宋体"/>
          <w:b/>
          <w:color w:val="auto"/>
          <w:sz w:val="32"/>
          <w:szCs w:val="32"/>
          <w:highlight w:val="none"/>
        </w:rPr>
        <w:t>（盖章）</w:t>
      </w:r>
    </w:p>
    <w:p w14:paraId="40287832">
      <w:pPr>
        <w:spacing w:line="360" w:lineRule="auto"/>
        <w:ind w:firstLine="948" w:firstLineChars="295"/>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招标代理项目负责人：</w:t>
      </w:r>
      <w:permStart w:id="3" w:edGrp="everyone"/>
      <w:r>
        <w:rPr>
          <w:rFonts w:hint="eastAsia" w:ascii="宋体" w:hAnsi="宋体" w:eastAsia="宋体" w:cs="宋体"/>
          <w:b/>
          <w:color w:val="auto"/>
          <w:sz w:val="32"/>
          <w:szCs w:val="32"/>
          <w:highlight w:val="none"/>
          <w:u w:val="single"/>
        </w:rPr>
        <w:t xml:space="preserve"> </w:t>
      </w:r>
      <w:r>
        <w:rPr>
          <w:rFonts w:hint="eastAsia" w:ascii="宋体" w:hAnsi="宋体" w:cs="宋体"/>
          <w:b/>
          <w:color w:val="auto"/>
          <w:sz w:val="32"/>
          <w:szCs w:val="32"/>
          <w:highlight w:val="none"/>
          <w:u w:val="single"/>
          <w:lang w:val="en-US" w:eastAsia="zh-CN"/>
        </w:rPr>
        <w:t>吴建艳</w:t>
      </w:r>
      <w:r>
        <w:rPr>
          <w:rFonts w:hint="eastAsia" w:ascii="宋体" w:hAnsi="宋体" w:eastAsia="宋体" w:cs="宋体"/>
          <w:b/>
          <w:color w:val="auto"/>
          <w:sz w:val="32"/>
          <w:szCs w:val="32"/>
          <w:highlight w:val="none"/>
          <w:u w:val="single"/>
        </w:rPr>
        <w:t xml:space="preserve">  </w:t>
      </w:r>
      <w:permEnd w:id="3"/>
      <w:r>
        <w:rPr>
          <w:rFonts w:hint="eastAsia" w:ascii="宋体" w:hAnsi="宋体" w:eastAsia="宋体" w:cs="宋体"/>
          <w:b/>
          <w:color w:val="auto"/>
          <w:sz w:val="32"/>
          <w:szCs w:val="32"/>
          <w:highlight w:val="none"/>
        </w:rPr>
        <w:t>（签名）</w:t>
      </w:r>
    </w:p>
    <w:p w14:paraId="3531013D">
      <w:pPr>
        <w:spacing w:line="360" w:lineRule="auto"/>
        <w:ind w:firstLine="948" w:firstLineChars="295"/>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招标文件编制人员：</w:t>
      </w:r>
      <w:permStart w:id="4" w:edGrp="everyone"/>
      <w:r>
        <w:rPr>
          <w:rFonts w:hint="eastAsia" w:ascii="宋体" w:hAnsi="宋体" w:eastAsia="宋体" w:cs="宋体"/>
          <w:b/>
          <w:color w:val="auto"/>
          <w:sz w:val="32"/>
          <w:szCs w:val="32"/>
          <w:highlight w:val="none"/>
          <w:u w:val="single"/>
        </w:rPr>
        <w:t xml:space="preserve"> </w:t>
      </w:r>
      <w:r>
        <w:rPr>
          <w:rFonts w:hint="eastAsia" w:ascii="宋体" w:hAnsi="宋体" w:cs="宋体"/>
          <w:b/>
          <w:color w:val="auto"/>
          <w:sz w:val="32"/>
          <w:szCs w:val="32"/>
          <w:highlight w:val="none"/>
          <w:u w:val="single"/>
          <w:lang w:val="en-US" w:eastAsia="zh-CN"/>
        </w:rPr>
        <w:t>陈素群、许富强</w:t>
      </w:r>
      <w:r>
        <w:rPr>
          <w:rFonts w:hint="eastAsia" w:ascii="宋体" w:hAnsi="宋体" w:eastAsia="宋体" w:cs="宋体"/>
          <w:b/>
          <w:color w:val="auto"/>
          <w:sz w:val="32"/>
          <w:szCs w:val="32"/>
          <w:highlight w:val="none"/>
          <w:u w:val="single"/>
        </w:rPr>
        <w:t xml:space="preserve"> </w:t>
      </w:r>
      <w:permEnd w:id="4"/>
      <w:r>
        <w:rPr>
          <w:rFonts w:hint="eastAsia" w:ascii="宋体" w:hAnsi="宋体" w:eastAsia="宋体" w:cs="宋体"/>
          <w:b/>
          <w:color w:val="auto"/>
          <w:sz w:val="32"/>
          <w:szCs w:val="32"/>
          <w:highlight w:val="none"/>
        </w:rPr>
        <w:t>（签名）</w:t>
      </w:r>
    </w:p>
    <w:p w14:paraId="298E23F1">
      <w:pPr>
        <w:spacing w:line="360" w:lineRule="auto"/>
        <w:rPr>
          <w:rFonts w:hint="eastAsia" w:ascii="宋体" w:hAnsi="宋体" w:eastAsia="宋体" w:cs="宋体"/>
          <w:b/>
          <w:color w:val="auto"/>
          <w:sz w:val="32"/>
          <w:szCs w:val="32"/>
          <w:highlight w:val="none"/>
        </w:rPr>
      </w:pPr>
    </w:p>
    <w:p w14:paraId="78F3E3AD">
      <w:pPr>
        <w:spacing w:line="360" w:lineRule="auto"/>
        <w:rPr>
          <w:rFonts w:hint="eastAsia" w:ascii="宋体" w:hAnsi="宋体" w:eastAsia="宋体" w:cs="宋体"/>
          <w:b/>
          <w:color w:val="auto"/>
          <w:sz w:val="32"/>
          <w:szCs w:val="32"/>
          <w:highlight w:val="none"/>
        </w:rPr>
      </w:pPr>
    </w:p>
    <w:p w14:paraId="28C44239">
      <w:pPr>
        <w:spacing w:line="360" w:lineRule="auto"/>
        <w:jc w:val="center"/>
        <w:rPr>
          <w:rFonts w:hint="eastAsia" w:ascii="宋体" w:hAnsi="宋体" w:eastAsia="宋体" w:cs="宋体"/>
          <w:b/>
          <w:color w:val="auto"/>
          <w:sz w:val="32"/>
          <w:szCs w:val="32"/>
          <w:highlight w:val="none"/>
        </w:rPr>
      </w:pPr>
      <w:permStart w:id="5" w:edGrp="everyone"/>
      <w:r>
        <w:rPr>
          <w:rFonts w:hint="eastAsia" w:ascii="宋体" w:hAnsi="宋体" w:eastAsia="宋体" w:cs="宋体"/>
          <w:b/>
          <w:color w:val="auto"/>
          <w:sz w:val="32"/>
          <w:szCs w:val="32"/>
          <w:highlight w:val="none"/>
          <w:u w:val="single"/>
        </w:rPr>
        <w:t xml:space="preserve"> </w:t>
      </w:r>
      <w:r>
        <w:rPr>
          <w:rFonts w:hint="eastAsia" w:ascii="宋体" w:hAnsi="宋体" w:cs="宋体"/>
          <w:b/>
          <w:color w:val="auto"/>
          <w:sz w:val="32"/>
          <w:szCs w:val="32"/>
          <w:highlight w:val="none"/>
          <w:u w:val="single"/>
          <w:lang w:val="en-US" w:eastAsia="zh-CN"/>
        </w:rPr>
        <w:t>2026</w:t>
      </w:r>
      <w:r>
        <w:rPr>
          <w:rFonts w:hint="eastAsia" w:ascii="宋体" w:hAnsi="宋体" w:eastAsia="宋体" w:cs="宋体"/>
          <w:b/>
          <w:color w:val="auto"/>
          <w:sz w:val="32"/>
          <w:szCs w:val="32"/>
          <w:highlight w:val="none"/>
          <w:u w:val="single"/>
        </w:rPr>
        <w:t xml:space="preserve"> </w:t>
      </w:r>
      <w:permEnd w:id="5"/>
      <w:r>
        <w:rPr>
          <w:rFonts w:hint="eastAsia" w:ascii="宋体" w:hAnsi="宋体" w:eastAsia="宋体" w:cs="宋体"/>
          <w:b/>
          <w:color w:val="auto"/>
          <w:sz w:val="32"/>
          <w:szCs w:val="32"/>
          <w:highlight w:val="none"/>
        </w:rPr>
        <w:t>年</w:t>
      </w:r>
      <w:permStart w:id="6" w:edGrp="everyone"/>
      <w:r>
        <w:rPr>
          <w:rFonts w:hint="eastAsia" w:ascii="宋体" w:hAnsi="宋体" w:eastAsia="宋体" w:cs="宋体"/>
          <w:b/>
          <w:color w:val="auto"/>
          <w:sz w:val="32"/>
          <w:szCs w:val="32"/>
          <w:highlight w:val="none"/>
          <w:u w:val="single"/>
        </w:rPr>
        <w:t xml:space="preserve"> </w:t>
      </w:r>
      <w:r>
        <w:rPr>
          <w:rFonts w:hint="eastAsia" w:ascii="宋体" w:hAnsi="宋体" w:cs="宋体"/>
          <w:b/>
          <w:color w:val="auto"/>
          <w:sz w:val="32"/>
          <w:szCs w:val="32"/>
          <w:highlight w:val="none"/>
          <w:u w:val="single"/>
          <w:lang w:val="en-US" w:eastAsia="zh-CN"/>
        </w:rPr>
        <w:t>10</w:t>
      </w:r>
      <w:r>
        <w:rPr>
          <w:rFonts w:hint="eastAsia" w:ascii="宋体" w:hAnsi="宋体" w:eastAsia="宋体" w:cs="宋体"/>
          <w:b/>
          <w:color w:val="auto"/>
          <w:sz w:val="32"/>
          <w:szCs w:val="32"/>
          <w:highlight w:val="none"/>
          <w:u w:val="single"/>
        </w:rPr>
        <w:t xml:space="preserve"> </w:t>
      </w:r>
      <w:permEnd w:id="6"/>
      <w:r>
        <w:rPr>
          <w:rFonts w:hint="eastAsia" w:ascii="宋体" w:hAnsi="宋体" w:eastAsia="宋体" w:cs="宋体"/>
          <w:b/>
          <w:color w:val="auto"/>
          <w:sz w:val="32"/>
          <w:szCs w:val="32"/>
          <w:highlight w:val="none"/>
        </w:rPr>
        <w:t>月</w:t>
      </w:r>
    </w:p>
    <w:p w14:paraId="1C88F263">
      <w:pPr>
        <w:pageBreakBefore w:val="0"/>
        <w:kinsoku/>
        <w:wordWrap/>
        <w:overflowPunct/>
        <w:topLinePunct w:val="0"/>
        <w:bidi w:val="0"/>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32"/>
          <w:szCs w:val="32"/>
          <w:highlight w:val="none"/>
        </w:rPr>
        <w:br w:type="page"/>
      </w:r>
      <w:r>
        <w:rPr>
          <w:rFonts w:hint="eastAsia" w:ascii="宋体" w:hAnsi="宋体" w:eastAsia="宋体" w:cs="宋体"/>
          <w:b/>
          <w:color w:val="auto"/>
          <w:sz w:val="24"/>
          <w:highlight w:val="none"/>
        </w:rPr>
        <w:t>使用说明</w:t>
      </w:r>
    </w:p>
    <w:p w14:paraId="140CB1DD">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本招标文件范本以《中华人民共和国标准施工招标文件（2007版）》为基础，参照</w:t>
      </w:r>
      <w:r>
        <w:rPr>
          <w:rFonts w:hint="eastAsia" w:ascii="宋体" w:hAnsi="宋体"/>
          <w:color w:val="auto"/>
          <w:szCs w:val="21"/>
          <w:highlight w:val="none"/>
          <w:lang w:val="en-US" w:eastAsia="zh-CN"/>
        </w:rPr>
        <w:t>《</w:t>
      </w:r>
      <w:r>
        <w:rPr>
          <w:rFonts w:hint="eastAsia" w:ascii="宋体" w:hAnsi="宋体"/>
          <w:color w:val="auto"/>
          <w:szCs w:val="21"/>
          <w:highlight w:val="none"/>
        </w:rPr>
        <w:t>中山市房屋市政工程服务类招标评定分离工作指导规则（试行）</w:t>
      </w:r>
      <w:r>
        <w:rPr>
          <w:rFonts w:hint="eastAsia" w:ascii="宋体" w:hAnsi="宋体"/>
          <w:color w:val="auto"/>
          <w:szCs w:val="21"/>
          <w:highlight w:val="none"/>
          <w:lang w:val="en-US" w:eastAsia="zh-CN"/>
        </w:rPr>
        <w:t>》（</w:t>
      </w:r>
      <w:r>
        <w:rPr>
          <w:rFonts w:hint="eastAsia" w:eastAsia="宋体"/>
          <w:color w:val="auto"/>
          <w:highlight w:val="none"/>
          <w:lang w:val="en-US" w:eastAsia="zh-CN"/>
        </w:rPr>
        <w:t>中建通</w:t>
      </w:r>
      <w:r>
        <w:rPr>
          <w:rFonts w:hint="eastAsia" w:ascii="宋体" w:hAnsi="宋体" w:eastAsia="宋体" w:cs="Times New Roman"/>
          <w:color w:val="auto"/>
          <w:szCs w:val="21"/>
          <w:highlight w:val="none"/>
          <w:lang w:val="en-US" w:eastAsia="zh-CN"/>
        </w:rPr>
        <w:t>〔2021〕104</w:t>
      </w:r>
      <w:r>
        <w:rPr>
          <w:rFonts w:hint="eastAsia" w:eastAsia="宋体"/>
          <w:color w:val="auto"/>
          <w:highlight w:val="none"/>
          <w:lang w:val="en-US" w:eastAsia="zh-CN"/>
        </w:rPr>
        <w:t>号）</w:t>
      </w:r>
      <w:r>
        <w:rPr>
          <w:rFonts w:hint="eastAsia" w:ascii="宋体" w:hAnsi="宋体" w:eastAsia="宋体" w:cs="宋体"/>
          <w:color w:val="auto"/>
          <w:szCs w:val="21"/>
          <w:highlight w:val="none"/>
          <w:lang w:val="en-US" w:eastAsia="zh-CN"/>
        </w:rPr>
        <w:t>，结合本市有关工程招标投标的管理规定进行编制。本范本适用于本市采用评定分离电子招标投标的项目、且设计和施工不是由同一承包商承担的工程施工招标。</w:t>
      </w:r>
    </w:p>
    <w:p w14:paraId="05FA2442">
      <w:pPr>
        <w:keepNext w:val="0"/>
        <w:keepLines w:val="0"/>
        <w:widowControl/>
        <w:numPr>
          <w:ilvl w:val="0"/>
          <w:numId w:val="2"/>
        </w:numPr>
        <w:suppressLineNumbers w:val="0"/>
        <w:spacing w:line="360" w:lineRule="auto"/>
        <w:ind w:firstLine="42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招标文件范本用相同序号标示的章、节、条、款、项、目，供招标人和投标人选择使用；以空格标示的由招标人填写的内容，招标人应根据招标项目具体特点和实际需要具体化，确实没有需要填写的，在空格中用“/”标示；</w:t>
      </w:r>
      <w:r>
        <w:rPr>
          <w:rFonts w:hint="eastAsia" w:ascii="宋体" w:hAnsi="宋体" w:eastAsia="宋体" w:cs="宋体"/>
          <w:color w:val="auto"/>
          <w:kern w:val="2"/>
          <w:sz w:val="21"/>
          <w:szCs w:val="21"/>
          <w:highlight w:val="none"/>
          <w:lang w:val="en-US"/>
        </w:rPr>
        <w:t>招标文件中注有</w:t>
      </w:r>
      <w:r>
        <w:rPr>
          <w:rFonts w:hint="eastAsia" w:ascii="宋体" w:hAnsi="宋体" w:eastAsia="宋体" w:cs="宋体"/>
          <w:color w:val="auto"/>
          <w:sz w:val="21"/>
          <w:szCs w:val="21"/>
          <w:highlight w:val="none"/>
        </w:rPr>
        <w:t>“■”或“</w:t>
      </w:r>
      <w:r>
        <w:rPr>
          <w:rFonts w:hint="eastAsia" w:ascii="宋体" w:hAnsi="宋体" w:eastAsia="宋体" w:cs="宋体"/>
          <w:color w:val="auto"/>
          <w:szCs w:val="21"/>
          <w:highlight w:val="none"/>
          <w:lang w:eastAsia="zh-CN"/>
        </w:rPr>
        <w:t>☑</w:t>
      </w:r>
      <w:r>
        <w:rPr>
          <w:rFonts w:hint="eastAsia" w:ascii="宋体" w:hAnsi="宋体" w:eastAsia="宋体" w:cs="宋体"/>
          <w:color w:val="auto"/>
          <w:sz w:val="21"/>
          <w:szCs w:val="21"/>
          <w:highlight w:val="none"/>
        </w:rPr>
        <w:t>”</w:t>
      </w:r>
      <w:r>
        <w:rPr>
          <w:rFonts w:hint="eastAsia" w:ascii="宋体" w:hAnsi="宋体" w:eastAsia="宋体" w:cs="宋体"/>
          <w:color w:val="auto"/>
          <w:kern w:val="2"/>
          <w:sz w:val="21"/>
          <w:szCs w:val="21"/>
          <w:highlight w:val="none"/>
          <w:lang w:val="en-US"/>
        </w:rPr>
        <w:t>符号的条款为采用的条款，注有“</w:t>
      </w:r>
      <w:r>
        <w:rPr>
          <w:rFonts w:hint="eastAsia" w:ascii="宋体" w:hAnsi="宋体" w:eastAsia="宋体" w:cs="宋体"/>
          <w:color w:val="auto"/>
          <w:szCs w:val="21"/>
          <w:highlight w:val="none"/>
          <w:lang w:eastAsia="zh-CN"/>
        </w:rPr>
        <w:t>□</w:t>
      </w:r>
      <w:r>
        <w:rPr>
          <w:rFonts w:hint="eastAsia" w:ascii="宋体" w:hAnsi="宋体" w:eastAsia="宋体" w:cs="宋体"/>
          <w:color w:val="auto"/>
          <w:kern w:val="2"/>
          <w:sz w:val="21"/>
          <w:szCs w:val="21"/>
          <w:highlight w:val="none"/>
          <w:lang w:val="en-US"/>
        </w:rPr>
        <w:t>”符号的条款为不采用的条款。</w:t>
      </w:r>
    </w:p>
    <w:p w14:paraId="65F8F797">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招标人按照本招标文件范本第一章的格式发布招标公告后，将实际发布的招标公告编入招标文件中，作为投标邀请。其中，招标公告应同时注明发布所在的所有媒介名称。</w:t>
      </w:r>
    </w:p>
    <w:p w14:paraId="5B0FD458">
      <w:pPr>
        <w:numPr>
          <w:ilvl w:val="0"/>
          <w:numId w:val="2"/>
        </w:numPr>
        <w:spacing w:line="360" w:lineRule="auto"/>
        <w:ind w:left="0" w:leftChars="0" w:firstLine="420" w:firstLineChars="0"/>
        <w:rPr>
          <w:rFonts w:hint="eastAsia" w:ascii="宋体" w:hAnsi="宋体" w:eastAsia="宋体" w:cs="Times New Roman"/>
          <w:color w:val="auto"/>
          <w:szCs w:val="21"/>
          <w:highlight w:val="none"/>
        </w:rPr>
      </w:pPr>
      <w:r>
        <w:rPr>
          <w:rFonts w:hint="eastAsia" w:ascii="宋体" w:hAnsi="宋体" w:eastAsia="宋体" w:cs="宋体"/>
          <w:color w:val="auto"/>
          <w:szCs w:val="21"/>
          <w:highlight w:val="none"/>
          <w:lang w:val="en-US" w:eastAsia="zh-CN"/>
        </w:rPr>
        <w:t>本招标文件范本第三章规定的各评审因素的评审标准、分值和权重、定标规则等由招标人在不违反有关工程招标投标的管理规定及相关法律法规的情况下自主确定。</w:t>
      </w:r>
      <w:r>
        <w:rPr>
          <w:rFonts w:hint="eastAsia" w:ascii="宋体" w:hAnsi="宋体" w:eastAsia="宋体" w:cs="Times New Roman"/>
          <w:color w:val="auto"/>
          <w:szCs w:val="21"/>
          <w:highlight w:val="none"/>
        </w:rPr>
        <w:t>招标人有以下情形之一的，属于以不合理条件限制、排斥潜在投标人或投标人：</w:t>
      </w:r>
    </w:p>
    <w:p w14:paraId="19EB23C8">
      <w:pPr>
        <w:numPr>
          <w:ilvl w:val="0"/>
          <w:numId w:val="0"/>
        </w:numPr>
        <w:spacing w:line="360" w:lineRule="auto"/>
        <w:ind w:left="0" w:leftChars="0"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一）提出注册地址、所有制性质、市场占有率、特定行政区域或者特定行业的业绩或奖项、政府部门、行业协会商会或者其他机构作出的与工程建设无关的荣誉奖励和慈善公益证明、取得非强制资质认证、设立本地分支机构、本地缴纳税收社保等要求。</w:t>
      </w:r>
    </w:p>
    <w:p w14:paraId="02824A98">
      <w:pPr>
        <w:numPr>
          <w:ilvl w:val="0"/>
          <w:numId w:val="0"/>
        </w:numPr>
        <w:spacing w:line="360" w:lineRule="auto"/>
        <w:ind w:left="0" w:leftChars="0"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二）设定企业股东背景、年平均承接项目数量或者金额、从业人员、纳税额、营业场所面积等规模条件；设置超过项目实际需要的企业注册资本、资产总额、净资产规模、营业收入、利润、授信额度等财务指标。</w:t>
      </w:r>
    </w:p>
    <w:p w14:paraId="3C6021A8">
      <w:pPr>
        <w:numPr>
          <w:ilvl w:val="0"/>
          <w:numId w:val="0"/>
        </w:numPr>
        <w:spacing w:line="360" w:lineRule="auto"/>
        <w:ind w:left="0" w:leftChars="0"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（三）将国家已经明令取消的资质资格作为加分条件、中标条件；在国家已经明令取消资质资格的领域，将其他资质资格作为加分条件、中标条件。</w:t>
      </w:r>
    </w:p>
    <w:p w14:paraId="2689661C">
      <w:pPr>
        <w:numPr>
          <w:ilvl w:val="0"/>
          <w:numId w:val="0"/>
        </w:numPr>
        <w:spacing w:line="360" w:lineRule="auto"/>
        <w:ind w:left="0" w:leftChars="0"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（四）评标、定标规则向国有企业、本地企业、大型企业倾斜，排斥民营企业、外资企业、外地企业、中小企业。</w:t>
      </w:r>
    </w:p>
    <w:p w14:paraId="6A3F5254">
      <w:pPr>
        <w:numPr>
          <w:ilvl w:val="0"/>
          <w:numId w:val="0"/>
        </w:numPr>
        <w:spacing w:line="360" w:lineRule="auto"/>
        <w:ind w:left="0" w:leftChars="0"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（五）限定或者指定特定的专利、商标、品牌、原产地、供应商或者检验检测认证机构（法律法规有明确要求的除外），套用特定生产供应者的条件设定投标人的技术、商务（资信）条件。</w:t>
      </w:r>
    </w:p>
    <w:p w14:paraId="4716F5EB">
      <w:pPr>
        <w:numPr>
          <w:ilvl w:val="0"/>
          <w:numId w:val="0"/>
        </w:numPr>
        <w:spacing w:line="360" w:lineRule="auto"/>
        <w:ind w:left="0" w:leftChars="0"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（六）设定的技术、商务（资信）条件与招标项目的具体特点和实际需要不相适应或者与合同履行无关。</w:t>
      </w:r>
    </w:p>
    <w:p w14:paraId="6FCA5537">
      <w:pPr>
        <w:numPr>
          <w:ilvl w:val="0"/>
          <w:numId w:val="0"/>
        </w:numPr>
        <w:spacing w:line="360" w:lineRule="auto"/>
        <w:ind w:left="420" w:leftChars="0" w:firstLine="0" w:firstLineChars="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（七）</w:t>
      </w:r>
      <w:r>
        <w:rPr>
          <w:rFonts w:hint="eastAsia" w:ascii="宋体" w:hAnsi="宋体" w:eastAsia="宋体" w:cs="Times New Roman"/>
          <w:color w:val="auto"/>
          <w:szCs w:val="21"/>
          <w:highlight w:val="none"/>
          <w:lang w:eastAsia="zh-CN"/>
        </w:rPr>
        <w:t>国家、省、市等文件规定的</w:t>
      </w:r>
      <w:r>
        <w:rPr>
          <w:rFonts w:hint="eastAsia" w:ascii="宋体" w:hAnsi="宋体" w:eastAsia="宋体" w:cs="Times New Roman"/>
          <w:color w:val="auto"/>
          <w:szCs w:val="21"/>
          <w:highlight w:val="none"/>
        </w:rPr>
        <w:t>以其他不合理条件限制、排斥潜在投标人</w:t>
      </w:r>
      <w:r>
        <w:rPr>
          <w:rFonts w:hint="eastAsia" w:ascii="宋体" w:hAnsi="宋体" w:eastAsia="宋体" w:cs="Times New Roman"/>
          <w:color w:val="auto"/>
          <w:szCs w:val="21"/>
          <w:highlight w:val="none"/>
          <w:lang w:eastAsia="zh-CN"/>
        </w:rPr>
        <w:t>的情形</w:t>
      </w:r>
      <w:r>
        <w:rPr>
          <w:rFonts w:hint="eastAsia" w:ascii="宋体" w:hAnsi="宋体" w:eastAsia="宋体" w:cs="Times New Roman"/>
          <w:color w:val="auto"/>
          <w:szCs w:val="21"/>
          <w:highlight w:val="none"/>
        </w:rPr>
        <w:t>。</w:t>
      </w:r>
    </w:p>
    <w:p w14:paraId="47EC5369">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第五章“工程量清单及工程量清单计价”由招标人根据工程量清单的国家标准、行业标准，以及行业标准施工招标文件（如有）、招标项目具体特点和实际需要编制，并与“投标人须知”“通用合同条款”“专用合同条款”“技术标准和要求”“图纸”相衔接。本章所附表格可根据相关规定作相应的调整和补充。</w:t>
      </w:r>
    </w:p>
    <w:p w14:paraId="6769C992">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第六章“图纸”由招标人根据施工招标文件、招标项目具体特点和实际需要编制，并与“投标人须知”“通用合同条款”“专用合同条款”“技术标准和要求”相衔接。</w:t>
      </w:r>
    </w:p>
    <w:p w14:paraId="719CAA0E">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第七章“技术标准和要求”由招标人根据施工招标文件、招标项目具体特点和实际需要编制。“技术标准和要求”中的各项技术标准应符合国家强制性标准，不得要求或标明某一特定的专利、商标、名称、设计、原产地或生产供应者，不得含有倾向或者排斥潜在投标人的其他内容。如果必须引用某一生产供应者的技术标准才能准确或清楚地说明拟招标项目的技术标准时，则应当在参照后面加上“或相当于”字样。</w:t>
      </w:r>
    </w:p>
    <w:p w14:paraId="1E788367">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投标人资格条件的设置说明</w:t>
      </w:r>
    </w:p>
    <w:p w14:paraId="06717CF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（一）资质条件：按与招标工程规模相符的最低资质设定</w:t>
      </w:r>
      <w:r>
        <w:rPr>
          <w:rFonts w:hint="eastAsia" w:ascii="宋体" w:hAnsi="宋体"/>
          <w:color w:val="auto"/>
          <w:szCs w:val="21"/>
          <w:highlight w:val="none"/>
        </w:rPr>
        <w:t>，</w:t>
      </w:r>
      <w:r>
        <w:rPr>
          <w:rFonts w:hint="eastAsia"/>
          <w:color w:val="auto"/>
          <w:highlight w:val="none"/>
        </w:rPr>
        <w:t>不得抬高标准</w:t>
      </w:r>
      <w:r>
        <w:rPr>
          <w:rFonts w:hint="eastAsia" w:ascii="宋体" w:hAnsi="宋体" w:eastAsia="宋体" w:cs="宋体"/>
          <w:color w:val="auto"/>
          <w:szCs w:val="21"/>
          <w:highlight w:val="none"/>
        </w:rPr>
        <w:t>。</w:t>
      </w:r>
    </w:p>
    <w:p w14:paraId="372BC343">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cs="宋体"/>
          <w:b w:val="0"/>
          <w:bCs w:val="0"/>
          <w:color w:val="auto"/>
          <w:kern w:val="2"/>
          <w:sz w:val="21"/>
          <w:szCs w:val="21"/>
          <w:highlight w:val="none"/>
          <w:lang w:val="en-US" w:eastAsia="zh-CN" w:bidi="ar-SA"/>
        </w:rPr>
        <w:t>二</w:t>
      </w:r>
      <w:r>
        <w:rPr>
          <w:rFonts w:hint="eastAsia" w:ascii="宋体" w:hAnsi="宋体" w:eastAsia="宋体" w:cs="宋体"/>
          <w:b w:val="0"/>
          <w:bCs w:val="0"/>
          <w:color w:val="auto"/>
          <w:kern w:val="2"/>
          <w:sz w:val="21"/>
          <w:szCs w:val="21"/>
          <w:highlight w:val="none"/>
          <w:lang w:val="en-US" w:eastAsia="zh-CN" w:bidi="ar-SA"/>
        </w:rPr>
        <w:t>）类似工程业绩要求：</w:t>
      </w:r>
      <w:r>
        <w:rPr>
          <w:rFonts w:hint="eastAsia" w:ascii="宋体" w:hAnsi="宋体" w:eastAsia="宋体" w:cs="宋体"/>
          <w:color w:val="auto"/>
          <w:szCs w:val="21"/>
          <w:highlight w:val="none"/>
        </w:rPr>
        <w:t>招标人可以在投标人资格条件中要求投标人具备完成过1个质量合格的类似工程业绩。时间范围不得少于3年，且不得超过5年（从招标公告发布之日起倒算）</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类似工程业绩的设定可以设置1个指标要求，或者设置多个</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不多于3个</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指标要求但仅需满足其中之一即可。设置的指标仅限于工程规模</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如</w:t>
      </w:r>
      <w:r>
        <w:rPr>
          <w:rFonts w:hint="eastAsia" w:ascii="宋体" w:hAnsi="宋体" w:eastAsia="宋体" w:cs="宋体"/>
          <w:color w:val="auto"/>
          <w:szCs w:val="21"/>
          <w:highlight w:val="none"/>
        </w:rPr>
        <w:t>造价、面积、长度等</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技术性指标</w:t>
      </w:r>
      <w:r>
        <w:rPr>
          <w:rFonts w:hint="eastAsia" w:ascii="宋体" w:hAnsi="宋体" w:eastAsia="宋体" w:cs="宋体"/>
          <w:color w:val="auto"/>
          <w:szCs w:val="21"/>
          <w:highlight w:val="none"/>
        </w:rPr>
        <w:t>，其中</w:t>
      </w:r>
      <w:r>
        <w:rPr>
          <w:rFonts w:hint="eastAsia" w:ascii="宋体" w:hAnsi="宋体" w:eastAsia="宋体" w:cs="宋体"/>
          <w:color w:val="auto"/>
          <w:szCs w:val="21"/>
          <w:highlight w:val="none"/>
          <w:lang w:val="en-US" w:eastAsia="zh-CN"/>
        </w:rPr>
        <w:t>工程规模指标</w:t>
      </w:r>
      <w:r>
        <w:rPr>
          <w:rFonts w:hint="eastAsia" w:ascii="宋体" w:hAnsi="宋体" w:eastAsia="宋体" w:cs="宋体"/>
          <w:color w:val="auto"/>
          <w:szCs w:val="21"/>
          <w:highlight w:val="none"/>
        </w:rPr>
        <w:t>不得</w:t>
      </w:r>
      <w:r>
        <w:rPr>
          <w:rFonts w:hint="eastAsia" w:ascii="宋体" w:hAnsi="宋体" w:eastAsia="宋体" w:cs="宋体"/>
          <w:color w:val="auto"/>
          <w:szCs w:val="21"/>
          <w:highlight w:val="none"/>
          <w:lang w:val="en-US" w:eastAsia="zh-CN"/>
        </w:rPr>
        <w:t>高于</w:t>
      </w:r>
      <w:r>
        <w:rPr>
          <w:rFonts w:hint="eastAsia" w:ascii="宋体" w:hAnsi="宋体" w:eastAsia="宋体" w:cs="宋体"/>
          <w:color w:val="auto"/>
          <w:szCs w:val="21"/>
          <w:highlight w:val="none"/>
        </w:rPr>
        <w:t>招标工程本身</w:t>
      </w:r>
      <w:r>
        <w:rPr>
          <w:rFonts w:hint="eastAsia" w:ascii="宋体" w:hAnsi="宋体" w:eastAsia="宋体" w:cs="宋体"/>
          <w:color w:val="auto"/>
          <w:szCs w:val="21"/>
          <w:highlight w:val="none"/>
          <w:lang w:val="en-US" w:eastAsia="zh-CN"/>
        </w:rPr>
        <w:t>相应</w:t>
      </w:r>
      <w:r>
        <w:rPr>
          <w:rFonts w:hint="eastAsia" w:ascii="宋体" w:hAnsi="宋体" w:eastAsia="宋体" w:cs="宋体"/>
          <w:color w:val="auto"/>
          <w:szCs w:val="21"/>
          <w:highlight w:val="none"/>
        </w:rPr>
        <w:t>的指标的2/3，技术性指标不得高于招标工程本身</w:t>
      </w:r>
      <w:r>
        <w:rPr>
          <w:rFonts w:hint="eastAsia" w:ascii="宋体" w:hAnsi="宋体" w:eastAsia="宋体" w:cs="宋体"/>
          <w:color w:val="auto"/>
          <w:szCs w:val="21"/>
          <w:highlight w:val="none"/>
          <w:lang w:val="en-US" w:eastAsia="zh-CN"/>
        </w:rPr>
        <w:t>相应</w:t>
      </w:r>
      <w:r>
        <w:rPr>
          <w:rFonts w:hint="eastAsia" w:ascii="宋体" w:hAnsi="宋体" w:eastAsia="宋体" w:cs="宋体"/>
          <w:color w:val="auto"/>
          <w:szCs w:val="21"/>
          <w:highlight w:val="none"/>
        </w:rPr>
        <w:t>的指标。类似工程是指按《住房城乡建设部关于印发〈建筑业企业资质标准〉的通知》（建市〔2014〕159号）等企业资质管理规定，应当采用的资质类别与招标项目应当采用的资质类别相同的工程。对于市政公用工程招标项目所设“类似工程”可以根据招标项目类型细化至给水工程、排水工程、燃气工程、热力工程、城市道路工程、城市桥梁工程、城市隧道工程、公共交通工程、轨道交通工程、环境卫生工程、照明工程</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绿化工程</w:t>
      </w:r>
      <w:r>
        <w:rPr>
          <w:rFonts w:hint="eastAsia" w:ascii="宋体" w:hAnsi="宋体" w:eastAsia="宋体" w:cs="宋体"/>
          <w:color w:val="auto"/>
          <w:szCs w:val="21"/>
          <w:highlight w:val="none"/>
        </w:rPr>
        <w:t>。</w:t>
      </w:r>
    </w:p>
    <w:p w14:paraId="334E1290">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否决性条款的设置要求</w:t>
      </w:r>
    </w:p>
    <w:p w14:paraId="36C3AD09">
      <w:pPr>
        <w:pageBreakBefore w:val="0"/>
        <w:kinsoku/>
        <w:wordWrap/>
        <w:overflowPunct/>
        <w:topLinePunct w:val="0"/>
        <w:bidi w:val="0"/>
        <w:spacing w:line="360" w:lineRule="auto"/>
        <w:ind w:firstLine="420" w:firstLineChars="200"/>
        <w:textAlignment w:val="auto"/>
        <w:rPr>
          <w:rFonts w:hint="eastAsia" w:ascii="宋体" w:hAnsi="宋体" w:eastAsia="宋体" w:cs="宋体"/>
          <w:b/>
          <w:color w:val="auto"/>
          <w:szCs w:val="21"/>
          <w:highlight w:val="none"/>
        </w:rPr>
      </w:pPr>
      <w:r>
        <w:rPr>
          <w:rFonts w:hint="eastAsia" w:ascii="宋体" w:hAnsi="宋体" w:eastAsia="宋体" w:cs="宋体"/>
          <w:color w:val="auto"/>
          <w:kern w:val="0"/>
          <w:szCs w:val="21"/>
          <w:highlight w:val="none"/>
        </w:rPr>
        <w:t>否决性条款</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包括</w:t>
      </w:r>
      <w:r>
        <w:rPr>
          <w:rFonts w:hint="eastAsia" w:ascii="宋体" w:hAnsi="宋体" w:eastAsia="宋体" w:cs="宋体"/>
          <w:color w:val="auto"/>
          <w:szCs w:val="21"/>
          <w:highlight w:val="none"/>
        </w:rPr>
        <w:t>不予受理、</w:t>
      </w:r>
      <w:r>
        <w:rPr>
          <w:rFonts w:hint="eastAsia" w:ascii="宋体" w:hAnsi="宋体" w:eastAsia="宋体" w:cs="宋体"/>
          <w:color w:val="auto"/>
          <w:szCs w:val="21"/>
          <w:highlight w:val="none"/>
          <w:lang w:eastAsia="zh-CN"/>
        </w:rPr>
        <w:t>否决投标</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szCs w:val="21"/>
          <w:highlight w:val="none"/>
        </w:rPr>
        <w:t>必须单列，</w:t>
      </w:r>
      <w:r>
        <w:rPr>
          <w:rFonts w:hint="eastAsia" w:ascii="宋体" w:hAnsi="宋体" w:eastAsia="宋体" w:cs="宋体"/>
          <w:color w:val="auto"/>
          <w:kern w:val="0"/>
          <w:szCs w:val="21"/>
          <w:highlight w:val="none"/>
        </w:rPr>
        <w:t>招标文件的其他条款与该单列的否决性条款不一致或者未单列的，</w:t>
      </w:r>
      <w:r>
        <w:rPr>
          <w:rFonts w:hint="eastAsia" w:ascii="宋体" w:hAnsi="宋体" w:eastAsia="宋体" w:cs="宋体"/>
          <w:b/>
          <w:bCs/>
          <w:color w:val="auto"/>
          <w:kern w:val="0"/>
          <w:szCs w:val="21"/>
          <w:highlight w:val="none"/>
        </w:rPr>
        <w:t>以单列的否决性条款为准</w:t>
      </w:r>
      <w:r>
        <w:rPr>
          <w:rFonts w:hint="eastAsia" w:ascii="宋体" w:hAnsi="宋体" w:eastAsia="宋体" w:cs="宋体"/>
          <w:color w:val="auto"/>
          <w:kern w:val="0"/>
          <w:szCs w:val="21"/>
          <w:highlight w:val="none"/>
        </w:rPr>
        <w:t>。否决性条款应当明确，易于判断，不可含有“实质性不响应招标文件要求”“投标文件中附有招标人不可接受的条件”等评标委员会难以界定的条款。</w:t>
      </w:r>
      <w:r>
        <w:rPr>
          <w:rFonts w:hint="eastAsia" w:ascii="宋体" w:hAnsi="宋体" w:eastAsia="宋体" w:cs="宋体"/>
          <w:b/>
          <w:color w:val="auto"/>
          <w:kern w:val="0"/>
          <w:szCs w:val="21"/>
          <w:highlight w:val="none"/>
        </w:rPr>
        <w:t>除法律法规规定外，</w:t>
      </w:r>
      <w:r>
        <w:rPr>
          <w:rFonts w:hint="eastAsia" w:ascii="宋体" w:hAnsi="宋体" w:eastAsia="宋体" w:cs="宋体"/>
          <w:b/>
          <w:color w:val="auto"/>
          <w:szCs w:val="21"/>
          <w:highlight w:val="none"/>
        </w:rPr>
        <w:t>否决性条款中没有列出的不予受理或</w:t>
      </w:r>
      <w:r>
        <w:rPr>
          <w:rFonts w:hint="eastAsia" w:ascii="宋体" w:hAnsi="宋体" w:eastAsia="宋体" w:cs="宋体"/>
          <w:b/>
          <w:color w:val="auto"/>
          <w:szCs w:val="21"/>
          <w:highlight w:val="none"/>
          <w:lang w:eastAsia="zh-CN"/>
        </w:rPr>
        <w:t>否决投标</w:t>
      </w:r>
      <w:r>
        <w:rPr>
          <w:rFonts w:hint="eastAsia" w:ascii="宋体" w:hAnsi="宋体" w:eastAsia="宋体" w:cs="宋体"/>
          <w:b/>
          <w:color w:val="auto"/>
          <w:szCs w:val="21"/>
          <w:highlight w:val="none"/>
        </w:rPr>
        <w:t>的条款，不得作为不予受理或</w:t>
      </w:r>
      <w:r>
        <w:rPr>
          <w:rFonts w:hint="eastAsia" w:ascii="宋体" w:hAnsi="宋体" w:eastAsia="宋体" w:cs="宋体"/>
          <w:b/>
          <w:color w:val="auto"/>
          <w:szCs w:val="21"/>
          <w:highlight w:val="none"/>
          <w:lang w:eastAsia="zh-CN"/>
        </w:rPr>
        <w:t>否决投标</w:t>
      </w:r>
      <w:r>
        <w:rPr>
          <w:rFonts w:hint="eastAsia" w:ascii="宋体" w:hAnsi="宋体" w:eastAsia="宋体" w:cs="宋体"/>
          <w:b/>
          <w:color w:val="auto"/>
          <w:szCs w:val="21"/>
          <w:highlight w:val="none"/>
        </w:rPr>
        <w:t>的依据。</w:t>
      </w:r>
    </w:p>
    <w:p w14:paraId="77D1C0F2">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评标委员会对投标文件中不明确之处，可通过招标人书面要求投标人进行书面澄清，但不应作为评审不通过的理由。如投标人不按照要求进行澄清，其评审可不予通过。</w:t>
      </w:r>
    </w:p>
    <w:p w14:paraId="4AD8653E">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招标人或</w:t>
      </w:r>
      <w:r>
        <w:rPr>
          <w:rFonts w:hint="eastAsia" w:ascii="宋体" w:hAnsi="宋体" w:cs="宋体"/>
          <w:color w:val="auto"/>
          <w:szCs w:val="21"/>
          <w:highlight w:val="none"/>
          <w:lang w:val="en-US" w:eastAsia="zh-CN"/>
        </w:rPr>
        <w:t>资格审查工作小组或</w:t>
      </w:r>
      <w:r>
        <w:rPr>
          <w:rFonts w:hint="eastAsia" w:ascii="宋体" w:hAnsi="宋体" w:eastAsia="宋体" w:cs="宋体"/>
          <w:color w:val="auto"/>
          <w:szCs w:val="21"/>
          <w:highlight w:val="none"/>
          <w:lang w:val="en-US" w:eastAsia="zh-CN"/>
        </w:rPr>
        <w:t>评标委员会对投标人的</w:t>
      </w:r>
      <w:r>
        <w:rPr>
          <w:rFonts w:hint="eastAsia" w:ascii="宋体" w:hAnsi="宋体" w:cs="宋体"/>
          <w:color w:val="auto"/>
          <w:szCs w:val="21"/>
          <w:highlight w:val="none"/>
          <w:lang w:val="en-US" w:eastAsia="zh-CN"/>
        </w:rPr>
        <w:t>投标资格能力</w:t>
      </w:r>
      <w:r>
        <w:rPr>
          <w:rFonts w:hint="eastAsia" w:ascii="宋体" w:hAnsi="宋体" w:eastAsia="宋体" w:cs="宋体"/>
          <w:color w:val="auto"/>
          <w:szCs w:val="21"/>
          <w:highlight w:val="none"/>
          <w:lang w:val="en-US" w:eastAsia="zh-CN"/>
        </w:rPr>
        <w:t>有所怀疑时，可通过各级行政监管部门政务信息平台进行</w:t>
      </w:r>
      <w:r>
        <w:rPr>
          <w:rFonts w:hint="eastAsia" w:ascii="宋体" w:hAnsi="宋体" w:cs="宋体"/>
          <w:color w:val="auto"/>
          <w:szCs w:val="21"/>
          <w:highlight w:val="none"/>
          <w:lang w:val="en-US" w:eastAsia="zh-CN"/>
        </w:rPr>
        <w:t>核验</w:t>
      </w:r>
      <w:r>
        <w:rPr>
          <w:rFonts w:hint="eastAsia" w:ascii="宋体" w:hAnsi="宋体" w:eastAsia="宋体" w:cs="宋体"/>
          <w:color w:val="auto"/>
          <w:szCs w:val="21"/>
          <w:highlight w:val="none"/>
          <w:lang w:val="en-US" w:eastAsia="zh-CN"/>
        </w:rPr>
        <w:t>。</w:t>
      </w:r>
    </w:p>
    <w:p w14:paraId="462A3CDC">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电子评标注意事项</w:t>
      </w:r>
    </w:p>
    <w:p w14:paraId="598FCD15">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（一）发生下列情况的，开标（评标）无效、中止或终止，恢复开标（评标）的时间视情况而定。</w:t>
      </w:r>
    </w:p>
    <w:p w14:paraId="01BAA6D9">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停电或服务器发生故障而无法访问网页或</w:t>
      </w:r>
      <w:r>
        <w:rPr>
          <w:rFonts w:hint="eastAsia" w:ascii="宋体" w:hAnsi="宋体" w:eastAsia="宋体" w:cs="宋体"/>
          <w:color w:val="auto"/>
          <w:szCs w:val="21"/>
          <w:highlight w:val="none"/>
          <w:lang w:eastAsia="zh-CN"/>
        </w:rPr>
        <w:t>工程建设交易系统</w:t>
      </w:r>
      <w:r>
        <w:rPr>
          <w:rFonts w:hint="eastAsia" w:ascii="宋体" w:hAnsi="宋体" w:eastAsia="宋体" w:cs="宋体"/>
          <w:color w:val="auto"/>
          <w:kern w:val="0"/>
          <w:szCs w:val="21"/>
          <w:highlight w:val="none"/>
        </w:rPr>
        <w:t>；</w:t>
      </w:r>
    </w:p>
    <w:p w14:paraId="00E536C2">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szCs w:val="21"/>
          <w:highlight w:val="none"/>
          <w:lang w:eastAsia="zh-CN"/>
        </w:rPr>
        <w:t>工程建设交易系统</w:t>
      </w:r>
      <w:r>
        <w:rPr>
          <w:rFonts w:hint="eastAsia" w:ascii="宋体" w:hAnsi="宋体" w:eastAsia="宋体" w:cs="宋体"/>
          <w:color w:val="auto"/>
          <w:kern w:val="0"/>
          <w:szCs w:val="21"/>
          <w:highlight w:val="none"/>
        </w:rPr>
        <w:t>软件或网络数据库出现错误，不能进行正常的操作；</w:t>
      </w:r>
    </w:p>
    <w:p w14:paraId="75507826">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szCs w:val="21"/>
          <w:highlight w:val="none"/>
          <w:lang w:eastAsia="zh-CN"/>
        </w:rPr>
        <w:t>工程建设交易系统</w:t>
      </w:r>
      <w:r>
        <w:rPr>
          <w:rFonts w:hint="eastAsia" w:ascii="宋体" w:hAnsi="宋体" w:eastAsia="宋体" w:cs="宋体"/>
          <w:color w:val="auto"/>
          <w:kern w:val="0"/>
          <w:szCs w:val="21"/>
          <w:highlight w:val="none"/>
        </w:rPr>
        <w:t>发现有安全漏洞，有潜在的泄密危险；</w:t>
      </w:r>
    </w:p>
    <w:p w14:paraId="606E3604">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计算机病毒造成影响；</w:t>
      </w:r>
    </w:p>
    <w:p w14:paraId="280578E1">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其他无法保证电子招标投标过程的公平、公正和信息安全的意外情况；</w:t>
      </w:r>
    </w:p>
    <w:p w14:paraId="6606CE8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司法机关、纪检监察等部门依法要求中止或者终止电子招标投标活动的；</w:t>
      </w:r>
    </w:p>
    <w:p w14:paraId="54A4F578">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市政府依法作出该项目中止或者终止的；</w:t>
      </w:r>
    </w:p>
    <w:p w14:paraId="057EA31B">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w:t>
      </w:r>
      <w:r>
        <w:rPr>
          <w:rFonts w:hint="eastAsia" w:ascii="宋体" w:hAnsi="宋体" w:eastAsia="宋体" w:cs="宋体"/>
          <w:color w:val="auto"/>
          <w:kern w:val="0"/>
          <w:szCs w:val="21"/>
          <w:highlight w:val="none"/>
          <w:lang w:val="en-US" w:eastAsia="zh-CN"/>
        </w:rPr>
        <w:t>.</w:t>
      </w:r>
      <w:r>
        <w:rPr>
          <w:rFonts w:hint="eastAsia" w:ascii="宋体" w:hAnsi="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招标人有正当理由要求中止的；</w:t>
      </w:r>
    </w:p>
    <w:p w14:paraId="3FB24467">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依法应当中止或终止网上招标投标活动的其他情形。</w:t>
      </w:r>
    </w:p>
    <w:p w14:paraId="6F4F61C4">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（二）对电子招标投标过程中出现的意外情况，市公共资源交易中心有解释权和处理权，招标人同步告知招投标监管部门。</w:t>
      </w:r>
    </w:p>
    <w:p w14:paraId="3E9CC868">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（三）电子招标投标中止、终止或者结束后，招标人（招标代理）应将电子招标投标活动的记录下载打印成纸质文档存档。</w:t>
      </w:r>
    </w:p>
    <w:p w14:paraId="633E4D3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（四）投标人在电子招标投标活动中实施的行为所产生的后果，由投标人承担。</w:t>
      </w:r>
    </w:p>
    <w:p w14:paraId="689F3980">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投标人的数字证书和密码丢失或被他人冒用、盗用的后果，由投标人承担。</w:t>
      </w:r>
    </w:p>
    <w:p w14:paraId="146B1E9F">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 不得</w:t>
      </w:r>
      <w:r>
        <w:rPr>
          <w:rFonts w:hint="eastAsia" w:ascii="宋体" w:hAnsi="宋体" w:eastAsia="宋体" w:cs="宋体"/>
          <w:color w:val="auto"/>
          <w:kern w:val="0"/>
          <w:szCs w:val="21"/>
          <w:highlight w:val="none"/>
        </w:rPr>
        <w:t>使用他人数字证书或把数字证书借给他人使用。</w:t>
      </w:r>
    </w:p>
    <w:p w14:paraId="1112D1B1">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因投标人计算机系统遭遇网络堵塞、病毒入侵、硬件故障等不能正常登录工程建设交易系统投标的，后果由投标人承担，电子招标投标活动继续进行。</w:t>
      </w:r>
    </w:p>
    <w:p w14:paraId="7BFA5694">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经工程建设交易系统检测到投标人与其他投标人的投标特征码一致的，其投标文件将被否决。</w:t>
      </w:r>
    </w:p>
    <w:p w14:paraId="6D52F52F">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电子招标投标活动过程中有不良行为的依照《中山市建设工程企业诚信管理办法》进行处理。</w:t>
      </w:r>
    </w:p>
    <w:p w14:paraId="20A2867A">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（五）电子评标的项目，投标人须递交具备法律效力的电子投标文件，不再提供纸质投标文件。</w:t>
      </w:r>
    </w:p>
    <w:p w14:paraId="67596026">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（六）</w:t>
      </w:r>
      <w:r>
        <w:rPr>
          <w:rFonts w:hint="eastAsia" w:ascii="宋体" w:hAnsi="宋体" w:eastAsia="宋体" w:cs="宋体"/>
          <w:color w:val="auto"/>
          <w:kern w:val="0"/>
          <w:szCs w:val="21"/>
          <w:highlight w:val="none"/>
          <w:lang w:val="en-US" w:eastAsia="zh-CN"/>
        </w:rPr>
        <w:t>电子投标文件应根据招标文件及</w:t>
      </w:r>
      <w:r>
        <w:rPr>
          <w:rFonts w:hint="eastAsia" w:ascii="宋体" w:hAnsi="宋体" w:eastAsia="宋体" w:cs="宋体"/>
          <w:color w:val="auto"/>
          <w:szCs w:val="21"/>
          <w:highlight w:val="none"/>
          <w:lang w:eastAsia="zh-CN"/>
        </w:rPr>
        <w:t>工程建设交易系统</w:t>
      </w:r>
      <w:r>
        <w:rPr>
          <w:rFonts w:hint="eastAsia" w:ascii="宋体" w:hAnsi="宋体" w:eastAsia="宋体" w:cs="宋体"/>
          <w:color w:val="auto"/>
          <w:szCs w:val="21"/>
          <w:highlight w:val="none"/>
          <w:lang w:val="en-US" w:eastAsia="zh-CN"/>
        </w:rPr>
        <w:t>的要求编制</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不按要求编制导致电子投标文件无法读取或无法打开的，按否决投标处理</w:t>
      </w:r>
      <w:r>
        <w:rPr>
          <w:rFonts w:hint="eastAsia" w:ascii="宋体" w:hAnsi="宋体" w:eastAsia="宋体" w:cs="宋体"/>
          <w:color w:val="auto"/>
          <w:kern w:val="0"/>
          <w:szCs w:val="21"/>
          <w:highlight w:val="none"/>
        </w:rPr>
        <w:t>。为规范电子评标项目工程量清单的填报，请各投标人在填报工程量清单时认真按照招标人提供的工程量清单填报，任何的不一致将导致计算机不能读取而</w:t>
      </w:r>
      <w:r>
        <w:rPr>
          <w:rFonts w:hint="eastAsia" w:ascii="宋体" w:hAnsi="宋体" w:eastAsia="宋体" w:cs="宋体"/>
          <w:color w:val="auto"/>
          <w:kern w:val="0"/>
          <w:szCs w:val="21"/>
          <w:highlight w:val="none"/>
          <w:lang w:val="en-US" w:eastAsia="zh-CN"/>
        </w:rPr>
        <w:t>按否决投标处理</w:t>
      </w:r>
      <w:r>
        <w:rPr>
          <w:rFonts w:hint="eastAsia" w:ascii="宋体" w:hAnsi="宋体" w:eastAsia="宋体" w:cs="宋体"/>
          <w:color w:val="auto"/>
          <w:kern w:val="0"/>
          <w:szCs w:val="21"/>
          <w:highlight w:val="none"/>
        </w:rPr>
        <w:t>。</w:t>
      </w:r>
    </w:p>
    <w:p w14:paraId="44B59C2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rPr>
        <w:t>（七）</w:t>
      </w:r>
      <w:r>
        <w:rPr>
          <w:rFonts w:hint="eastAsia" w:ascii="宋体" w:hAnsi="宋体" w:eastAsia="宋体" w:cs="宋体"/>
          <w:color w:val="auto"/>
          <w:kern w:val="0"/>
          <w:szCs w:val="21"/>
          <w:highlight w:val="none"/>
          <w:lang w:eastAsia="zh-CN"/>
        </w:rPr>
        <w:t>招标文件</w:t>
      </w:r>
      <w:r>
        <w:rPr>
          <w:rFonts w:hint="eastAsia" w:ascii="宋体" w:hAnsi="宋体" w:eastAsia="宋体" w:cs="宋体"/>
          <w:color w:val="auto"/>
          <w:kern w:val="0"/>
          <w:szCs w:val="21"/>
          <w:highlight w:val="none"/>
        </w:rPr>
        <w:t>中</w:t>
      </w:r>
      <w:r>
        <w:rPr>
          <w:rFonts w:hint="eastAsia" w:ascii="宋体" w:hAnsi="宋体" w:eastAsia="宋体" w:cs="宋体"/>
          <w:color w:val="auto"/>
          <w:kern w:val="0"/>
          <w:szCs w:val="21"/>
          <w:highlight w:val="none"/>
          <w:lang w:val="en-US" w:eastAsia="zh-CN"/>
        </w:rPr>
        <w:t>提到的复印件、扫描件，彩色或黑白均可，但必须清晰、明辨，否则投标人自行承担后果。</w:t>
      </w:r>
    </w:p>
    <w:p w14:paraId="44D86316">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（八）电子招标投标其他有关注意事项详见电子招投标相关法律法规。</w:t>
      </w:r>
    </w:p>
    <w:p w14:paraId="55F3F7AE">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目前电子招标投标项目须投标人递交电子投标文件一份（在投标截止前上传），若工程建设交易系统出现故障、停电等原因导致招标失败的，可另行安排时间进行开标评标。</w:t>
      </w:r>
    </w:p>
    <w:p w14:paraId="48057436">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招标人原则上按照本范本要求编制招标文件，在实际执行过程中确需增加范本以外的内容或修改范本内容的，应符合法律法规的规定并在《招标人对招标文件范本条款的修改》中列明。</w:t>
      </w:r>
    </w:p>
    <w:p w14:paraId="204F033B">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本招标文件范本将根据实际执行过程中出现的问题及时进行修改。各使用单位或个人对本招标文件范本有修改意见和建议的，可向市招投标监管部门反映，联系电话：0760-88333919。</w:t>
      </w:r>
    </w:p>
    <w:p w14:paraId="50C8C602">
      <w:pPr>
        <w:numPr>
          <w:ilvl w:val="0"/>
          <w:numId w:val="2"/>
        </w:numPr>
        <w:spacing w:line="360" w:lineRule="auto"/>
        <w:ind w:left="0" w:leftChars="0" w:firstLine="42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未被列为“失信被执行人”以《信用中国》网站下载的信用报告和国家企业信用信息公示系统下载的企业信用信息公示报告为依据，信用报告的具体版式以《信用中国》网站、国家企业信用信息公示系统的版式为准。</w:t>
      </w:r>
    </w:p>
    <w:p w14:paraId="0B6E707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p>
    <w:p w14:paraId="5607D29C">
      <w:pPr>
        <w:spacing w:line="360" w:lineRule="auto"/>
        <w:ind w:firstLine="562" w:firstLineChars="200"/>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r>
        <w:rPr>
          <w:rFonts w:hint="eastAsia" w:ascii="宋体" w:hAnsi="宋体" w:eastAsia="宋体" w:cs="宋体"/>
          <w:b/>
          <w:color w:val="auto"/>
          <w:sz w:val="28"/>
          <w:szCs w:val="28"/>
          <w:highlight w:val="none"/>
        </w:rPr>
        <w:t>目    录</w:t>
      </w:r>
    </w:p>
    <w:p w14:paraId="5A99B9BA">
      <w:pPr>
        <w:pStyle w:val="20"/>
        <w:tabs>
          <w:tab w:val="right" w:leader="dot" w:pos="9638"/>
        </w:tabs>
      </w:pPr>
      <w:permStart w:id="7" w:edGrp="everyone"/>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TOC \o "1-2" \h \u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_Toc402491958 </w:instrText>
      </w:r>
      <w:r>
        <w:rPr>
          <w:rFonts w:hint="eastAsia" w:ascii="宋体" w:hAnsi="宋体" w:eastAsia="宋体" w:cs="宋体"/>
          <w:highlight w:val="none"/>
        </w:rPr>
        <w:fldChar w:fldCharType="separate"/>
      </w:r>
      <w:r>
        <w:rPr>
          <w:rFonts w:hint="eastAsia" w:ascii="宋体" w:hAnsi="宋体" w:eastAsia="宋体" w:cs="宋体"/>
          <w:szCs w:val="32"/>
          <w:highlight w:val="none"/>
        </w:rPr>
        <w:t>第一章 招标公告</w:t>
      </w:r>
      <w:r>
        <w:tab/>
      </w:r>
      <w:r>
        <w:fldChar w:fldCharType="begin"/>
      </w:r>
      <w:r>
        <w:instrText xml:space="preserve"> PAGEREF _Toc402491958 </w:instrText>
      </w:r>
      <w:r>
        <w:fldChar w:fldCharType="separate"/>
      </w:r>
      <w:r>
        <w:t>8</w:t>
      </w:r>
      <w:r>
        <w:fldChar w:fldCharType="end"/>
      </w:r>
      <w:r>
        <w:rPr>
          <w:rFonts w:hint="eastAsia" w:ascii="宋体" w:hAnsi="宋体" w:eastAsia="宋体" w:cs="宋体"/>
          <w:color w:val="auto"/>
          <w:highlight w:val="none"/>
        </w:rPr>
        <w:fldChar w:fldCharType="end"/>
      </w:r>
    </w:p>
    <w:p w14:paraId="03035A4C">
      <w:pPr>
        <w:pStyle w:val="20"/>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_Toc1187807918 </w:instrText>
      </w:r>
      <w:r>
        <w:rPr>
          <w:rFonts w:hint="eastAsia" w:ascii="宋体" w:hAnsi="宋体" w:eastAsia="宋体" w:cs="宋体"/>
          <w:highlight w:val="none"/>
        </w:rPr>
        <w:fldChar w:fldCharType="separate"/>
      </w:r>
      <w:r>
        <w:rPr>
          <w:rFonts w:hint="eastAsia" w:ascii="宋体" w:hAnsi="宋体" w:eastAsia="宋体" w:cs="宋体"/>
          <w:szCs w:val="32"/>
          <w:highlight w:val="none"/>
        </w:rPr>
        <w:t>第二章 投标人须知</w:t>
      </w:r>
      <w:r>
        <w:tab/>
      </w:r>
      <w:r>
        <w:fldChar w:fldCharType="begin"/>
      </w:r>
      <w:r>
        <w:instrText xml:space="preserve"> PAGEREF _Toc1187807918 </w:instrText>
      </w:r>
      <w:r>
        <w:fldChar w:fldCharType="separate"/>
      </w:r>
      <w:r>
        <w:t>11</w:t>
      </w:r>
      <w:r>
        <w:fldChar w:fldCharType="end"/>
      </w:r>
      <w:r>
        <w:rPr>
          <w:rFonts w:hint="eastAsia" w:ascii="宋体" w:hAnsi="宋体" w:eastAsia="宋体" w:cs="宋体"/>
          <w:color w:val="auto"/>
          <w:highlight w:val="none"/>
        </w:rPr>
        <w:fldChar w:fldCharType="end"/>
      </w:r>
    </w:p>
    <w:p w14:paraId="1C2EF5BA">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_Toc1701234602 </w:instrText>
      </w:r>
      <w:r>
        <w:rPr>
          <w:rFonts w:hint="eastAsia" w:ascii="宋体" w:hAnsi="宋体" w:eastAsia="宋体" w:cs="宋体"/>
          <w:highlight w:val="none"/>
        </w:rPr>
        <w:fldChar w:fldCharType="separate"/>
      </w:r>
      <w:r>
        <w:rPr>
          <w:rFonts w:hint="eastAsia" w:ascii="宋体" w:hAnsi="宋体" w:cs="宋体"/>
          <w:highlight w:val="none"/>
          <w:lang w:eastAsia="zh-CN"/>
        </w:rPr>
        <w:t>（一）</w:t>
      </w:r>
      <w:r>
        <w:rPr>
          <w:rFonts w:hint="eastAsia" w:ascii="宋体" w:hAnsi="宋体" w:eastAsia="宋体" w:cs="宋体"/>
          <w:highlight w:val="none"/>
        </w:rPr>
        <w:t>投标人须知前附表</w:t>
      </w:r>
      <w:r>
        <w:tab/>
      </w:r>
      <w:r>
        <w:fldChar w:fldCharType="begin"/>
      </w:r>
      <w:r>
        <w:instrText xml:space="preserve"> PAGEREF _Toc1701234602 </w:instrText>
      </w:r>
      <w:r>
        <w:fldChar w:fldCharType="separate"/>
      </w:r>
      <w:r>
        <w:t>11</w:t>
      </w:r>
      <w:r>
        <w:fldChar w:fldCharType="end"/>
      </w:r>
      <w:r>
        <w:rPr>
          <w:rFonts w:hint="eastAsia" w:ascii="宋体" w:hAnsi="宋体" w:eastAsia="宋体" w:cs="宋体"/>
          <w:color w:val="auto"/>
          <w:highlight w:val="none"/>
        </w:rPr>
        <w:fldChar w:fldCharType="end"/>
      </w:r>
    </w:p>
    <w:p w14:paraId="06036AFE">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_Toc82555523 </w:instrText>
      </w:r>
      <w:r>
        <w:rPr>
          <w:rFonts w:hint="eastAsia" w:ascii="宋体" w:hAnsi="宋体" w:eastAsia="宋体" w:cs="宋体"/>
          <w:highlight w:val="none"/>
        </w:rPr>
        <w:fldChar w:fldCharType="separate"/>
      </w:r>
      <w:r>
        <w:rPr>
          <w:rFonts w:hint="eastAsia"/>
          <w:highlight w:val="none"/>
          <w:lang w:val="en-US" w:eastAsia="zh-CN"/>
        </w:rPr>
        <w:t>（二）资格审查要素表</w:t>
      </w:r>
      <w:r>
        <w:tab/>
      </w:r>
      <w:r>
        <w:fldChar w:fldCharType="begin"/>
      </w:r>
      <w:r>
        <w:instrText xml:space="preserve"> PAGEREF _Toc82555523 </w:instrText>
      </w:r>
      <w:r>
        <w:fldChar w:fldCharType="separate"/>
      </w:r>
      <w:r>
        <w:t>22</w:t>
      </w:r>
      <w:r>
        <w:fldChar w:fldCharType="end"/>
      </w:r>
      <w:r>
        <w:rPr>
          <w:rFonts w:hint="eastAsia" w:ascii="宋体" w:hAnsi="宋体" w:eastAsia="宋体" w:cs="宋体"/>
          <w:color w:val="auto"/>
          <w:highlight w:val="none"/>
        </w:rPr>
        <w:fldChar w:fldCharType="end"/>
      </w:r>
    </w:p>
    <w:p w14:paraId="49CD938F">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_Toc1494121449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1. </w:t>
      </w:r>
      <w:r>
        <w:rPr>
          <w:rFonts w:hint="eastAsia"/>
          <w:highlight w:val="none"/>
        </w:rPr>
        <w:t>总则</w:t>
      </w:r>
      <w:r>
        <w:tab/>
      </w:r>
      <w:r>
        <w:fldChar w:fldCharType="begin"/>
      </w:r>
      <w:r>
        <w:instrText xml:space="preserve"> PAGEREF _Toc1494121449 </w:instrText>
      </w:r>
      <w:r>
        <w:fldChar w:fldCharType="separate"/>
      </w:r>
      <w:r>
        <w:t>24</w:t>
      </w:r>
      <w:r>
        <w:fldChar w:fldCharType="end"/>
      </w:r>
      <w:r>
        <w:rPr>
          <w:rFonts w:hint="eastAsia" w:ascii="宋体" w:hAnsi="宋体" w:eastAsia="宋体" w:cs="宋体"/>
          <w:color w:val="auto"/>
          <w:highlight w:val="none"/>
        </w:rPr>
        <w:fldChar w:fldCharType="end"/>
      </w:r>
    </w:p>
    <w:p w14:paraId="6C03F544">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_Toc40265277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2. </w:t>
      </w:r>
      <w:r>
        <w:rPr>
          <w:rFonts w:hint="eastAsia" w:ascii="宋体" w:hAnsi="宋体" w:eastAsia="宋体" w:cs="宋体"/>
          <w:highlight w:val="none"/>
        </w:rPr>
        <w:t>招标文件</w:t>
      </w:r>
      <w:r>
        <w:tab/>
      </w:r>
      <w:r>
        <w:fldChar w:fldCharType="begin"/>
      </w:r>
      <w:r>
        <w:instrText xml:space="preserve"> PAGEREF _Toc40265277 </w:instrText>
      </w:r>
      <w:r>
        <w:fldChar w:fldCharType="separate"/>
      </w:r>
      <w:r>
        <w:t>26</w:t>
      </w:r>
      <w:r>
        <w:fldChar w:fldCharType="end"/>
      </w:r>
      <w:r>
        <w:rPr>
          <w:rFonts w:hint="eastAsia" w:ascii="宋体" w:hAnsi="宋体" w:eastAsia="宋体" w:cs="宋体"/>
          <w:color w:val="auto"/>
          <w:highlight w:val="none"/>
        </w:rPr>
        <w:fldChar w:fldCharType="end"/>
      </w:r>
    </w:p>
    <w:p w14:paraId="609AF7BE">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_Toc1066567224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3. </w:t>
      </w:r>
      <w:r>
        <w:rPr>
          <w:rFonts w:hint="eastAsia" w:ascii="宋体" w:hAnsi="宋体" w:eastAsia="宋体" w:cs="宋体"/>
          <w:highlight w:val="none"/>
        </w:rPr>
        <w:t>投标文件</w:t>
      </w:r>
      <w:r>
        <w:tab/>
      </w:r>
      <w:r>
        <w:fldChar w:fldCharType="begin"/>
      </w:r>
      <w:r>
        <w:instrText xml:space="preserve"> PAGEREF _Toc1066567224 </w:instrText>
      </w:r>
      <w:r>
        <w:fldChar w:fldCharType="separate"/>
      </w:r>
      <w:r>
        <w:t>27</w:t>
      </w:r>
      <w:r>
        <w:fldChar w:fldCharType="end"/>
      </w:r>
      <w:r>
        <w:rPr>
          <w:rFonts w:hint="eastAsia" w:ascii="宋体" w:hAnsi="宋体" w:eastAsia="宋体" w:cs="宋体"/>
          <w:color w:val="auto"/>
          <w:highlight w:val="none"/>
        </w:rPr>
        <w:fldChar w:fldCharType="end"/>
      </w:r>
    </w:p>
    <w:p w14:paraId="3D8FB172">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_Toc992988618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4. </w:t>
      </w:r>
      <w:r>
        <w:rPr>
          <w:rFonts w:hint="eastAsia" w:ascii="宋体" w:hAnsi="宋体" w:eastAsia="宋体" w:cs="宋体"/>
          <w:highlight w:val="none"/>
        </w:rPr>
        <w:t>投标</w:t>
      </w:r>
      <w:r>
        <w:tab/>
      </w:r>
      <w:r>
        <w:fldChar w:fldCharType="begin"/>
      </w:r>
      <w:r>
        <w:instrText xml:space="preserve"> PAGEREF _Toc992988618 </w:instrText>
      </w:r>
      <w:r>
        <w:fldChar w:fldCharType="separate"/>
      </w:r>
      <w:r>
        <w:t>31</w:t>
      </w:r>
      <w:r>
        <w:fldChar w:fldCharType="end"/>
      </w:r>
      <w:r>
        <w:rPr>
          <w:rFonts w:hint="eastAsia" w:ascii="宋体" w:hAnsi="宋体" w:eastAsia="宋体" w:cs="宋体"/>
          <w:color w:val="auto"/>
          <w:highlight w:val="none"/>
        </w:rPr>
        <w:fldChar w:fldCharType="end"/>
      </w:r>
    </w:p>
    <w:p w14:paraId="46220E17">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_Toc1144728685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5. </w:t>
      </w:r>
      <w:r>
        <w:rPr>
          <w:rFonts w:hint="eastAsia" w:ascii="宋体" w:hAnsi="宋体" w:eastAsia="宋体" w:cs="宋体"/>
          <w:highlight w:val="none"/>
        </w:rPr>
        <w:t>开标</w:t>
      </w:r>
      <w:r>
        <w:tab/>
      </w:r>
      <w:r>
        <w:fldChar w:fldCharType="begin"/>
      </w:r>
      <w:r>
        <w:instrText xml:space="preserve"> PAGEREF _Toc1144728685 </w:instrText>
      </w:r>
      <w:r>
        <w:fldChar w:fldCharType="separate"/>
      </w:r>
      <w:r>
        <w:t>31</w:t>
      </w:r>
      <w:r>
        <w:fldChar w:fldCharType="end"/>
      </w:r>
      <w:r>
        <w:rPr>
          <w:rFonts w:hint="eastAsia" w:ascii="宋体" w:hAnsi="宋体" w:eastAsia="宋体" w:cs="宋体"/>
          <w:color w:val="auto"/>
          <w:highlight w:val="none"/>
        </w:rPr>
        <w:fldChar w:fldCharType="end"/>
      </w:r>
    </w:p>
    <w:p w14:paraId="110B7072">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_Toc1197699455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6. </w:t>
      </w:r>
      <w:r>
        <w:rPr>
          <w:rFonts w:hint="eastAsia" w:ascii="宋体" w:hAnsi="宋体" w:cs="宋体"/>
          <w:highlight w:val="none"/>
          <w:lang w:eastAsia="zh-CN"/>
        </w:rPr>
        <w:t>资格审查及入围筛选</w:t>
      </w:r>
      <w:r>
        <w:tab/>
      </w:r>
      <w:r>
        <w:fldChar w:fldCharType="begin"/>
      </w:r>
      <w:r>
        <w:instrText xml:space="preserve"> PAGEREF _Toc1197699455 </w:instrText>
      </w:r>
      <w:r>
        <w:fldChar w:fldCharType="separate"/>
      </w:r>
      <w:r>
        <w:t>32</w:t>
      </w:r>
      <w:r>
        <w:fldChar w:fldCharType="end"/>
      </w:r>
      <w:r>
        <w:rPr>
          <w:rFonts w:hint="eastAsia" w:ascii="宋体" w:hAnsi="宋体" w:eastAsia="宋体" w:cs="宋体"/>
          <w:color w:val="auto"/>
          <w:highlight w:val="none"/>
        </w:rPr>
        <w:fldChar w:fldCharType="end"/>
      </w:r>
    </w:p>
    <w:p w14:paraId="078881A5">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_Toc185786374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7. </w:t>
      </w:r>
      <w:r>
        <w:rPr>
          <w:rFonts w:hint="eastAsia" w:ascii="宋体" w:hAnsi="宋体" w:cs="宋体"/>
          <w:highlight w:val="none"/>
          <w:lang w:eastAsia="zh-CN"/>
        </w:rPr>
        <w:t>评标</w:t>
      </w:r>
      <w:r>
        <w:tab/>
      </w:r>
      <w:r>
        <w:fldChar w:fldCharType="begin"/>
      </w:r>
      <w:r>
        <w:instrText xml:space="preserve"> PAGEREF _Toc185786374 </w:instrText>
      </w:r>
      <w:r>
        <w:fldChar w:fldCharType="separate"/>
      </w:r>
      <w:r>
        <w:t>32</w:t>
      </w:r>
      <w:r>
        <w:fldChar w:fldCharType="end"/>
      </w:r>
      <w:r>
        <w:rPr>
          <w:rFonts w:hint="eastAsia" w:ascii="宋体" w:hAnsi="宋体" w:eastAsia="宋体" w:cs="宋体"/>
          <w:color w:val="auto"/>
          <w:highlight w:val="none"/>
        </w:rPr>
        <w:fldChar w:fldCharType="end"/>
      </w:r>
    </w:p>
    <w:p w14:paraId="443314BC">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_Toc1949671920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8. </w:t>
      </w:r>
      <w:r>
        <w:rPr>
          <w:rFonts w:hint="eastAsia" w:ascii="宋体" w:hAnsi="宋体" w:cs="宋体"/>
          <w:highlight w:val="none"/>
          <w:lang w:eastAsia="zh-CN"/>
        </w:rPr>
        <w:t>定标</w:t>
      </w:r>
      <w:r>
        <w:tab/>
      </w:r>
      <w:r>
        <w:fldChar w:fldCharType="begin"/>
      </w:r>
      <w:r>
        <w:instrText xml:space="preserve"> PAGEREF _Toc1949671920 </w:instrText>
      </w:r>
      <w:r>
        <w:fldChar w:fldCharType="separate"/>
      </w:r>
      <w:r>
        <w:t>33</w:t>
      </w:r>
      <w:r>
        <w:fldChar w:fldCharType="end"/>
      </w:r>
      <w:r>
        <w:rPr>
          <w:rFonts w:hint="eastAsia" w:ascii="宋体" w:hAnsi="宋体" w:eastAsia="宋体" w:cs="宋体"/>
          <w:color w:val="auto"/>
          <w:highlight w:val="none"/>
        </w:rPr>
        <w:fldChar w:fldCharType="end"/>
      </w:r>
    </w:p>
    <w:p w14:paraId="0B0EE7AC">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_Toc1416312289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9. </w:t>
      </w:r>
      <w:r>
        <w:rPr>
          <w:rFonts w:hint="eastAsia" w:ascii="宋体" w:hAnsi="宋体" w:cs="宋体"/>
          <w:highlight w:val="none"/>
          <w:lang w:eastAsia="zh-CN"/>
        </w:rPr>
        <w:t>合同授予</w:t>
      </w:r>
      <w:r>
        <w:tab/>
      </w:r>
      <w:r>
        <w:fldChar w:fldCharType="begin"/>
      </w:r>
      <w:r>
        <w:instrText xml:space="preserve"> PAGEREF _Toc1416312289 </w:instrText>
      </w:r>
      <w:r>
        <w:fldChar w:fldCharType="separate"/>
      </w:r>
      <w:r>
        <w:t>34</w:t>
      </w:r>
      <w:r>
        <w:fldChar w:fldCharType="end"/>
      </w:r>
      <w:r>
        <w:rPr>
          <w:rFonts w:hint="eastAsia" w:ascii="宋体" w:hAnsi="宋体" w:eastAsia="宋体" w:cs="宋体"/>
          <w:color w:val="auto"/>
          <w:highlight w:val="none"/>
        </w:rPr>
        <w:fldChar w:fldCharType="end"/>
      </w:r>
    </w:p>
    <w:p w14:paraId="07096418">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_Toc702903766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10. </w:t>
      </w:r>
      <w:r>
        <w:rPr>
          <w:rFonts w:hint="eastAsia" w:ascii="宋体" w:hAnsi="宋体" w:cs="宋体"/>
          <w:highlight w:val="none"/>
          <w:lang w:eastAsia="zh-CN"/>
        </w:rPr>
        <w:t>重新招标和不再招标</w:t>
      </w:r>
      <w:r>
        <w:tab/>
      </w:r>
      <w:r>
        <w:fldChar w:fldCharType="begin"/>
      </w:r>
      <w:r>
        <w:instrText xml:space="preserve"> PAGEREF _Toc702903766 </w:instrText>
      </w:r>
      <w:r>
        <w:fldChar w:fldCharType="separate"/>
      </w:r>
      <w:r>
        <w:t>35</w:t>
      </w:r>
      <w:r>
        <w:fldChar w:fldCharType="end"/>
      </w:r>
      <w:r>
        <w:rPr>
          <w:rFonts w:hint="eastAsia" w:ascii="宋体" w:hAnsi="宋体" w:eastAsia="宋体" w:cs="宋体"/>
          <w:color w:val="auto"/>
          <w:highlight w:val="none"/>
        </w:rPr>
        <w:fldChar w:fldCharType="end"/>
      </w:r>
    </w:p>
    <w:p w14:paraId="0EBC7BE0">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_Toc208034362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11. </w:t>
      </w:r>
      <w:r>
        <w:rPr>
          <w:rFonts w:hint="eastAsia" w:ascii="宋体" w:hAnsi="宋体" w:eastAsia="宋体" w:cs="宋体"/>
          <w:highlight w:val="none"/>
          <w:lang w:val="en-US" w:eastAsia="zh-CN"/>
        </w:rPr>
        <w:t>纪律和监督</w:t>
      </w:r>
      <w:r>
        <w:tab/>
      </w:r>
      <w:r>
        <w:fldChar w:fldCharType="begin"/>
      </w:r>
      <w:r>
        <w:instrText xml:space="preserve"> PAGEREF _Toc208034362 </w:instrText>
      </w:r>
      <w:r>
        <w:fldChar w:fldCharType="separate"/>
      </w:r>
      <w:r>
        <w:t>36</w:t>
      </w:r>
      <w:r>
        <w:fldChar w:fldCharType="end"/>
      </w:r>
      <w:r>
        <w:rPr>
          <w:rFonts w:hint="eastAsia" w:ascii="宋体" w:hAnsi="宋体" w:eastAsia="宋体" w:cs="宋体"/>
          <w:color w:val="auto"/>
          <w:highlight w:val="none"/>
        </w:rPr>
        <w:fldChar w:fldCharType="end"/>
      </w:r>
    </w:p>
    <w:p w14:paraId="7DFAAECE">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_Toc278674708 </w:instrText>
      </w:r>
      <w:r>
        <w:rPr>
          <w:rFonts w:hint="eastAsia" w:ascii="宋体" w:hAnsi="宋体" w:eastAsia="宋体" w:cs="宋体"/>
          <w:highlight w:val="none"/>
        </w:rPr>
        <w:fldChar w:fldCharType="separate"/>
      </w:r>
      <w:r>
        <w:rPr>
          <w:rFonts w:hint="eastAsia" w:ascii="宋体" w:hAnsi="宋体" w:cs="宋体"/>
          <w:bCs/>
          <w:highlight w:val="none"/>
          <w:lang w:val="en-US" w:eastAsia="zh-CN"/>
        </w:rPr>
        <w:t>12. 项目管理机构基本要求</w:t>
      </w:r>
      <w:r>
        <w:tab/>
      </w:r>
      <w:r>
        <w:fldChar w:fldCharType="begin"/>
      </w:r>
      <w:r>
        <w:instrText xml:space="preserve"> PAGEREF _Toc278674708 </w:instrText>
      </w:r>
      <w:r>
        <w:fldChar w:fldCharType="separate"/>
      </w:r>
      <w:r>
        <w:t>37</w:t>
      </w:r>
      <w:r>
        <w:fldChar w:fldCharType="end"/>
      </w:r>
      <w:r>
        <w:rPr>
          <w:rFonts w:hint="eastAsia" w:ascii="宋体" w:hAnsi="宋体" w:eastAsia="宋体" w:cs="宋体"/>
          <w:color w:val="auto"/>
          <w:highlight w:val="none"/>
        </w:rPr>
        <w:fldChar w:fldCharType="end"/>
      </w:r>
    </w:p>
    <w:p w14:paraId="7A966108">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_Toc808571818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13. </w:t>
      </w:r>
      <w:r>
        <w:rPr>
          <w:rFonts w:hint="eastAsia" w:ascii="宋体" w:hAnsi="宋体" w:eastAsia="宋体" w:cs="宋体"/>
          <w:bCs/>
          <w:highlight w:val="none"/>
          <w:lang w:val="en-US" w:eastAsia="zh-CN"/>
        </w:rPr>
        <w:t>否决性条款</w:t>
      </w:r>
      <w:r>
        <w:tab/>
      </w:r>
      <w:r>
        <w:fldChar w:fldCharType="begin"/>
      </w:r>
      <w:r>
        <w:instrText xml:space="preserve"> PAGEREF _Toc808571818 </w:instrText>
      </w:r>
      <w:r>
        <w:fldChar w:fldCharType="separate"/>
      </w:r>
      <w:r>
        <w:t>38</w:t>
      </w:r>
      <w:r>
        <w:fldChar w:fldCharType="end"/>
      </w:r>
      <w:r>
        <w:rPr>
          <w:rFonts w:hint="eastAsia" w:ascii="宋体" w:hAnsi="宋体" w:eastAsia="宋体" w:cs="宋体"/>
          <w:color w:val="auto"/>
          <w:highlight w:val="none"/>
        </w:rPr>
        <w:fldChar w:fldCharType="end"/>
      </w:r>
    </w:p>
    <w:p w14:paraId="2626C67C">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_Toc2025242161 </w:instrText>
      </w:r>
      <w:r>
        <w:rPr>
          <w:rFonts w:hint="eastAsia" w:ascii="宋体" w:hAnsi="宋体" w:eastAsia="宋体" w:cs="宋体"/>
          <w:highlight w:val="none"/>
        </w:rPr>
        <w:fldChar w:fldCharType="separate"/>
      </w:r>
      <w:r>
        <w:rPr>
          <w:rFonts w:hint="eastAsia" w:ascii="宋体" w:hAnsi="宋体" w:eastAsia="宋体" w:cs="宋体"/>
          <w:highlight w:val="none"/>
          <w:lang w:val="en-US" w:eastAsia="zh-CN"/>
        </w:rPr>
        <w:t>1</w:t>
      </w:r>
      <w:r>
        <w:rPr>
          <w:rFonts w:hint="eastAsia" w:ascii="宋体" w:hAnsi="宋体" w:cs="宋体"/>
          <w:highlight w:val="none"/>
          <w:lang w:val="en-US" w:eastAsia="zh-CN"/>
        </w:rPr>
        <w:t xml:space="preserve">4. </w:t>
      </w:r>
      <w:r>
        <w:rPr>
          <w:rFonts w:hint="eastAsia" w:ascii="宋体" w:hAnsi="宋体" w:eastAsia="宋体" w:cs="宋体"/>
          <w:bCs/>
          <w:highlight w:val="none"/>
          <w:lang w:val="en-US" w:eastAsia="zh-CN"/>
        </w:rPr>
        <w:t>需要补充的其他内容</w:t>
      </w:r>
      <w:r>
        <w:tab/>
      </w:r>
      <w:r>
        <w:fldChar w:fldCharType="begin"/>
      </w:r>
      <w:r>
        <w:instrText xml:space="preserve"> PAGEREF _Toc2025242161 </w:instrText>
      </w:r>
      <w:r>
        <w:fldChar w:fldCharType="separate"/>
      </w:r>
      <w:r>
        <w:t>41</w:t>
      </w:r>
      <w:r>
        <w:fldChar w:fldCharType="end"/>
      </w:r>
      <w:r>
        <w:rPr>
          <w:rFonts w:hint="eastAsia" w:ascii="宋体" w:hAnsi="宋体" w:eastAsia="宋体" w:cs="宋体"/>
          <w:color w:val="auto"/>
          <w:highlight w:val="none"/>
        </w:rPr>
        <w:fldChar w:fldCharType="end"/>
      </w:r>
    </w:p>
    <w:p w14:paraId="53721D1A">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_Toc600591224 </w:instrText>
      </w:r>
      <w:r>
        <w:rPr>
          <w:rFonts w:hint="eastAsia" w:ascii="宋体" w:hAnsi="宋体" w:eastAsia="宋体" w:cs="宋体"/>
          <w:highlight w:val="none"/>
        </w:rPr>
        <w:fldChar w:fldCharType="separate"/>
      </w:r>
      <w:r>
        <w:rPr>
          <w:rFonts w:hint="eastAsia" w:ascii="宋体" w:hAnsi="宋体" w:eastAsia="宋体" w:cs="宋体"/>
          <w:bCs w:val="0"/>
          <w:szCs w:val="21"/>
          <w:highlight w:val="none"/>
          <w:lang w:val="en-US" w:eastAsia="zh-CN"/>
        </w:rPr>
        <w:t>附件一：</w:t>
      </w:r>
      <w:r>
        <w:rPr>
          <w:rFonts w:hint="eastAsia" w:ascii="宋体" w:hAnsi="宋体" w:eastAsia="宋体" w:cs="宋体"/>
          <w:bCs w:val="0"/>
          <w:szCs w:val="21"/>
          <w:highlight w:val="none"/>
        </w:rPr>
        <w:t>问题澄清通知</w:t>
      </w:r>
      <w:r>
        <w:tab/>
      </w:r>
      <w:r>
        <w:fldChar w:fldCharType="begin"/>
      </w:r>
      <w:r>
        <w:instrText xml:space="preserve"> PAGEREF _Toc600591224 </w:instrText>
      </w:r>
      <w:r>
        <w:fldChar w:fldCharType="separate"/>
      </w:r>
      <w:r>
        <w:t>53</w:t>
      </w:r>
      <w:r>
        <w:fldChar w:fldCharType="end"/>
      </w:r>
      <w:r>
        <w:rPr>
          <w:rFonts w:hint="eastAsia" w:ascii="宋体" w:hAnsi="宋体" w:eastAsia="宋体" w:cs="宋体"/>
          <w:color w:val="auto"/>
          <w:highlight w:val="none"/>
        </w:rPr>
        <w:fldChar w:fldCharType="end"/>
      </w:r>
    </w:p>
    <w:p w14:paraId="0C1CFA9C">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_Toc1383207506 </w:instrText>
      </w:r>
      <w:r>
        <w:rPr>
          <w:rFonts w:hint="eastAsia" w:ascii="宋体" w:hAnsi="宋体" w:eastAsia="宋体" w:cs="宋体"/>
          <w:highlight w:val="none"/>
        </w:rPr>
        <w:fldChar w:fldCharType="separate"/>
      </w:r>
      <w:r>
        <w:rPr>
          <w:rFonts w:hint="eastAsia" w:ascii="宋体" w:hAnsi="宋体" w:eastAsia="宋体" w:cs="宋体"/>
          <w:bCs w:val="0"/>
          <w:kern w:val="2"/>
          <w:szCs w:val="21"/>
          <w:highlight w:val="none"/>
          <w:lang w:val="en-US" w:eastAsia="zh-CN" w:bidi="ar-SA"/>
        </w:rPr>
        <w:t>附件二：问题的澄清</w:t>
      </w:r>
      <w:r>
        <w:tab/>
      </w:r>
      <w:r>
        <w:fldChar w:fldCharType="begin"/>
      </w:r>
      <w:r>
        <w:instrText xml:space="preserve"> PAGEREF _Toc1383207506 </w:instrText>
      </w:r>
      <w:r>
        <w:fldChar w:fldCharType="separate"/>
      </w:r>
      <w:r>
        <w:t>54</w:t>
      </w:r>
      <w:r>
        <w:fldChar w:fldCharType="end"/>
      </w:r>
      <w:r>
        <w:rPr>
          <w:rFonts w:hint="eastAsia" w:ascii="宋体" w:hAnsi="宋体" w:eastAsia="宋体" w:cs="宋体"/>
          <w:color w:val="auto"/>
          <w:highlight w:val="none"/>
        </w:rPr>
        <w:fldChar w:fldCharType="end"/>
      </w:r>
    </w:p>
    <w:p w14:paraId="0C2E5789">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_Toc785842625 </w:instrText>
      </w:r>
      <w:r>
        <w:rPr>
          <w:rFonts w:hint="eastAsia" w:ascii="宋体" w:hAnsi="宋体" w:eastAsia="宋体" w:cs="宋体"/>
          <w:highlight w:val="none"/>
        </w:rPr>
        <w:fldChar w:fldCharType="separate"/>
      </w:r>
      <w:r>
        <w:rPr>
          <w:rFonts w:hint="eastAsia" w:ascii="宋体" w:hAnsi="宋体" w:eastAsia="宋体" w:cs="宋体"/>
          <w:bCs w:val="0"/>
          <w:szCs w:val="21"/>
          <w:highlight w:val="none"/>
          <w:lang w:val="en-US" w:eastAsia="zh-CN"/>
        </w:rPr>
        <w:t>附件三：</w:t>
      </w:r>
      <w:r>
        <w:rPr>
          <w:rFonts w:hint="eastAsia" w:ascii="宋体" w:hAnsi="宋体" w:eastAsia="宋体" w:cs="宋体"/>
          <w:bCs w:val="0"/>
          <w:szCs w:val="21"/>
          <w:highlight w:val="none"/>
        </w:rPr>
        <w:t>危险性较大的分部分项工程清单</w:t>
      </w:r>
      <w:r>
        <w:tab/>
      </w:r>
      <w:r>
        <w:fldChar w:fldCharType="begin"/>
      </w:r>
      <w:r>
        <w:instrText xml:space="preserve"> PAGEREF _Toc785842625 </w:instrText>
      </w:r>
      <w:r>
        <w:fldChar w:fldCharType="separate"/>
      </w:r>
      <w:r>
        <w:t>55</w:t>
      </w:r>
      <w:r>
        <w:fldChar w:fldCharType="end"/>
      </w:r>
      <w:r>
        <w:rPr>
          <w:rFonts w:hint="eastAsia" w:ascii="宋体" w:hAnsi="宋体" w:eastAsia="宋体" w:cs="宋体"/>
          <w:color w:val="auto"/>
          <w:highlight w:val="none"/>
        </w:rPr>
        <w:fldChar w:fldCharType="end"/>
      </w:r>
    </w:p>
    <w:p w14:paraId="635B0417">
      <w:pPr>
        <w:pStyle w:val="20"/>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_Toc1439151993 </w:instrText>
      </w:r>
      <w:r>
        <w:rPr>
          <w:rFonts w:hint="eastAsia" w:ascii="宋体" w:hAnsi="宋体" w:eastAsia="宋体" w:cs="宋体"/>
          <w:highlight w:val="none"/>
        </w:rPr>
        <w:fldChar w:fldCharType="separate"/>
      </w:r>
      <w:r>
        <w:rPr>
          <w:rFonts w:hint="eastAsia" w:ascii="宋体" w:hAnsi="宋体" w:eastAsia="宋体" w:cs="宋体"/>
          <w:lang w:val="en-US" w:eastAsia="zh-CN"/>
        </w:rPr>
        <w:t xml:space="preserve">第三章 </w:t>
      </w:r>
      <w:r>
        <w:rPr>
          <w:rFonts w:hint="eastAsia" w:ascii="宋体" w:hAnsi="宋体" w:eastAsia="宋体" w:cs="宋体"/>
          <w:highlight w:val="none"/>
          <w:lang w:val="en-US" w:eastAsia="zh-CN"/>
        </w:rPr>
        <w:t>评标办法</w:t>
      </w:r>
      <w:r>
        <w:rPr>
          <w:rFonts w:hint="eastAsia"/>
          <w:highlight w:val="none"/>
          <w:lang w:val="en-US" w:eastAsia="zh-CN"/>
        </w:rPr>
        <w:t>、定标规则</w:t>
      </w:r>
      <w:r>
        <w:tab/>
      </w:r>
      <w:r>
        <w:fldChar w:fldCharType="begin"/>
      </w:r>
      <w:r>
        <w:instrText xml:space="preserve"> PAGEREF _Toc1439151993 </w:instrText>
      </w:r>
      <w:r>
        <w:fldChar w:fldCharType="separate"/>
      </w:r>
      <w:r>
        <w:t>57</w:t>
      </w:r>
      <w:r>
        <w:fldChar w:fldCharType="end"/>
      </w:r>
      <w:r>
        <w:rPr>
          <w:rFonts w:hint="eastAsia" w:ascii="宋体" w:hAnsi="宋体" w:eastAsia="宋体" w:cs="宋体"/>
          <w:color w:val="auto"/>
          <w:highlight w:val="none"/>
        </w:rPr>
        <w:fldChar w:fldCharType="end"/>
      </w:r>
    </w:p>
    <w:p w14:paraId="04335D59">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_Toc2000368292 </w:instrText>
      </w:r>
      <w:r>
        <w:rPr>
          <w:rFonts w:hint="eastAsia" w:ascii="宋体" w:hAnsi="宋体" w:eastAsia="宋体" w:cs="宋体"/>
          <w:highlight w:val="none"/>
        </w:rPr>
        <w:fldChar w:fldCharType="separate"/>
      </w:r>
      <w:r>
        <w:rPr>
          <w:rFonts w:hint="eastAsia" w:ascii="宋体" w:hAnsi="宋体" w:eastAsia="宋体" w:cs="宋体"/>
          <w:lang w:val="en-US" w:eastAsia="zh-CN"/>
        </w:rPr>
        <w:t xml:space="preserve">第一部分 </w:t>
      </w:r>
      <w:r>
        <w:rPr>
          <w:rFonts w:hint="eastAsia" w:ascii="宋体" w:hAnsi="宋体" w:eastAsia="宋体" w:cs="宋体"/>
          <w:highlight w:val="none"/>
          <w:lang w:val="en-US" w:eastAsia="zh-CN"/>
        </w:rPr>
        <w:t>评标办法</w:t>
      </w:r>
      <w:r>
        <w:tab/>
      </w:r>
      <w:r>
        <w:fldChar w:fldCharType="begin"/>
      </w:r>
      <w:r>
        <w:instrText xml:space="preserve"> PAGEREF _Toc2000368292 </w:instrText>
      </w:r>
      <w:r>
        <w:fldChar w:fldCharType="separate"/>
      </w:r>
      <w:r>
        <w:t>57</w:t>
      </w:r>
      <w:r>
        <w:fldChar w:fldCharType="end"/>
      </w:r>
      <w:r>
        <w:rPr>
          <w:rFonts w:hint="eastAsia" w:ascii="宋体" w:hAnsi="宋体" w:eastAsia="宋体" w:cs="宋体"/>
          <w:color w:val="auto"/>
          <w:highlight w:val="none"/>
        </w:rPr>
        <w:fldChar w:fldCharType="end"/>
      </w:r>
    </w:p>
    <w:p w14:paraId="1E7C8C1C">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_Toc1333474551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1. </w:t>
      </w:r>
      <w:r>
        <w:rPr>
          <w:rFonts w:hint="eastAsia" w:ascii="宋体" w:hAnsi="宋体" w:eastAsia="宋体" w:cs="宋体"/>
          <w:highlight w:val="none"/>
          <w:lang w:val="en-US" w:eastAsia="zh-CN"/>
        </w:rPr>
        <w:t>评标办法</w:t>
      </w:r>
      <w:r>
        <w:tab/>
      </w:r>
      <w:r>
        <w:fldChar w:fldCharType="begin"/>
      </w:r>
      <w:r>
        <w:instrText xml:space="preserve"> PAGEREF _Toc1333474551 </w:instrText>
      </w:r>
      <w:r>
        <w:fldChar w:fldCharType="separate"/>
      </w:r>
      <w:r>
        <w:t>60</w:t>
      </w:r>
      <w:r>
        <w:fldChar w:fldCharType="end"/>
      </w:r>
      <w:r>
        <w:rPr>
          <w:rFonts w:hint="eastAsia" w:ascii="宋体" w:hAnsi="宋体" w:eastAsia="宋体" w:cs="宋体"/>
          <w:color w:val="auto"/>
          <w:highlight w:val="none"/>
        </w:rPr>
        <w:fldChar w:fldCharType="end"/>
      </w:r>
    </w:p>
    <w:p w14:paraId="1603F66A">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_Toc1301592990 </w:instrText>
      </w:r>
      <w:r>
        <w:rPr>
          <w:rFonts w:hint="eastAsia" w:ascii="宋体" w:hAnsi="宋体" w:eastAsia="宋体" w:cs="宋体"/>
          <w:highlight w:val="none"/>
        </w:rPr>
        <w:fldChar w:fldCharType="separate"/>
      </w:r>
      <w:r>
        <w:rPr>
          <w:rFonts w:hint="eastAsia" w:ascii="宋体" w:hAnsi="宋体" w:cs="宋体"/>
          <w:highlight w:val="none"/>
          <w:lang w:val="en-US" w:eastAsia="zh-CN"/>
        </w:rPr>
        <w:t xml:space="preserve">2. </w:t>
      </w:r>
      <w:r>
        <w:rPr>
          <w:rFonts w:hint="eastAsia" w:ascii="宋体" w:hAnsi="宋体" w:eastAsia="宋体" w:cs="宋体"/>
          <w:highlight w:val="none"/>
          <w:lang w:val="en-US" w:eastAsia="zh-CN"/>
        </w:rPr>
        <w:t>评审标准</w:t>
      </w:r>
      <w:r>
        <w:tab/>
      </w:r>
      <w:r>
        <w:fldChar w:fldCharType="begin"/>
      </w:r>
      <w:r>
        <w:instrText xml:space="preserve"> PAGEREF _Toc1301592990 </w:instrText>
      </w:r>
      <w:r>
        <w:fldChar w:fldCharType="separate"/>
      </w:r>
      <w:r>
        <w:t>60</w:t>
      </w:r>
      <w:r>
        <w:fldChar w:fldCharType="end"/>
      </w:r>
      <w:r>
        <w:rPr>
          <w:rFonts w:hint="eastAsia" w:ascii="宋体" w:hAnsi="宋体" w:eastAsia="宋体" w:cs="宋体"/>
          <w:color w:val="auto"/>
          <w:highlight w:val="none"/>
        </w:rPr>
        <w:fldChar w:fldCharType="end"/>
      </w:r>
    </w:p>
    <w:p w14:paraId="729BEEF9">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_Toc1951565689 </w:instrText>
      </w:r>
      <w:r>
        <w:rPr>
          <w:rFonts w:hint="eastAsia" w:ascii="宋体" w:hAnsi="宋体" w:eastAsia="宋体" w:cs="宋体"/>
          <w:highlight w:val="none"/>
        </w:rPr>
        <w:fldChar w:fldCharType="separate"/>
      </w:r>
      <w:r>
        <w:rPr>
          <w:rFonts w:hint="eastAsia" w:ascii="宋体" w:hAnsi="宋体" w:eastAsia="宋体" w:cs="宋体"/>
          <w:bCs/>
          <w:highlight w:val="none"/>
          <w:lang w:val="en-US" w:eastAsia="zh-CN"/>
        </w:rPr>
        <w:t>3</w:t>
      </w:r>
      <w:r>
        <w:rPr>
          <w:rFonts w:hint="eastAsia" w:ascii="宋体" w:hAnsi="宋体" w:cs="宋体"/>
          <w:bCs/>
          <w:highlight w:val="none"/>
          <w:lang w:val="en-US" w:eastAsia="zh-CN"/>
        </w:rPr>
        <w:t>.</w:t>
      </w:r>
      <w:r>
        <w:rPr>
          <w:rFonts w:hint="eastAsia" w:ascii="宋体" w:hAnsi="宋体" w:eastAsia="宋体" w:cs="宋体"/>
          <w:bCs/>
          <w:highlight w:val="none"/>
          <w:lang w:val="en-US" w:eastAsia="zh-CN"/>
        </w:rPr>
        <w:t xml:space="preserve"> 评标准备</w:t>
      </w:r>
      <w:r>
        <w:tab/>
      </w:r>
      <w:r>
        <w:fldChar w:fldCharType="begin"/>
      </w:r>
      <w:r>
        <w:instrText xml:space="preserve"> PAGEREF _Toc1951565689 </w:instrText>
      </w:r>
      <w:r>
        <w:fldChar w:fldCharType="separate"/>
      </w:r>
      <w:r>
        <w:t>60</w:t>
      </w:r>
      <w:r>
        <w:fldChar w:fldCharType="end"/>
      </w:r>
      <w:r>
        <w:rPr>
          <w:rFonts w:hint="eastAsia" w:ascii="宋体" w:hAnsi="宋体" w:eastAsia="宋体" w:cs="宋体"/>
          <w:color w:val="auto"/>
          <w:highlight w:val="none"/>
        </w:rPr>
        <w:fldChar w:fldCharType="end"/>
      </w:r>
    </w:p>
    <w:p w14:paraId="3080BDD5">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_Toc1576287166 </w:instrText>
      </w:r>
      <w:r>
        <w:rPr>
          <w:rFonts w:hint="eastAsia" w:ascii="宋体" w:hAnsi="宋体" w:eastAsia="宋体" w:cs="宋体"/>
          <w:highlight w:val="none"/>
        </w:rPr>
        <w:fldChar w:fldCharType="separate"/>
      </w:r>
      <w:r>
        <w:rPr>
          <w:rFonts w:hint="eastAsia" w:ascii="宋体" w:hAnsi="宋体" w:eastAsia="宋体" w:cs="宋体"/>
          <w:bCs/>
          <w:highlight w:val="none"/>
          <w:lang w:val="en-US" w:eastAsia="zh-CN"/>
        </w:rPr>
        <w:t>4</w:t>
      </w:r>
      <w:r>
        <w:rPr>
          <w:rFonts w:hint="eastAsia" w:ascii="宋体" w:hAnsi="宋体" w:cs="宋体"/>
          <w:bCs/>
          <w:highlight w:val="none"/>
          <w:lang w:val="en-US" w:eastAsia="zh-CN"/>
        </w:rPr>
        <w:t>.</w:t>
      </w:r>
      <w:r>
        <w:rPr>
          <w:rFonts w:hint="eastAsia" w:ascii="宋体" w:hAnsi="宋体" w:eastAsia="宋体" w:cs="宋体"/>
          <w:bCs/>
          <w:highlight w:val="none"/>
          <w:lang w:val="en-US" w:eastAsia="zh-CN"/>
        </w:rPr>
        <w:t xml:space="preserve"> 评标程序（</w:t>
      </w:r>
      <w:r>
        <w:rPr>
          <w:rFonts w:hint="eastAsia" w:ascii="宋体" w:hAnsi="宋体" w:cs="宋体"/>
          <w:bCs/>
          <w:highlight w:val="none"/>
          <w:lang w:val="en-US" w:eastAsia="zh-CN"/>
        </w:rPr>
        <w:t>适用于</w:t>
      </w:r>
      <w:r>
        <w:rPr>
          <w:rFonts w:hint="eastAsia" w:ascii="宋体" w:hAnsi="宋体" w:eastAsia="宋体" w:cs="宋体"/>
          <w:bCs/>
          <w:highlight w:val="none"/>
          <w:lang w:val="en-US" w:eastAsia="zh-CN"/>
        </w:rPr>
        <w:t>定性评审）</w:t>
      </w:r>
      <w:r>
        <w:tab/>
      </w:r>
      <w:r>
        <w:fldChar w:fldCharType="begin"/>
      </w:r>
      <w:r>
        <w:instrText xml:space="preserve"> PAGEREF _Toc1576287166 </w:instrText>
      </w:r>
      <w:r>
        <w:fldChar w:fldCharType="separate"/>
      </w:r>
      <w:r>
        <w:t>61</w:t>
      </w:r>
      <w:r>
        <w:fldChar w:fldCharType="end"/>
      </w:r>
      <w:r>
        <w:rPr>
          <w:rFonts w:hint="eastAsia" w:ascii="宋体" w:hAnsi="宋体" w:eastAsia="宋体" w:cs="宋体"/>
          <w:color w:val="auto"/>
          <w:highlight w:val="none"/>
        </w:rPr>
        <w:fldChar w:fldCharType="end"/>
      </w:r>
    </w:p>
    <w:p w14:paraId="3AAEEFA6">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_Toc2039873112 </w:instrText>
      </w:r>
      <w:r>
        <w:rPr>
          <w:rFonts w:hint="eastAsia" w:ascii="宋体" w:hAnsi="宋体" w:eastAsia="宋体" w:cs="宋体"/>
          <w:highlight w:val="none"/>
        </w:rPr>
        <w:fldChar w:fldCharType="separate"/>
      </w:r>
      <w:r>
        <w:rPr>
          <w:rFonts w:hint="eastAsia" w:ascii="宋体" w:hAnsi="宋体" w:eastAsia="宋体" w:cs="宋体"/>
          <w:highlight w:val="none"/>
          <w:lang w:val="en-US" w:eastAsia="zh-CN"/>
        </w:rPr>
        <w:t>5</w:t>
      </w:r>
      <w:r>
        <w:rPr>
          <w:rFonts w:hint="eastAsia" w:ascii="宋体" w:hAnsi="宋体" w:cs="宋体"/>
          <w:highlight w:val="none"/>
          <w:lang w:val="en-US" w:eastAsia="zh-CN"/>
        </w:rPr>
        <w:t>.</w:t>
      </w:r>
      <w:r>
        <w:rPr>
          <w:rFonts w:hint="eastAsia" w:ascii="宋体" w:hAnsi="宋体" w:eastAsia="宋体" w:cs="宋体"/>
          <w:highlight w:val="none"/>
          <w:lang w:val="en-US" w:eastAsia="zh-CN"/>
        </w:rPr>
        <w:t xml:space="preserve"> 评标程序（</w:t>
      </w:r>
      <w:r>
        <w:rPr>
          <w:rFonts w:hint="eastAsia" w:ascii="宋体" w:hAnsi="宋体" w:cs="宋体"/>
          <w:highlight w:val="none"/>
          <w:lang w:val="en-US" w:eastAsia="zh-CN"/>
        </w:rPr>
        <w:t>适用于</w:t>
      </w:r>
      <w:r>
        <w:rPr>
          <w:rFonts w:hint="eastAsia" w:ascii="宋体" w:hAnsi="宋体" w:eastAsia="宋体" w:cs="宋体"/>
          <w:highlight w:val="none"/>
          <w:lang w:val="en-US" w:eastAsia="zh-CN"/>
        </w:rPr>
        <w:t>定量评审）</w:t>
      </w:r>
      <w:r>
        <w:tab/>
      </w:r>
      <w:r>
        <w:fldChar w:fldCharType="begin"/>
      </w:r>
      <w:r>
        <w:instrText xml:space="preserve"> PAGEREF _Toc2039873112 </w:instrText>
      </w:r>
      <w:r>
        <w:fldChar w:fldCharType="separate"/>
      </w:r>
      <w:r>
        <w:t>64</w:t>
      </w:r>
      <w:r>
        <w:fldChar w:fldCharType="end"/>
      </w:r>
      <w:r>
        <w:rPr>
          <w:rFonts w:hint="eastAsia" w:ascii="宋体" w:hAnsi="宋体" w:eastAsia="宋体" w:cs="宋体"/>
          <w:color w:val="auto"/>
          <w:highlight w:val="none"/>
        </w:rPr>
        <w:fldChar w:fldCharType="end"/>
      </w:r>
    </w:p>
    <w:p w14:paraId="5123F4AA">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_Toc1026696384 </w:instrText>
      </w:r>
      <w:r>
        <w:rPr>
          <w:rFonts w:hint="eastAsia" w:ascii="宋体" w:hAnsi="宋体" w:eastAsia="宋体" w:cs="宋体"/>
          <w:highlight w:val="none"/>
        </w:rPr>
        <w:fldChar w:fldCharType="separate"/>
      </w:r>
      <w:r>
        <w:rPr>
          <w:rFonts w:hint="eastAsia" w:ascii="宋体" w:hAnsi="宋体" w:eastAsia="宋体" w:cs="宋体"/>
          <w:bCs/>
          <w:highlight w:val="none"/>
          <w:lang w:val="en-US" w:eastAsia="zh-CN"/>
        </w:rPr>
        <w:t>6. 投标文件的评审</w:t>
      </w:r>
      <w:r>
        <w:tab/>
      </w:r>
      <w:r>
        <w:fldChar w:fldCharType="begin"/>
      </w:r>
      <w:r>
        <w:instrText xml:space="preserve"> PAGEREF _Toc1026696384 </w:instrText>
      </w:r>
      <w:r>
        <w:fldChar w:fldCharType="separate"/>
      </w:r>
      <w:r>
        <w:t>66</w:t>
      </w:r>
      <w:r>
        <w:fldChar w:fldCharType="end"/>
      </w:r>
      <w:r>
        <w:rPr>
          <w:rFonts w:hint="eastAsia" w:ascii="宋体" w:hAnsi="宋体" w:eastAsia="宋体" w:cs="宋体"/>
          <w:color w:val="auto"/>
          <w:highlight w:val="none"/>
        </w:rPr>
        <w:fldChar w:fldCharType="end"/>
      </w:r>
    </w:p>
    <w:p w14:paraId="39BBE08F">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_Toc1688703918 </w:instrText>
      </w:r>
      <w:r>
        <w:rPr>
          <w:rFonts w:hint="eastAsia" w:ascii="宋体" w:hAnsi="宋体" w:eastAsia="宋体" w:cs="宋体"/>
          <w:highlight w:val="none"/>
        </w:rPr>
        <w:fldChar w:fldCharType="separate"/>
      </w:r>
      <w:r>
        <w:rPr>
          <w:rFonts w:hint="eastAsia" w:ascii="宋体" w:hAnsi="宋体" w:eastAsia="宋体" w:cs="宋体"/>
          <w:bCs/>
          <w:highlight w:val="none"/>
          <w:lang w:val="en-US" w:eastAsia="zh-CN"/>
        </w:rPr>
        <w:t>7.</w:t>
      </w:r>
      <w:r>
        <w:rPr>
          <w:rFonts w:hint="eastAsia" w:ascii="宋体" w:hAnsi="宋体" w:cs="宋体"/>
          <w:bCs/>
          <w:highlight w:val="none"/>
          <w:lang w:val="en-US" w:eastAsia="zh-CN"/>
        </w:rPr>
        <w:t xml:space="preserve"> </w:t>
      </w:r>
      <w:r>
        <w:rPr>
          <w:rFonts w:hint="eastAsia" w:ascii="宋体" w:hAnsi="宋体" w:eastAsia="宋体" w:cs="宋体"/>
          <w:bCs/>
          <w:highlight w:val="none"/>
          <w:lang w:val="en-US" w:eastAsia="zh-CN"/>
        </w:rPr>
        <w:t>投标文件的澄清</w:t>
      </w:r>
      <w:r>
        <w:tab/>
      </w:r>
      <w:r>
        <w:fldChar w:fldCharType="begin"/>
      </w:r>
      <w:r>
        <w:instrText xml:space="preserve"> PAGEREF _Toc1688703918 </w:instrText>
      </w:r>
      <w:r>
        <w:fldChar w:fldCharType="separate"/>
      </w:r>
      <w:r>
        <w:t>67</w:t>
      </w:r>
      <w:r>
        <w:fldChar w:fldCharType="end"/>
      </w:r>
      <w:r>
        <w:rPr>
          <w:rFonts w:hint="eastAsia" w:ascii="宋体" w:hAnsi="宋体" w:eastAsia="宋体" w:cs="宋体"/>
          <w:color w:val="auto"/>
          <w:highlight w:val="none"/>
        </w:rPr>
        <w:fldChar w:fldCharType="end"/>
      </w:r>
    </w:p>
    <w:p w14:paraId="64037B0E">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_Toc1819425333 </w:instrText>
      </w:r>
      <w:r>
        <w:rPr>
          <w:rFonts w:hint="eastAsia" w:ascii="宋体" w:hAnsi="宋体" w:eastAsia="宋体" w:cs="宋体"/>
          <w:highlight w:val="none"/>
        </w:rPr>
        <w:fldChar w:fldCharType="separate"/>
      </w:r>
      <w:r>
        <w:rPr>
          <w:rFonts w:hint="eastAsia" w:ascii="宋体" w:hAnsi="宋体" w:cs="宋体"/>
          <w:bCs/>
          <w:highlight w:val="none"/>
          <w:lang w:val="en-US" w:eastAsia="zh-CN"/>
        </w:rPr>
        <w:t>8</w:t>
      </w:r>
      <w:r>
        <w:rPr>
          <w:rFonts w:hint="eastAsia" w:ascii="宋体" w:hAnsi="宋体" w:eastAsia="宋体" w:cs="宋体"/>
          <w:bCs/>
          <w:highlight w:val="none"/>
          <w:lang w:val="en-US" w:eastAsia="zh-CN"/>
        </w:rPr>
        <w:t>. 特殊情况的处置程序</w:t>
      </w:r>
      <w:r>
        <w:tab/>
      </w:r>
      <w:r>
        <w:fldChar w:fldCharType="begin"/>
      </w:r>
      <w:r>
        <w:instrText xml:space="preserve"> PAGEREF _Toc1819425333 </w:instrText>
      </w:r>
      <w:r>
        <w:fldChar w:fldCharType="separate"/>
      </w:r>
      <w:r>
        <w:t>67</w:t>
      </w:r>
      <w:r>
        <w:fldChar w:fldCharType="end"/>
      </w:r>
      <w:r>
        <w:rPr>
          <w:rFonts w:hint="eastAsia" w:ascii="宋体" w:hAnsi="宋体" w:eastAsia="宋体" w:cs="宋体"/>
          <w:color w:val="auto"/>
          <w:highlight w:val="none"/>
        </w:rPr>
        <w:fldChar w:fldCharType="end"/>
      </w:r>
    </w:p>
    <w:p w14:paraId="76DE74B2">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_Toc1429188342 </w:instrText>
      </w:r>
      <w:r>
        <w:rPr>
          <w:rFonts w:hint="eastAsia" w:ascii="宋体" w:hAnsi="宋体" w:eastAsia="宋体" w:cs="宋体"/>
          <w:highlight w:val="none"/>
        </w:rPr>
        <w:fldChar w:fldCharType="separate"/>
      </w:r>
      <w:r>
        <w:rPr>
          <w:rFonts w:hint="eastAsia" w:ascii="宋体" w:hAnsi="宋体" w:eastAsia="宋体" w:cs="宋体"/>
          <w:highlight w:val="none"/>
          <w:lang w:val="en-US" w:eastAsia="zh-CN"/>
        </w:rPr>
        <w:t>第二部分 定标</w:t>
      </w:r>
      <w:r>
        <w:rPr>
          <w:rFonts w:hint="eastAsia" w:ascii="宋体" w:hAnsi="宋体" w:cs="宋体"/>
          <w:highlight w:val="none"/>
          <w:lang w:val="en-US" w:eastAsia="zh-CN"/>
        </w:rPr>
        <w:t>规则</w:t>
      </w:r>
      <w:r>
        <w:tab/>
      </w:r>
      <w:r>
        <w:fldChar w:fldCharType="begin"/>
      </w:r>
      <w:r>
        <w:instrText xml:space="preserve"> PAGEREF _Toc1429188342 </w:instrText>
      </w:r>
      <w:r>
        <w:fldChar w:fldCharType="separate"/>
      </w:r>
      <w:r>
        <w:t>68</w:t>
      </w:r>
      <w:r>
        <w:fldChar w:fldCharType="end"/>
      </w:r>
      <w:r>
        <w:rPr>
          <w:rFonts w:hint="eastAsia" w:ascii="宋体" w:hAnsi="宋体" w:eastAsia="宋体" w:cs="宋体"/>
          <w:color w:val="auto"/>
          <w:highlight w:val="none"/>
        </w:rPr>
        <w:fldChar w:fldCharType="end"/>
      </w:r>
    </w:p>
    <w:p w14:paraId="510D19F3">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_Toc729028189 </w:instrText>
      </w:r>
      <w:r>
        <w:rPr>
          <w:rFonts w:hint="eastAsia" w:ascii="宋体" w:hAnsi="宋体" w:eastAsia="宋体" w:cs="宋体"/>
          <w:highlight w:val="none"/>
        </w:rPr>
        <w:fldChar w:fldCharType="separate"/>
      </w:r>
      <w:r>
        <w:rPr>
          <w:rFonts w:hint="eastAsia" w:ascii="宋体" w:hAnsi="宋体" w:eastAsia="宋体" w:cs="宋体"/>
          <w:highlight w:val="none"/>
          <w:lang w:val="en-US" w:eastAsia="zh-CN"/>
        </w:rPr>
        <w:t>1. 定标办法</w:t>
      </w:r>
      <w:r>
        <w:tab/>
      </w:r>
      <w:r>
        <w:fldChar w:fldCharType="begin"/>
      </w:r>
      <w:r>
        <w:instrText xml:space="preserve"> PAGEREF _Toc729028189 </w:instrText>
      </w:r>
      <w:r>
        <w:fldChar w:fldCharType="separate"/>
      </w:r>
      <w:r>
        <w:t>68</w:t>
      </w:r>
      <w:r>
        <w:fldChar w:fldCharType="end"/>
      </w:r>
      <w:r>
        <w:rPr>
          <w:rFonts w:hint="eastAsia" w:ascii="宋体" w:hAnsi="宋体" w:eastAsia="宋体" w:cs="宋体"/>
          <w:color w:val="auto"/>
          <w:highlight w:val="none"/>
        </w:rPr>
        <w:fldChar w:fldCharType="end"/>
      </w:r>
    </w:p>
    <w:p w14:paraId="5BFAF584">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_Toc1373176287 </w:instrText>
      </w:r>
      <w:r>
        <w:rPr>
          <w:rFonts w:hint="eastAsia" w:ascii="宋体" w:hAnsi="宋体" w:eastAsia="宋体" w:cs="宋体"/>
          <w:highlight w:val="none"/>
        </w:rPr>
        <w:fldChar w:fldCharType="separate"/>
      </w:r>
      <w:r>
        <w:rPr>
          <w:rFonts w:hint="eastAsia" w:ascii="宋体" w:hAnsi="宋体" w:eastAsia="宋体" w:cs="宋体"/>
          <w:bCs/>
          <w:highlight w:val="none"/>
          <w:lang w:val="en-US" w:eastAsia="zh-CN"/>
        </w:rPr>
        <w:t>2. 定标因素</w:t>
      </w:r>
      <w:r>
        <w:tab/>
      </w:r>
      <w:r>
        <w:fldChar w:fldCharType="begin"/>
      </w:r>
      <w:r>
        <w:instrText xml:space="preserve"> PAGEREF _Toc1373176287 </w:instrText>
      </w:r>
      <w:r>
        <w:fldChar w:fldCharType="separate"/>
      </w:r>
      <w:r>
        <w:t>69</w:t>
      </w:r>
      <w:r>
        <w:fldChar w:fldCharType="end"/>
      </w:r>
      <w:r>
        <w:rPr>
          <w:rFonts w:hint="eastAsia" w:ascii="宋体" w:hAnsi="宋体" w:eastAsia="宋体" w:cs="宋体"/>
          <w:color w:val="auto"/>
          <w:highlight w:val="none"/>
        </w:rPr>
        <w:fldChar w:fldCharType="end"/>
      </w:r>
    </w:p>
    <w:p w14:paraId="0352D282">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_Toc1511743865 </w:instrText>
      </w:r>
      <w:r>
        <w:rPr>
          <w:rFonts w:hint="eastAsia" w:ascii="宋体" w:hAnsi="宋体" w:eastAsia="宋体" w:cs="宋体"/>
          <w:highlight w:val="none"/>
        </w:rPr>
        <w:fldChar w:fldCharType="separate"/>
      </w:r>
      <w:r>
        <w:rPr>
          <w:rFonts w:hint="eastAsia" w:ascii="宋体" w:hAnsi="宋体" w:eastAsia="宋体" w:cs="宋体"/>
          <w:bCs/>
          <w:highlight w:val="none"/>
          <w:lang w:val="en-US" w:eastAsia="zh-CN"/>
        </w:rPr>
        <w:t>3. 定标程序</w:t>
      </w:r>
      <w:r>
        <w:tab/>
      </w:r>
      <w:r>
        <w:fldChar w:fldCharType="begin"/>
      </w:r>
      <w:r>
        <w:instrText xml:space="preserve"> PAGEREF _Toc1511743865 </w:instrText>
      </w:r>
      <w:r>
        <w:fldChar w:fldCharType="separate"/>
      </w:r>
      <w:r>
        <w:t>75</w:t>
      </w:r>
      <w:r>
        <w:fldChar w:fldCharType="end"/>
      </w:r>
      <w:r>
        <w:rPr>
          <w:rFonts w:hint="eastAsia" w:ascii="宋体" w:hAnsi="宋体" w:eastAsia="宋体" w:cs="宋体"/>
          <w:color w:val="auto"/>
          <w:highlight w:val="none"/>
        </w:rPr>
        <w:fldChar w:fldCharType="end"/>
      </w:r>
    </w:p>
    <w:p w14:paraId="6BE7C142">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_Toc75665990 </w:instrText>
      </w:r>
      <w:r>
        <w:rPr>
          <w:rFonts w:hint="eastAsia" w:ascii="宋体" w:hAnsi="宋体" w:eastAsia="宋体" w:cs="宋体"/>
          <w:highlight w:val="none"/>
        </w:rPr>
        <w:fldChar w:fldCharType="separate"/>
      </w:r>
      <w:r>
        <w:rPr>
          <w:rFonts w:hint="eastAsia" w:ascii="宋体" w:hAnsi="宋体" w:cs="宋体"/>
          <w:bCs w:val="0"/>
          <w:szCs w:val="21"/>
          <w:highlight w:val="none"/>
        </w:rPr>
        <w:t>附件</w:t>
      </w:r>
      <w:r>
        <w:rPr>
          <w:rFonts w:hint="eastAsia" w:ascii="宋体" w:hAnsi="宋体" w:eastAsia="宋体" w:cs="宋体"/>
          <w:bCs w:val="0"/>
          <w:szCs w:val="21"/>
          <w:highlight w:val="none"/>
          <w:lang w:eastAsia="zh-CN"/>
        </w:rPr>
        <w:t>一</w:t>
      </w:r>
      <w:r>
        <w:rPr>
          <w:rFonts w:hint="eastAsia" w:ascii="宋体" w:hAnsi="宋体" w:cs="宋体"/>
          <w:bCs w:val="0"/>
          <w:szCs w:val="21"/>
          <w:highlight w:val="none"/>
        </w:rPr>
        <w:t>：</w:t>
      </w:r>
      <w:r>
        <w:rPr>
          <w:rFonts w:hint="eastAsia" w:ascii="宋体" w:hAnsi="宋体" w:eastAsia="宋体" w:cs="宋体"/>
          <w:bCs w:val="0"/>
          <w:szCs w:val="21"/>
          <w:highlight w:val="none"/>
          <w:lang w:eastAsia="zh-CN"/>
        </w:rPr>
        <w:t>技术标详细评审标准</w:t>
      </w:r>
      <w:r>
        <w:rPr>
          <w:rFonts w:hint="eastAsia" w:ascii="宋体" w:hAnsi="宋体" w:eastAsia="宋体" w:cs="宋体"/>
          <w:bCs w:val="0"/>
          <w:szCs w:val="21"/>
          <w:highlight w:val="none"/>
          <w:lang w:val="en-US" w:eastAsia="zh-CN"/>
        </w:rPr>
        <w:t>（适用于采用定性评审的项目）</w:t>
      </w:r>
      <w:r>
        <w:tab/>
      </w:r>
      <w:r>
        <w:fldChar w:fldCharType="begin"/>
      </w:r>
      <w:r>
        <w:instrText xml:space="preserve"> PAGEREF _Toc75665990 </w:instrText>
      </w:r>
      <w:r>
        <w:fldChar w:fldCharType="separate"/>
      </w:r>
      <w:r>
        <w:t>76</w:t>
      </w:r>
      <w:r>
        <w:fldChar w:fldCharType="end"/>
      </w:r>
      <w:r>
        <w:rPr>
          <w:rFonts w:hint="eastAsia" w:ascii="宋体" w:hAnsi="宋体" w:eastAsia="宋体" w:cs="宋体"/>
          <w:color w:val="auto"/>
          <w:highlight w:val="none"/>
        </w:rPr>
        <w:fldChar w:fldCharType="end"/>
      </w:r>
    </w:p>
    <w:p w14:paraId="1D087BEA">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_Toc1413441564 </w:instrText>
      </w:r>
      <w:r>
        <w:rPr>
          <w:rFonts w:hint="eastAsia" w:ascii="宋体" w:hAnsi="宋体" w:eastAsia="宋体" w:cs="宋体"/>
          <w:highlight w:val="none"/>
        </w:rPr>
        <w:fldChar w:fldCharType="separate"/>
      </w:r>
      <w:r>
        <w:rPr>
          <w:rFonts w:hint="eastAsia" w:ascii="宋体" w:hAnsi="宋体" w:cs="宋体"/>
          <w:bCs w:val="0"/>
          <w:szCs w:val="21"/>
          <w:highlight w:val="none"/>
        </w:rPr>
        <w:t>附件</w:t>
      </w:r>
      <w:r>
        <w:rPr>
          <w:rFonts w:hint="eastAsia" w:ascii="宋体" w:hAnsi="宋体" w:eastAsia="宋体" w:cs="宋体"/>
          <w:bCs w:val="0"/>
          <w:szCs w:val="21"/>
          <w:highlight w:val="none"/>
          <w:lang w:eastAsia="zh-CN"/>
        </w:rPr>
        <w:t>二</w:t>
      </w:r>
      <w:r>
        <w:rPr>
          <w:rFonts w:hint="eastAsia" w:ascii="宋体" w:hAnsi="宋体" w:cs="宋体"/>
          <w:bCs w:val="0"/>
          <w:szCs w:val="21"/>
          <w:highlight w:val="none"/>
        </w:rPr>
        <w:t>：</w:t>
      </w:r>
      <w:r>
        <w:rPr>
          <w:rFonts w:hint="eastAsia" w:ascii="宋体" w:hAnsi="宋体" w:eastAsia="宋体" w:cs="宋体"/>
          <w:bCs w:val="0"/>
          <w:szCs w:val="21"/>
          <w:highlight w:val="none"/>
          <w:lang w:eastAsia="zh-CN"/>
        </w:rPr>
        <w:t>技术标评分标准</w:t>
      </w:r>
      <w:r>
        <w:rPr>
          <w:rFonts w:hint="eastAsia" w:ascii="宋体" w:hAnsi="宋体" w:eastAsia="宋体" w:cs="宋体"/>
          <w:bCs w:val="0"/>
          <w:szCs w:val="21"/>
          <w:highlight w:val="none"/>
          <w:lang w:val="en-US" w:eastAsia="zh-CN"/>
        </w:rPr>
        <w:t>（适用于采用定量评审的项目）</w:t>
      </w:r>
      <w:r>
        <w:tab/>
      </w:r>
      <w:r>
        <w:fldChar w:fldCharType="begin"/>
      </w:r>
      <w:r>
        <w:instrText xml:space="preserve"> PAGEREF _Toc1413441564 </w:instrText>
      </w:r>
      <w:r>
        <w:fldChar w:fldCharType="separate"/>
      </w:r>
      <w:r>
        <w:t>78</w:t>
      </w:r>
      <w:r>
        <w:fldChar w:fldCharType="end"/>
      </w:r>
      <w:r>
        <w:rPr>
          <w:rFonts w:hint="eastAsia" w:ascii="宋体" w:hAnsi="宋体" w:eastAsia="宋体" w:cs="宋体"/>
          <w:color w:val="auto"/>
          <w:highlight w:val="none"/>
        </w:rPr>
        <w:fldChar w:fldCharType="end"/>
      </w:r>
    </w:p>
    <w:p w14:paraId="18B4779B">
      <w:pPr>
        <w:pStyle w:val="21"/>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_Toc430827441 </w:instrText>
      </w:r>
      <w:r>
        <w:rPr>
          <w:rFonts w:hint="eastAsia" w:ascii="宋体" w:hAnsi="宋体" w:eastAsia="宋体" w:cs="宋体"/>
          <w:highlight w:val="none"/>
        </w:rPr>
        <w:fldChar w:fldCharType="separate"/>
      </w:r>
      <w:r>
        <w:rPr>
          <w:rFonts w:hint="eastAsia" w:ascii="宋体" w:hAnsi="宋体" w:cs="宋体"/>
          <w:bCs w:val="0"/>
          <w:szCs w:val="21"/>
          <w:highlight w:val="none"/>
        </w:rPr>
        <w:t>附件</w:t>
      </w:r>
      <w:r>
        <w:rPr>
          <w:rFonts w:hint="eastAsia" w:ascii="宋体" w:hAnsi="宋体" w:eastAsia="宋体" w:cs="宋体"/>
          <w:bCs w:val="0"/>
          <w:szCs w:val="21"/>
          <w:highlight w:val="none"/>
          <w:lang w:eastAsia="zh-CN"/>
        </w:rPr>
        <w:t>三</w:t>
      </w:r>
      <w:r>
        <w:rPr>
          <w:rFonts w:hint="eastAsia" w:ascii="宋体" w:hAnsi="宋体" w:cs="宋体"/>
          <w:bCs w:val="0"/>
          <w:szCs w:val="21"/>
          <w:highlight w:val="none"/>
        </w:rPr>
        <w:t>：</w:t>
      </w:r>
      <w:r>
        <w:rPr>
          <w:rFonts w:hint="eastAsia" w:ascii="宋体" w:hAnsi="宋体" w:eastAsia="宋体" w:cs="宋体"/>
          <w:bCs w:val="0"/>
          <w:szCs w:val="21"/>
          <w:highlight w:val="none"/>
          <w:lang w:eastAsia="zh-CN"/>
        </w:rPr>
        <w:t>资信标评分标准</w:t>
      </w:r>
      <w:r>
        <w:rPr>
          <w:rFonts w:hint="eastAsia" w:ascii="宋体" w:hAnsi="宋体" w:cs="宋体"/>
          <w:bCs w:val="0"/>
          <w:szCs w:val="21"/>
          <w:highlight w:val="none"/>
          <w:lang w:eastAsia="zh-CN"/>
        </w:rPr>
        <w:t>（适用于采用定量评审的项目）</w:t>
      </w:r>
      <w:r>
        <w:tab/>
      </w:r>
      <w:r>
        <w:fldChar w:fldCharType="begin"/>
      </w:r>
      <w:r>
        <w:instrText xml:space="preserve"> PAGEREF _Toc430827441 </w:instrText>
      </w:r>
      <w:r>
        <w:fldChar w:fldCharType="separate"/>
      </w:r>
      <w:r>
        <w:t>79</w:t>
      </w:r>
      <w:r>
        <w:fldChar w:fldCharType="end"/>
      </w:r>
      <w:r>
        <w:rPr>
          <w:rFonts w:hint="eastAsia" w:ascii="宋体" w:hAnsi="宋体" w:eastAsia="宋体" w:cs="宋体"/>
          <w:color w:val="auto"/>
          <w:highlight w:val="none"/>
        </w:rPr>
        <w:fldChar w:fldCharType="end"/>
      </w:r>
    </w:p>
    <w:p w14:paraId="64BB52D4">
      <w:pPr>
        <w:pStyle w:val="20"/>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_Toc1068654608 </w:instrText>
      </w:r>
      <w:r>
        <w:rPr>
          <w:rFonts w:hint="eastAsia" w:ascii="宋体" w:hAnsi="宋体" w:eastAsia="宋体" w:cs="宋体"/>
          <w:highlight w:val="none"/>
        </w:rPr>
        <w:fldChar w:fldCharType="separate"/>
      </w:r>
      <w:r>
        <w:rPr>
          <w:rFonts w:hint="eastAsia" w:ascii="宋体" w:hAnsi="宋体" w:eastAsia="宋体" w:cs="宋体"/>
          <w:bCs/>
          <w:szCs w:val="32"/>
          <w:highlight w:val="none"/>
          <w:lang w:val="en-US" w:eastAsia="zh-CN"/>
        </w:rPr>
        <w:t xml:space="preserve">第四章 </w:t>
      </w:r>
      <w:r>
        <w:rPr>
          <w:rFonts w:hint="eastAsia" w:ascii="宋体" w:hAnsi="宋体" w:eastAsia="宋体" w:cs="宋体"/>
          <w:bCs/>
          <w:szCs w:val="32"/>
          <w:highlight w:val="none"/>
        </w:rPr>
        <w:t>合同条款及格式</w:t>
      </w:r>
      <w:r>
        <w:tab/>
      </w:r>
      <w:r>
        <w:fldChar w:fldCharType="begin"/>
      </w:r>
      <w:r>
        <w:instrText xml:space="preserve"> PAGEREF _Toc1068654608 </w:instrText>
      </w:r>
      <w:r>
        <w:fldChar w:fldCharType="separate"/>
      </w:r>
      <w:r>
        <w:t>81</w:t>
      </w:r>
      <w:r>
        <w:fldChar w:fldCharType="end"/>
      </w:r>
      <w:r>
        <w:rPr>
          <w:rFonts w:hint="eastAsia" w:ascii="宋体" w:hAnsi="宋体" w:eastAsia="宋体" w:cs="宋体"/>
          <w:color w:val="auto"/>
          <w:highlight w:val="none"/>
        </w:rPr>
        <w:fldChar w:fldCharType="end"/>
      </w:r>
    </w:p>
    <w:p w14:paraId="67E260CC">
      <w:pPr>
        <w:pStyle w:val="20"/>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_Toc410686602 </w:instrText>
      </w:r>
      <w:r>
        <w:rPr>
          <w:rFonts w:hint="eastAsia" w:ascii="宋体" w:hAnsi="宋体" w:eastAsia="宋体" w:cs="宋体"/>
          <w:highlight w:val="none"/>
        </w:rPr>
        <w:fldChar w:fldCharType="separate"/>
      </w:r>
      <w:r>
        <w:rPr>
          <w:rFonts w:hint="eastAsia" w:ascii="宋体" w:hAnsi="宋体" w:eastAsia="宋体" w:cs="宋体"/>
          <w:szCs w:val="32"/>
          <w:highlight w:val="none"/>
        </w:rPr>
        <w:t>第五章 工程量清单及工程量清单计价</w:t>
      </w:r>
      <w:r>
        <w:tab/>
      </w:r>
      <w:r>
        <w:fldChar w:fldCharType="begin"/>
      </w:r>
      <w:r>
        <w:instrText xml:space="preserve"> PAGEREF _Toc410686602 </w:instrText>
      </w:r>
      <w:r>
        <w:fldChar w:fldCharType="separate"/>
      </w:r>
      <w:r>
        <w:t>102</w:t>
      </w:r>
      <w:r>
        <w:fldChar w:fldCharType="end"/>
      </w:r>
      <w:r>
        <w:rPr>
          <w:rFonts w:hint="eastAsia" w:ascii="宋体" w:hAnsi="宋体" w:eastAsia="宋体" w:cs="宋体"/>
          <w:color w:val="auto"/>
          <w:highlight w:val="none"/>
        </w:rPr>
        <w:fldChar w:fldCharType="end"/>
      </w:r>
    </w:p>
    <w:p w14:paraId="6F397FCF">
      <w:pPr>
        <w:pStyle w:val="20"/>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_Toc1628526896 </w:instrText>
      </w:r>
      <w:r>
        <w:rPr>
          <w:rFonts w:hint="eastAsia" w:ascii="宋体" w:hAnsi="宋体" w:eastAsia="宋体" w:cs="宋体"/>
          <w:highlight w:val="none"/>
        </w:rPr>
        <w:fldChar w:fldCharType="separate"/>
      </w:r>
      <w:r>
        <w:rPr>
          <w:rFonts w:hint="eastAsia" w:ascii="宋体" w:hAnsi="宋体" w:eastAsia="宋体" w:cs="宋体"/>
          <w:bCs/>
          <w:highlight w:val="none"/>
        </w:rPr>
        <w:t>第六章 图纸</w:t>
      </w:r>
      <w:r>
        <w:tab/>
      </w:r>
      <w:r>
        <w:fldChar w:fldCharType="begin"/>
      </w:r>
      <w:r>
        <w:instrText xml:space="preserve"> PAGEREF _Toc1628526896 </w:instrText>
      </w:r>
      <w:r>
        <w:fldChar w:fldCharType="separate"/>
      </w:r>
      <w:r>
        <w:t>104</w:t>
      </w:r>
      <w:r>
        <w:fldChar w:fldCharType="end"/>
      </w:r>
      <w:r>
        <w:rPr>
          <w:rFonts w:hint="eastAsia" w:ascii="宋体" w:hAnsi="宋体" w:eastAsia="宋体" w:cs="宋体"/>
          <w:color w:val="auto"/>
          <w:highlight w:val="none"/>
        </w:rPr>
        <w:fldChar w:fldCharType="end"/>
      </w:r>
    </w:p>
    <w:p w14:paraId="63ECFA75">
      <w:pPr>
        <w:pStyle w:val="20"/>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_Toc1254440983 </w:instrText>
      </w:r>
      <w:r>
        <w:rPr>
          <w:rFonts w:hint="eastAsia" w:ascii="宋体" w:hAnsi="宋体" w:eastAsia="宋体" w:cs="宋体"/>
          <w:highlight w:val="none"/>
        </w:rPr>
        <w:fldChar w:fldCharType="separate"/>
      </w:r>
      <w:r>
        <w:rPr>
          <w:rFonts w:hint="eastAsia" w:ascii="宋体" w:hAnsi="宋体" w:eastAsia="宋体" w:cs="宋体"/>
          <w:highlight w:val="none"/>
        </w:rPr>
        <w:t>第七章 技术标准和要求</w:t>
      </w:r>
      <w:r>
        <w:tab/>
      </w:r>
      <w:r>
        <w:fldChar w:fldCharType="begin"/>
      </w:r>
      <w:r>
        <w:instrText xml:space="preserve"> PAGEREF _Toc1254440983 </w:instrText>
      </w:r>
      <w:r>
        <w:fldChar w:fldCharType="separate"/>
      </w:r>
      <w:r>
        <w:t>105</w:t>
      </w:r>
      <w:r>
        <w:fldChar w:fldCharType="end"/>
      </w:r>
      <w:r>
        <w:rPr>
          <w:rFonts w:hint="eastAsia" w:ascii="宋体" w:hAnsi="宋体" w:eastAsia="宋体" w:cs="宋体"/>
          <w:color w:val="auto"/>
          <w:highlight w:val="none"/>
        </w:rPr>
        <w:fldChar w:fldCharType="end"/>
      </w:r>
    </w:p>
    <w:p w14:paraId="26CCC05A">
      <w:pPr>
        <w:pStyle w:val="20"/>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_Toc212874874 </w:instrText>
      </w:r>
      <w:r>
        <w:rPr>
          <w:rFonts w:hint="eastAsia" w:ascii="宋体" w:hAnsi="宋体" w:eastAsia="宋体" w:cs="宋体"/>
          <w:highlight w:val="none"/>
        </w:rPr>
        <w:fldChar w:fldCharType="separate"/>
      </w:r>
      <w:r>
        <w:rPr>
          <w:rFonts w:hint="eastAsia" w:ascii="宋体" w:hAnsi="宋体" w:eastAsia="宋体" w:cs="宋体"/>
          <w:bCs/>
          <w:highlight w:val="none"/>
          <w:lang w:val="en-US" w:eastAsia="zh-CN"/>
        </w:rPr>
        <w:t xml:space="preserve">第八章 </w:t>
      </w:r>
      <w:r>
        <w:rPr>
          <w:rFonts w:hint="eastAsia" w:ascii="宋体" w:hAnsi="宋体" w:eastAsia="宋体" w:cs="宋体"/>
          <w:bCs/>
          <w:highlight w:val="none"/>
        </w:rPr>
        <w:t>投标文件格式</w:t>
      </w:r>
      <w:r>
        <w:tab/>
      </w:r>
      <w:r>
        <w:fldChar w:fldCharType="begin"/>
      </w:r>
      <w:r>
        <w:instrText xml:space="preserve"> PAGEREF _Toc212874874 </w:instrText>
      </w:r>
      <w:r>
        <w:fldChar w:fldCharType="separate"/>
      </w:r>
      <w:r>
        <w:t>106</w:t>
      </w:r>
      <w:r>
        <w:fldChar w:fldCharType="end"/>
      </w:r>
      <w:r>
        <w:rPr>
          <w:rFonts w:hint="eastAsia" w:ascii="宋体" w:hAnsi="宋体" w:eastAsia="宋体" w:cs="宋体"/>
          <w:color w:val="auto"/>
          <w:highlight w:val="none"/>
        </w:rPr>
        <w:fldChar w:fldCharType="end"/>
      </w:r>
    </w:p>
    <w:p w14:paraId="54A4A0AC">
      <w:pPr>
        <w:pStyle w:val="20"/>
        <w:tabs>
          <w:tab w:val="right" w:leader="dot" w:pos="9638"/>
        </w:tabs>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_Toc897355537 </w:instrText>
      </w:r>
      <w:r>
        <w:rPr>
          <w:rFonts w:hint="eastAsia" w:ascii="宋体" w:hAnsi="宋体" w:eastAsia="宋体" w:cs="宋体"/>
          <w:highlight w:val="none"/>
        </w:rPr>
        <w:fldChar w:fldCharType="separate"/>
      </w:r>
      <w:r>
        <w:rPr>
          <w:rFonts w:hint="eastAsia"/>
          <w:highlight w:val="none"/>
          <w:lang w:val="en-US" w:eastAsia="zh-CN"/>
        </w:rPr>
        <w:t>第九章 招标人对招标文件范本条款的修改</w:t>
      </w:r>
      <w:r>
        <w:tab/>
      </w:r>
      <w:r>
        <w:fldChar w:fldCharType="begin"/>
      </w:r>
      <w:r>
        <w:instrText xml:space="preserve"> PAGEREF _Toc897355537 </w:instrText>
      </w:r>
      <w:r>
        <w:fldChar w:fldCharType="separate"/>
      </w:r>
      <w:r>
        <w:t>134</w:t>
      </w:r>
      <w:r>
        <w:fldChar w:fldCharType="end"/>
      </w:r>
      <w:r>
        <w:rPr>
          <w:rFonts w:hint="eastAsia" w:ascii="宋体" w:hAnsi="宋体" w:eastAsia="宋体" w:cs="宋体"/>
          <w:color w:val="auto"/>
          <w:highlight w:val="none"/>
        </w:rPr>
        <w:fldChar w:fldCharType="end"/>
      </w:r>
    </w:p>
    <w:p w14:paraId="22AF2295">
      <w:pPr>
        <w:pStyle w:val="20"/>
        <w:tabs>
          <w:tab w:val="right" w:leader="dot" w:pos="9628"/>
        </w:tabs>
        <w:jc w:val="left"/>
        <w:rPr>
          <w:rFonts w:hint="eastAsia" w:ascii="宋体" w:hAnsi="宋体" w:eastAsia="宋体" w:cs="宋体"/>
          <w:color w:val="auto"/>
          <w:highlight w:val="none"/>
        </w:rPr>
        <w:sectPr>
          <w:headerReference r:id="rId5" w:type="default"/>
          <w:footerReference r:id="rId6" w:type="default"/>
          <w:pgSz w:w="11906" w:h="16838"/>
          <w:pgMar w:top="1418" w:right="1134" w:bottom="1418" w:left="1134"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宋体" w:hAnsi="宋体" w:eastAsia="宋体" w:cs="宋体"/>
          <w:color w:val="auto"/>
          <w:highlight w:val="none"/>
        </w:rPr>
        <w:fldChar w:fldCharType="end"/>
      </w:r>
      <w:permEnd w:id="7"/>
    </w:p>
    <w:p w14:paraId="39DE9728">
      <w:pPr>
        <w:pStyle w:val="2"/>
        <w:keepNext/>
        <w:keepLines/>
        <w:pageBreakBefore w:val="0"/>
        <w:widowControl w:val="0"/>
        <w:kinsoku/>
        <w:wordWrap/>
        <w:overflowPunct/>
        <w:topLinePunct w:val="0"/>
        <w:autoSpaceDE/>
        <w:autoSpaceDN/>
        <w:bidi w:val="0"/>
        <w:adjustRightInd/>
        <w:snapToGrid/>
        <w:spacing w:after="200" w:line="360" w:lineRule="auto"/>
        <w:jc w:val="center"/>
        <w:textAlignment w:val="auto"/>
        <w:rPr>
          <w:rFonts w:hint="eastAsia" w:ascii="宋体" w:hAnsi="宋体" w:eastAsia="宋体" w:cs="宋体"/>
          <w:color w:val="auto"/>
          <w:szCs w:val="32"/>
          <w:highlight w:val="none"/>
        </w:rPr>
      </w:pPr>
      <w:bookmarkStart w:id="0" w:name="_Toc521717634"/>
      <w:bookmarkStart w:id="1" w:name="_Toc1479208811"/>
      <w:bookmarkStart w:id="2" w:name="_Toc2118384275"/>
      <w:bookmarkStart w:id="3" w:name="_Toc1960130738"/>
      <w:bookmarkStart w:id="4" w:name="_Toc1980473291"/>
      <w:bookmarkStart w:id="5" w:name="_Toc1790257660"/>
      <w:bookmarkStart w:id="6" w:name="_Toc1576342515"/>
      <w:bookmarkStart w:id="7" w:name="_Toc14949"/>
      <w:bookmarkStart w:id="8" w:name="_Toc400029360"/>
      <w:bookmarkStart w:id="9" w:name="_Toc143844372"/>
      <w:bookmarkStart w:id="10" w:name="_Toc936777915"/>
      <w:bookmarkStart w:id="11" w:name="_Toc1642623093"/>
      <w:bookmarkStart w:id="12" w:name="_Toc24409248"/>
      <w:bookmarkStart w:id="13" w:name="_Toc1071470254"/>
      <w:bookmarkStart w:id="14" w:name="_Toc1161075105"/>
      <w:bookmarkStart w:id="15" w:name="_Toc1820655578_WPSOffice_Level1"/>
      <w:bookmarkStart w:id="16" w:name="_Toc6187"/>
      <w:bookmarkStart w:id="17" w:name="_Toc21575"/>
      <w:bookmarkStart w:id="18" w:name="_Toc26765"/>
      <w:bookmarkStart w:id="19" w:name="_Toc942500655"/>
      <w:bookmarkStart w:id="20" w:name="_Toc1507526846"/>
      <w:bookmarkStart w:id="21" w:name="_Toc1086004251"/>
      <w:bookmarkStart w:id="22" w:name="_Toc460222914"/>
      <w:bookmarkStart w:id="23" w:name="_Toc9995"/>
      <w:bookmarkStart w:id="24" w:name="_Toc716674295_WPSOffice_Level1"/>
      <w:bookmarkStart w:id="25" w:name="_Toc402491958"/>
      <w:bookmarkStart w:id="26" w:name="_Toc124849469"/>
      <w:bookmarkStart w:id="27" w:name="_Toc68544414"/>
      <w:bookmarkStart w:id="28" w:name="_Toc1712297744"/>
      <w:bookmarkStart w:id="29" w:name="_Toc1298528886"/>
      <w:bookmarkStart w:id="30" w:name="_Toc1473842234"/>
      <w:bookmarkStart w:id="31" w:name="_Toc1558221256"/>
      <w:bookmarkStart w:id="32" w:name="_Toc19233"/>
      <w:bookmarkStart w:id="33" w:name="_Toc1324140467"/>
      <w:bookmarkStart w:id="34" w:name="_Toc1884715201"/>
      <w:bookmarkStart w:id="35" w:name="_Toc2591721"/>
      <w:bookmarkStart w:id="36" w:name="_Toc443482711"/>
      <w:bookmarkStart w:id="37" w:name="_Toc1672327478"/>
      <w:bookmarkStart w:id="38" w:name="_Toc1514912521"/>
      <w:bookmarkStart w:id="39" w:name="_Toc10355"/>
      <w:bookmarkStart w:id="40" w:name="_Toc1245790543"/>
      <w:bookmarkStart w:id="41" w:name="_Toc1247998762"/>
      <w:bookmarkStart w:id="42" w:name="_Toc1366541206"/>
      <w:bookmarkStart w:id="43" w:name="_Toc1981163406"/>
      <w:r>
        <w:rPr>
          <w:rFonts w:hint="eastAsia" w:ascii="宋体" w:hAnsi="宋体" w:eastAsia="宋体" w:cs="宋体"/>
          <w:color w:val="auto"/>
          <w:szCs w:val="32"/>
          <w:highlight w:val="none"/>
        </w:rPr>
        <w:t>第一章 招标公告</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tbl>
      <w:tblPr>
        <w:tblStyle w:val="26"/>
        <w:tblW w:w="9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3"/>
        <w:gridCol w:w="1825"/>
        <w:gridCol w:w="1436"/>
        <w:gridCol w:w="4378"/>
      </w:tblGrid>
      <w:tr w14:paraId="351DF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37B35142">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bookmarkStart w:id="44" w:name="_Toc116610869"/>
            <w:bookmarkStart w:id="45" w:name="_Toc1193468374"/>
            <w:bookmarkStart w:id="46" w:name="_Toc17862"/>
            <w:bookmarkStart w:id="47" w:name="_Toc248646108"/>
            <w:bookmarkStart w:id="48" w:name="_Toc1341147604"/>
            <w:bookmarkStart w:id="49" w:name="_Toc1962250180"/>
            <w:bookmarkStart w:id="50" w:name="_Toc932546865"/>
            <w:bookmarkStart w:id="51" w:name="_Toc1887481852"/>
            <w:bookmarkStart w:id="52" w:name="_Toc656554198"/>
            <w:bookmarkStart w:id="53" w:name="_Toc1639039059"/>
            <w:bookmarkStart w:id="54" w:name="_Toc1961084223"/>
            <w:bookmarkStart w:id="55" w:name="_Toc1201901062"/>
            <w:bookmarkStart w:id="56" w:name="_Toc597450478"/>
            <w:bookmarkStart w:id="57" w:name="_Toc822316982"/>
            <w:bookmarkStart w:id="58" w:name="_Toc18305"/>
            <w:bookmarkStart w:id="59" w:name="_Toc319186297"/>
            <w:bookmarkStart w:id="60" w:name="_Toc2027325630"/>
            <w:bookmarkStart w:id="61" w:name="_Toc301034523"/>
            <w:bookmarkStart w:id="62" w:name="_Toc1011176255"/>
            <w:bookmarkStart w:id="63" w:name="_Toc1753232119"/>
            <w:bookmarkStart w:id="64" w:name="_Toc186343388"/>
            <w:bookmarkStart w:id="65" w:name="_Toc2591722"/>
            <w:bookmarkStart w:id="66" w:name="_Toc694443111"/>
            <w:bookmarkStart w:id="67" w:name="_Toc2023577259"/>
            <w:bookmarkStart w:id="68" w:name="_Toc892442768"/>
            <w:bookmarkStart w:id="69" w:name="_Toc1135602846"/>
            <w:bookmarkStart w:id="70" w:name="_Toc2024560177"/>
            <w:bookmarkStart w:id="71" w:name="_Toc231392815"/>
            <w:bookmarkStart w:id="72" w:name="_Toc27835"/>
            <w:bookmarkStart w:id="73" w:name="_Toc1263157348"/>
            <w:bookmarkStart w:id="74" w:name="_Toc138296548"/>
            <w:bookmarkStart w:id="75" w:name="_Toc1490067900"/>
            <w:bookmarkStart w:id="76" w:name="_Toc299871757_WPSOffice_Level2"/>
            <w:bookmarkStart w:id="77" w:name="_Toc508762158"/>
            <w:bookmarkStart w:id="78" w:name="_Toc30786"/>
            <w:bookmarkStart w:id="79" w:name="_Toc11386"/>
            <w:bookmarkStart w:id="80" w:name="_Toc1299483939"/>
            <w:bookmarkStart w:id="81" w:name="_Toc23189"/>
            <w:r>
              <w:rPr>
                <w:rFonts w:hint="eastAsia" w:ascii="宋体" w:hAnsi="宋体" w:eastAsia="宋体" w:cs="宋体"/>
                <w:b/>
                <w:bCs/>
                <w:i w:val="0"/>
                <w:color w:val="auto"/>
                <w:kern w:val="0"/>
                <w:sz w:val="20"/>
                <w:szCs w:val="20"/>
                <w:highlight w:val="none"/>
                <w:u w:val="none"/>
                <w:lang w:val="en-US" w:eastAsia="zh-CN" w:bidi="ar"/>
              </w:rPr>
              <w:t>投资项目代码</w:t>
            </w:r>
          </w:p>
        </w:tc>
        <w:tc>
          <w:tcPr>
            <w:tcW w:w="7639" w:type="dxa"/>
            <w:gridSpan w:val="3"/>
            <w:tcBorders>
              <w:tl2br w:val="nil"/>
              <w:tr2bl w:val="nil"/>
            </w:tcBorders>
            <w:noWrap w:val="0"/>
            <w:vAlign w:val="center"/>
          </w:tcPr>
          <w:p w14:paraId="3CB39D50">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lang w:eastAsia="zh-CN"/>
              </w:rPr>
            </w:pPr>
            <w:permStart w:id="8" w:edGrp="everyone"/>
            <w:r>
              <w:rPr>
                <w:rFonts w:hint="eastAsia" w:ascii="宋体" w:hAnsi="宋体" w:cs="宋体"/>
                <w:i w:val="0"/>
                <w:color w:val="auto"/>
                <w:kern w:val="0"/>
                <w:sz w:val="21"/>
                <w:szCs w:val="21"/>
                <w:highlight w:val="none"/>
                <w:u w:val="none"/>
                <w:lang w:val="en-US" w:eastAsia="zh-CN" w:bidi="ar"/>
              </w:rPr>
              <w:t>2606-442000-04-01-103607</w:t>
            </w:r>
            <w:permEnd w:id="8"/>
          </w:p>
        </w:tc>
      </w:tr>
      <w:tr w14:paraId="7739E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490D4321">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投资项目名称</w:t>
            </w:r>
          </w:p>
        </w:tc>
        <w:tc>
          <w:tcPr>
            <w:tcW w:w="7639" w:type="dxa"/>
            <w:gridSpan w:val="3"/>
            <w:tcBorders>
              <w:tl2br w:val="nil"/>
              <w:tr2bl w:val="nil"/>
            </w:tcBorders>
            <w:noWrap w:val="0"/>
            <w:vAlign w:val="center"/>
          </w:tcPr>
          <w:p w14:paraId="7C3690A9">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rPr>
            </w:pPr>
            <w:permStart w:id="9" w:edGrp="everyone"/>
            <w:r>
              <w:rPr>
                <w:rFonts w:hint="eastAsia" w:ascii="宋体" w:hAnsi="宋体" w:cs="宋体"/>
                <w:i w:val="0"/>
                <w:color w:val="auto"/>
                <w:kern w:val="0"/>
                <w:sz w:val="20"/>
                <w:szCs w:val="20"/>
                <w:highlight w:val="none"/>
                <w:u w:val="none"/>
                <w:lang w:val="en-US" w:eastAsia="zh-CN" w:bidi="ar"/>
              </w:rPr>
              <w:t>中山南联新能源汽车产业基地项目</w:t>
            </w:r>
            <w:permEnd w:id="9"/>
          </w:p>
        </w:tc>
      </w:tr>
      <w:tr w14:paraId="4DEF3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1A442A02">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招标项目名称</w:t>
            </w:r>
          </w:p>
        </w:tc>
        <w:tc>
          <w:tcPr>
            <w:tcW w:w="7639" w:type="dxa"/>
            <w:gridSpan w:val="3"/>
            <w:tcBorders>
              <w:tl2br w:val="nil"/>
              <w:tr2bl w:val="nil"/>
            </w:tcBorders>
            <w:noWrap w:val="0"/>
            <w:vAlign w:val="center"/>
          </w:tcPr>
          <w:p w14:paraId="3E3F0074">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rPr>
            </w:pPr>
            <w:permStart w:id="10" w:edGrp="everyone"/>
            <w:r>
              <w:rPr>
                <w:rFonts w:hint="eastAsia" w:ascii="宋体" w:hAnsi="宋体" w:cs="宋体"/>
                <w:i w:val="0"/>
                <w:color w:val="auto"/>
                <w:kern w:val="0"/>
                <w:sz w:val="20"/>
                <w:szCs w:val="20"/>
                <w:highlight w:val="none"/>
                <w:u w:val="none"/>
                <w:lang w:val="en-US" w:eastAsia="zh-CN" w:bidi="ar"/>
              </w:rPr>
              <w:t>中山南联新能源汽车产业基地项目（一期）-施工</w:t>
            </w:r>
            <w:permEnd w:id="10"/>
          </w:p>
        </w:tc>
      </w:tr>
      <w:tr w14:paraId="150DB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533E9EAB">
            <w:pPr>
              <w:keepNext w:val="0"/>
              <w:keepLines w:val="0"/>
              <w:widowControl/>
              <w:suppressLineNumbers w:val="0"/>
              <w:spacing w:line="360" w:lineRule="auto"/>
              <w:jc w:val="center"/>
              <w:textAlignment w:val="center"/>
              <w:rPr>
                <w:rFonts w:hint="eastAsia" w:ascii="宋体" w:hAnsi="宋体" w:eastAsia="宋体" w:cs="宋体"/>
                <w:b/>
                <w:bCs/>
                <w:i w:val="0"/>
                <w:color w:val="auto"/>
                <w:kern w:val="2"/>
                <w:sz w:val="20"/>
                <w:szCs w:val="20"/>
                <w:highlight w:val="none"/>
                <w:u w:val="none"/>
                <w:lang w:val="en-US" w:eastAsia="zh-CN" w:bidi="ar-SA"/>
              </w:rPr>
            </w:pPr>
            <w:r>
              <w:rPr>
                <w:rFonts w:hint="eastAsia" w:ascii="宋体" w:hAnsi="宋体" w:eastAsia="宋体" w:cs="宋体"/>
                <w:b/>
                <w:bCs/>
                <w:i w:val="0"/>
                <w:color w:val="auto"/>
                <w:kern w:val="0"/>
                <w:sz w:val="20"/>
                <w:szCs w:val="20"/>
                <w:highlight w:val="none"/>
                <w:u w:val="none"/>
                <w:lang w:val="en-US" w:eastAsia="zh-CN" w:bidi="ar"/>
              </w:rPr>
              <w:t>标段（包）名称</w:t>
            </w:r>
          </w:p>
        </w:tc>
        <w:tc>
          <w:tcPr>
            <w:tcW w:w="1825" w:type="dxa"/>
            <w:tcBorders>
              <w:tl2br w:val="nil"/>
              <w:tr2bl w:val="nil"/>
            </w:tcBorders>
            <w:noWrap w:val="0"/>
            <w:vAlign w:val="center"/>
          </w:tcPr>
          <w:p w14:paraId="4AA592E1">
            <w:pPr>
              <w:keepNext w:val="0"/>
              <w:keepLines w:val="0"/>
              <w:widowControl/>
              <w:suppressLineNumbers w:val="0"/>
              <w:spacing w:line="360" w:lineRule="auto"/>
              <w:jc w:val="center"/>
              <w:textAlignment w:val="center"/>
              <w:rPr>
                <w:rFonts w:hint="eastAsia" w:ascii="宋体" w:hAnsi="宋体" w:eastAsia="宋体" w:cs="宋体"/>
                <w:i w:val="0"/>
                <w:color w:val="auto"/>
                <w:kern w:val="2"/>
                <w:sz w:val="20"/>
                <w:szCs w:val="20"/>
                <w:highlight w:val="none"/>
                <w:u w:val="none"/>
                <w:lang w:val="en-US" w:eastAsia="zh-CN" w:bidi="ar-SA"/>
              </w:rPr>
            </w:pPr>
            <w:permStart w:id="11" w:edGrp="everyone"/>
            <w:r>
              <w:rPr>
                <w:rFonts w:hint="eastAsia" w:ascii="宋体" w:hAnsi="宋体" w:cs="宋体"/>
                <w:i w:val="0"/>
                <w:color w:val="auto"/>
                <w:kern w:val="2"/>
                <w:sz w:val="20"/>
                <w:szCs w:val="20"/>
                <w:highlight w:val="none"/>
                <w:u w:val="none"/>
                <w:lang w:val="en-US" w:eastAsia="zh-CN" w:bidi="ar-SA"/>
              </w:rPr>
              <w:t xml:space="preserve"> \ </w:t>
            </w:r>
            <w:permEnd w:id="11"/>
          </w:p>
        </w:tc>
        <w:tc>
          <w:tcPr>
            <w:tcW w:w="1436" w:type="dxa"/>
            <w:tcBorders>
              <w:tl2br w:val="nil"/>
              <w:tr2bl w:val="nil"/>
            </w:tcBorders>
            <w:noWrap w:val="0"/>
            <w:vAlign w:val="center"/>
          </w:tcPr>
          <w:p w14:paraId="2DF00FD9">
            <w:pPr>
              <w:keepNext w:val="0"/>
              <w:keepLines w:val="0"/>
              <w:widowControl/>
              <w:suppressLineNumbers w:val="0"/>
              <w:spacing w:line="360" w:lineRule="auto"/>
              <w:jc w:val="center"/>
              <w:textAlignment w:val="center"/>
              <w:rPr>
                <w:rFonts w:hint="eastAsia" w:ascii="宋体" w:hAnsi="宋体" w:eastAsia="宋体" w:cs="宋体"/>
                <w:i w:val="0"/>
                <w:color w:val="auto"/>
                <w:kern w:val="2"/>
                <w:sz w:val="20"/>
                <w:szCs w:val="20"/>
                <w:highlight w:val="none"/>
                <w:u w:val="none"/>
                <w:lang w:val="en-US" w:eastAsia="zh-CN" w:bidi="ar-SA"/>
              </w:rPr>
            </w:pPr>
            <w:r>
              <w:rPr>
                <w:rFonts w:hint="eastAsia" w:ascii="宋体" w:hAnsi="宋体" w:eastAsia="宋体" w:cs="宋体"/>
                <w:i w:val="0"/>
                <w:color w:val="auto"/>
                <w:kern w:val="0"/>
                <w:sz w:val="20"/>
                <w:szCs w:val="20"/>
                <w:highlight w:val="none"/>
                <w:u w:val="none"/>
                <w:lang w:val="en-US" w:eastAsia="zh-CN" w:bidi="ar"/>
              </w:rPr>
              <w:t>公告性质</w:t>
            </w:r>
          </w:p>
        </w:tc>
        <w:tc>
          <w:tcPr>
            <w:tcW w:w="4378" w:type="dxa"/>
            <w:tcBorders>
              <w:tl2br w:val="nil"/>
              <w:tr2bl w:val="nil"/>
            </w:tcBorders>
            <w:noWrap w:val="0"/>
            <w:vAlign w:val="center"/>
          </w:tcPr>
          <w:p w14:paraId="09AA871D">
            <w:pPr>
              <w:keepNext w:val="0"/>
              <w:keepLines w:val="0"/>
              <w:widowControl/>
              <w:suppressLineNumbers w:val="0"/>
              <w:spacing w:line="360" w:lineRule="auto"/>
              <w:jc w:val="center"/>
              <w:textAlignment w:val="center"/>
              <w:rPr>
                <w:rFonts w:hint="eastAsia" w:ascii="宋体" w:hAnsi="宋体" w:eastAsia="宋体" w:cs="宋体"/>
                <w:i w:val="0"/>
                <w:color w:val="auto"/>
                <w:kern w:val="2"/>
                <w:sz w:val="20"/>
                <w:szCs w:val="20"/>
                <w:highlight w:val="none"/>
                <w:u w:val="none"/>
                <w:lang w:val="en-US" w:eastAsia="zh-CN" w:bidi="ar-SA"/>
              </w:rPr>
            </w:pPr>
            <w:permStart w:id="12" w:edGrp="everyone"/>
            <w:r>
              <w:rPr>
                <w:rFonts w:hint="eastAsia" w:ascii="宋体" w:hAnsi="宋体" w:eastAsia="宋体" w:cs="宋体"/>
                <w:i w:val="0"/>
                <w:color w:val="auto"/>
                <w:kern w:val="0"/>
                <w:sz w:val="20"/>
                <w:szCs w:val="20"/>
                <w:highlight w:val="none"/>
                <w:u w:val="none"/>
                <w:lang w:val="en-US" w:eastAsia="zh-CN" w:bidi="ar"/>
              </w:rPr>
              <w:t>正常</w:t>
            </w:r>
            <w:permEnd w:id="12"/>
          </w:p>
        </w:tc>
      </w:tr>
      <w:tr w14:paraId="631F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2A9F86E9">
            <w:pPr>
              <w:keepNext w:val="0"/>
              <w:keepLines w:val="0"/>
              <w:widowControl/>
              <w:suppressLineNumbers w:val="0"/>
              <w:spacing w:line="360" w:lineRule="auto"/>
              <w:jc w:val="center"/>
              <w:textAlignment w:val="center"/>
              <w:rPr>
                <w:rFonts w:hint="eastAsia" w:ascii="宋体" w:hAnsi="宋体" w:eastAsia="宋体" w:cs="宋体"/>
                <w:b/>
                <w:bCs/>
                <w:i w:val="0"/>
                <w:color w:val="auto"/>
                <w:kern w:val="0"/>
                <w:sz w:val="20"/>
                <w:szCs w:val="20"/>
                <w:highlight w:val="none"/>
                <w:u w:val="none"/>
                <w:lang w:val="en-US" w:eastAsia="zh-CN" w:bidi="ar"/>
              </w:rPr>
            </w:pPr>
            <w:r>
              <w:rPr>
                <w:rFonts w:hint="eastAsia" w:ascii="宋体" w:hAnsi="宋体" w:cs="宋体"/>
                <w:b/>
                <w:bCs/>
                <w:i w:val="0"/>
                <w:color w:val="auto"/>
                <w:kern w:val="0"/>
                <w:sz w:val="20"/>
                <w:szCs w:val="20"/>
                <w:highlight w:val="none"/>
                <w:u w:val="none"/>
                <w:lang w:val="en-US" w:eastAsia="zh-CN" w:bidi="ar"/>
              </w:rPr>
              <w:t>资格审查方式</w:t>
            </w:r>
          </w:p>
        </w:tc>
        <w:tc>
          <w:tcPr>
            <w:tcW w:w="7639" w:type="dxa"/>
            <w:gridSpan w:val="3"/>
            <w:tcBorders>
              <w:tl2br w:val="nil"/>
              <w:tr2bl w:val="nil"/>
            </w:tcBorders>
            <w:noWrap w:val="0"/>
            <w:vAlign w:val="center"/>
          </w:tcPr>
          <w:p w14:paraId="459AA134">
            <w:pPr>
              <w:keepNext w:val="0"/>
              <w:keepLines w:val="0"/>
              <w:widowControl/>
              <w:suppressLineNumbers w:val="0"/>
              <w:spacing w:line="360" w:lineRule="auto"/>
              <w:jc w:val="center"/>
              <w:textAlignment w:val="center"/>
              <w:rPr>
                <w:rFonts w:hint="eastAsia" w:ascii="宋体" w:hAnsi="宋体" w:eastAsia="宋体" w:cs="宋体"/>
                <w:i w:val="0"/>
                <w:color w:val="auto"/>
                <w:kern w:val="0"/>
                <w:sz w:val="20"/>
                <w:szCs w:val="20"/>
                <w:highlight w:val="none"/>
                <w:u w:val="none"/>
                <w:lang w:val="en-US" w:eastAsia="zh-CN" w:bidi="ar"/>
              </w:rPr>
            </w:pPr>
            <w:permStart w:id="13" w:edGrp="everyone"/>
            <w:r>
              <w:rPr>
                <w:rFonts w:hint="eastAsia" w:ascii="宋体" w:hAnsi="宋体" w:cs="宋体"/>
                <w:i w:val="0"/>
                <w:color w:val="auto"/>
                <w:kern w:val="0"/>
                <w:sz w:val="20"/>
                <w:szCs w:val="20"/>
                <w:highlight w:val="none"/>
                <w:u w:val="none"/>
                <w:lang w:val="en-US" w:eastAsia="zh-CN" w:bidi="ar"/>
              </w:rPr>
              <w:t>资格后审</w:t>
            </w:r>
            <w:permEnd w:id="13"/>
          </w:p>
        </w:tc>
      </w:tr>
      <w:tr w14:paraId="3DD96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376FA5D0">
            <w:pPr>
              <w:keepNext w:val="0"/>
              <w:keepLines w:val="0"/>
              <w:widowControl/>
              <w:suppressLineNumbers w:val="0"/>
              <w:spacing w:line="360" w:lineRule="auto"/>
              <w:jc w:val="center"/>
              <w:textAlignment w:val="center"/>
              <w:rPr>
                <w:rFonts w:hint="eastAsia" w:ascii="宋体" w:hAnsi="宋体" w:cs="宋体"/>
                <w:b/>
                <w:bCs/>
                <w:i w:val="0"/>
                <w:color w:val="auto"/>
                <w:kern w:val="0"/>
                <w:sz w:val="20"/>
                <w:szCs w:val="20"/>
                <w:highlight w:val="none"/>
                <w:u w:val="none"/>
                <w:lang w:val="en-US" w:eastAsia="zh-CN" w:bidi="ar"/>
              </w:rPr>
            </w:pPr>
            <w:r>
              <w:rPr>
                <w:rFonts w:hint="eastAsia" w:ascii="宋体" w:hAnsi="宋体" w:eastAsia="宋体" w:cs="宋体"/>
                <w:b/>
                <w:bCs/>
                <w:i w:val="0"/>
                <w:color w:val="auto"/>
                <w:kern w:val="0"/>
                <w:sz w:val="20"/>
                <w:szCs w:val="20"/>
                <w:highlight w:val="none"/>
                <w:u w:val="none"/>
                <w:lang w:val="en-US" w:eastAsia="zh-CN" w:bidi="ar"/>
              </w:rPr>
              <w:t>招标项目</w:t>
            </w:r>
            <w:r>
              <w:rPr>
                <w:rFonts w:hint="eastAsia" w:ascii="宋体" w:hAnsi="宋体" w:cs="宋体"/>
                <w:b/>
                <w:bCs/>
                <w:i w:val="0"/>
                <w:color w:val="auto"/>
                <w:kern w:val="0"/>
                <w:sz w:val="20"/>
                <w:szCs w:val="20"/>
                <w:highlight w:val="none"/>
                <w:u w:val="none"/>
                <w:lang w:val="en-US" w:eastAsia="zh-CN" w:bidi="ar"/>
              </w:rPr>
              <w:t>实施</w:t>
            </w:r>
          </w:p>
          <w:p w14:paraId="6A1BF706">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cs="宋体"/>
                <w:b/>
                <w:bCs/>
                <w:i w:val="0"/>
                <w:color w:val="auto"/>
                <w:kern w:val="0"/>
                <w:sz w:val="20"/>
                <w:szCs w:val="20"/>
                <w:highlight w:val="none"/>
                <w:u w:val="none"/>
                <w:lang w:val="en-US" w:eastAsia="zh-CN" w:bidi="ar"/>
              </w:rPr>
              <w:t>（交货）</w:t>
            </w:r>
            <w:r>
              <w:rPr>
                <w:rFonts w:hint="eastAsia" w:ascii="宋体" w:hAnsi="宋体" w:eastAsia="宋体" w:cs="宋体"/>
                <w:b/>
                <w:bCs/>
                <w:i w:val="0"/>
                <w:color w:val="auto"/>
                <w:kern w:val="0"/>
                <w:sz w:val="20"/>
                <w:szCs w:val="20"/>
                <w:highlight w:val="none"/>
                <w:u w:val="none"/>
                <w:lang w:val="en-US" w:eastAsia="zh-CN" w:bidi="ar"/>
              </w:rPr>
              <w:t>地点</w:t>
            </w:r>
          </w:p>
        </w:tc>
        <w:tc>
          <w:tcPr>
            <w:tcW w:w="7639" w:type="dxa"/>
            <w:gridSpan w:val="3"/>
            <w:tcBorders>
              <w:tl2br w:val="nil"/>
              <w:tr2bl w:val="nil"/>
            </w:tcBorders>
            <w:noWrap w:val="0"/>
            <w:vAlign w:val="center"/>
          </w:tcPr>
          <w:p w14:paraId="5B1C0DBD">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rPr>
            </w:pPr>
            <w:permStart w:id="14" w:edGrp="everyone"/>
            <w:r>
              <w:rPr>
                <w:rFonts w:hint="eastAsia" w:ascii="宋体" w:hAnsi="宋体" w:cs="宋体"/>
                <w:i w:val="0"/>
                <w:color w:val="auto"/>
                <w:kern w:val="0"/>
                <w:sz w:val="20"/>
                <w:szCs w:val="20"/>
                <w:highlight w:val="none"/>
                <w:u w:val="none"/>
                <w:lang w:val="en-US" w:eastAsia="zh-CN" w:bidi="ar"/>
              </w:rPr>
              <w:t xml:space="preserve"> </w:t>
            </w:r>
            <w:r>
              <w:rPr>
                <w:rFonts w:hint="eastAsia"/>
                <w:spacing w:val="12"/>
                <w:sz w:val="20"/>
                <w:szCs w:val="22"/>
                <w:highlight w:val="none"/>
              </w:rPr>
              <w:t>中山市坦洲镇十四村</w:t>
            </w:r>
            <w:r>
              <w:rPr>
                <w:rFonts w:hint="eastAsia" w:ascii="宋体" w:hAnsi="宋体" w:cs="宋体"/>
                <w:i w:val="0"/>
                <w:color w:val="auto"/>
                <w:kern w:val="0"/>
                <w:sz w:val="21"/>
                <w:szCs w:val="21"/>
                <w:highlight w:val="none"/>
                <w:u w:val="none"/>
                <w:lang w:val="en-US" w:eastAsia="zh-CN" w:bidi="ar"/>
              </w:rPr>
              <w:t xml:space="preserve"> </w:t>
            </w:r>
            <w:permEnd w:id="14"/>
          </w:p>
        </w:tc>
      </w:tr>
      <w:tr w14:paraId="7FC01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1138CD2B">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资金来源</w:t>
            </w:r>
          </w:p>
        </w:tc>
        <w:tc>
          <w:tcPr>
            <w:tcW w:w="1825" w:type="dxa"/>
            <w:tcBorders>
              <w:tl2br w:val="nil"/>
              <w:tr2bl w:val="nil"/>
            </w:tcBorders>
            <w:noWrap w:val="0"/>
            <w:vAlign w:val="center"/>
          </w:tcPr>
          <w:p w14:paraId="5C7B7108">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rPr>
            </w:pPr>
            <w:permStart w:id="15" w:edGrp="everyone"/>
            <w:r>
              <w:rPr>
                <w:rFonts w:hint="eastAsia" w:ascii="宋体" w:hAnsi="宋体" w:cs="宋体"/>
                <w:i w:val="0"/>
                <w:color w:val="auto"/>
                <w:kern w:val="0"/>
                <w:sz w:val="20"/>
                <w:szCs w:val="20"/>
                <w:highlight w:val="none"/>
                <w:u w:val="none"/>
                <w:lang w:val="en-US" w:eastAsia="zh-CN" w:bidi="ar"/>
              </w:rPr>
              <w:t>自筹</w:t>
            </w:r>
            <w:permEnd w:id="15"/>
          </w:p>
        </w:tc>
        <w:tc>
          <w:tcPr>
            <w:tcW w:w="1436" w:type="dxa"/>
            <w:tcBorders>
              <w:tl2br w:val="nil"/>
              <w:tr2bl w:val="nil"/>
            </w:tcBorders>
            <w:noWrap w:val="0"/>
            <w:vAlign w:val="center"/>
          </w:tcPr>
          <w:p w14:paraId="2AE00E88">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资金来源构成</w:t>
            </w:r>
          </w:p>
        </w:tc>
        <w:tc>
          <w:tcPr>
            <w:tcW w:w="4378" w:type="dxa"/>
            <w:tcBorders>
              <w:tl2br w:val="nil"/>
              <w:tr2bl w:val="nil"/>
            </w:tcBorders>
            <w:noWrap w:val="0"/>
            <w:vAlign w:val="center"/>
          </w:tcPr>
          <w:p w14:paraId="13A5151E">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rPr>
            </w:pPr>
            <w:permStart w:id="16" w:edGrp="everyone"/>
            <w:r>
              <w:rPr>
                <w:rFonts w:hint="eastAsia" w:ascii="宋体" w:hAnsi="宋体" w:eastAsia="宋体" w:cs="宋体"/>
                <w:i w:val="0"/>
                <w:color w:val="auto"/>
                <w:kern w:val="0"/>
                <w:sz w:val="20"/>
                <w:szCs w:val="20"/>
                <w:highlight w:val="none"/>
                <w:u w:val="none"/>
                <w:lang w:val="en-US" w:eastAsia="zh-CN" w:bidi="ar"/>
              </w:rPr>
              <w:t>100%</w:t>
            </w:r>
            <w:r>
              <w:rPr>
                <w:rFonts w:hint="eastAsia" w:ascii="宋体" w:hAnsi="宋体" w:cs="宋体"/>
                <w:i w:val="0"/>
                <w:color w:val="auto"/>
                <w:kern w:val="0"/>
                <w:sz w:val="20"/>
                <w:szCs w:val="20"/>
                <w:highlight w:val="none"/>
                <w:u w:val="none"/>
                <w:lang w:val="en-US" w:eastAsia="zh-CN" w:bidi="ar"/>
              </w:rPr>
              <w:t>自筹</w:t>
            </w:r>
            <w:r>
              <w:rPr>
                <w:rFonts w:hint="eastAsia" w:ascii="宋体" w:hAnsi="宋体" w:eastAsia="宋体" w:cs="宋体"/>
                <w:i w:val="0"/>
                <w:color w:val="auto"/>
                <w:kern w:val="0"/>
                <w:sz w:val="20"/>
                <w:szCs w:val="20"/>
                <w:highlight w:val="none"/>
                <w:u w:val="none"/>
                <w:lang w:val="en-US" w:eastAsia="zh-CN" w:bidi="ar"/>
              </w:rPr>
              <w:t>资金</w:t>
            </w:r>
            <w:permEnd w:id="16"/>
          </w:p>
        </w:tc>
      </w:tr>
      <w:tr w14:paraId="2F90E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5FB71782">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招标范围及规模</w:t>
            </w:r>
          </w:p>
        </w:tc>
        <w:tc>
          <w:tcPr>
            <w:tcW w:w="7639" w:type="dxa"/>
            <w:gridSpan w:val="3"/>
            <w:tcBorders>
              <w:tl2br w:val="nil"/>
              <w:tr2bl w:val="nil"/>
            </w:tcBorders>
            <w:noWrap w:val="0"/>
            <w:vAlign w:val="center"/>
          </w:tcPr>
          <w:p w14:paraId="5F2C06F4">
            <w:pPr>
              <w:keepNext w:val="0"/>
              <w:keepLines w:val="0"/>
              <w:widowControl/>
              <w:suppressLineNumbers w:val="0"/>
              <w:spacing w:line="360" w:lineRule="auto"/>
              <w:jc w:val="left"/>
              <w:textAlignment w:val="center"/>
              <w:rPr>
                <w:rFonts w:hint="eastAsia" w:ascii="宋体" w:hAnsi="宋体" w:eastAsia="宋体" w:cs="宋体"/>
                <w:i w:val="0"/>
                <w:color w:val="auto"/>
                <w:sz w:val="20"/>
                <w:szCs w:val="20"/>
                <w:highlight w:val="none"/>
                <w:u w:val="none"/>
              </w:rPr>
            </w:pPr>
            <w:permStart w:id="17" w:edGrp="everyone"/>
            <w:r>
              <w:rPr>
                <w:rFonts w:hint="eastAsia" w:ascii="宋体" w:hAnsi="宋体" w:eastAsia="宋体" w:cs="宋体"/>
                <w:i w:val="0"/>
                <w:color w:val="auto"/>
                <w:kern w:val="0"/>
                <w:sz w:val="20"/>
                <w:szCs w:val="20"/>
                <w:highlight w:val="none"/>
                <w:u w:val="none"/>
                <w:lang w:val="en-US" w:eastAsia="zh-CN" w:bidi="ar"/>
              </w:rPr>
              <w:t>本项目位于中山市坦洲镇十四村，总用地面积43356.74平方米，本期用地面积为20291.50平方米，一期基底面积为9898平方米，幢数为3幢，起始层数为1层，最高层数为2层，建筑面积16302.57平方米，工程内容包括基础工程、主体结构工程、装修工程、给排水工程、电气工程、消防设备安装工程、室外园建等</w:t>
            </w:r>
            <w:r>
              <w:rPr>
                <w:rFonts w:hint="eastAsia" w:ascii="宋体" w:hAnsi="宋体" w:cs="宋体"/>
                <w:i w:val="0"/>
                <w:color w:val="auto"/>
                <w:kern w:val="0"/>
                <w:sz w:val="20"/>
                <w:szCs w:val="20"/>
                <w:highlight w:val="none"/>
                <w:u w:val="none"/>
                <w:lang w:val="en-US" w:eastAsia="zh-CN" w:bidi="ar"/>
              </w:rPr>
              <w:t>；</w:t>
            </w:r>
            <w:r>
              <w:rPr>
                <w:rFonts w:hint="eastAsia" w:ascii="宋体" w:hAnsi="宋体" w:eastAsia="宋体" w:cs="宋体"/>
                <w:color w:val="auto"/>
                <w:szCs w:val="21"/>
                <w:lang w:val="en-US" w:eastAsia="zh-CN"/>
              </w:rPr>
              <w:t>项目总投资金额6000万元，本次招标金额为</w:t>
            </w:r>
            <w:r>
              <w:rPr>
                <w:rFonts w:hint="eastAsia" w:ascii="宋体" w:hAnsi="宋体" w:eastAsia="宋体" w:cs="宋体"/>
                <w:i w:val="0"/>
                <w:color w:val="auto"/>
                <w:kern w:val="0"/>
                <w:sz w:val="21"/>
                <w:szCs w:val="21"/>
                <w:highlight w:val="none"/>
                <w:u w:val="none"/>
                <w:lang w:val="en-US" w:eastAsia="zh-CN" w:bidi="ar"/>
              </w:rPr>
              <w:t>26996874.75</w:t>
            </w:r>
            <w:r>
              <w:rPr>
                <w:rFonts w:hint="eastAsia" w:ascii="宋体" w:hAnsi="宋体" w:eastAsia="宋体" w:cs="宋体"/>
                <w:color w:val="auto"/>
                <w:szCs w:val="21"/>
              </w:rPr>
              <w:t>元</w:t>
            </w:r>
            <w:r>
              <w:rPr>
                <w:rFonts w:hint="eastAsia" w:ascii="宋体" w:hAnsi="宋体" w:eastAsia="宋体" w:cs="宋体"/>
                <w:i w:val="0"/>
                <w:color w:val="auto"/>
                <w:kern w:val="0"/>
                <w:sz w:val="20"/>
                <w:szCs w:val="20"/>
                <w:highlight w:val="none"/>
                <w:u w:val="none"/>
                <w:lang w:val="en-US" w:eastAsia="zh-CN" w:bidi="ar"/>
              </w:rPr>
              <w:t>。</w:t>
            </w:r>
            <w:permEnd w:id="17"/>
          </w:p>
        </w:tc>
      </w:tr>
      <w:tr w14:paraId="01E7E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28E8A232">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招标内容</w:t>
            </w:r>
          </w:p>
        </w:tc>
        <w:tc>
          <w:tcPr>
            <w:tcW w:w="7639" w:type="dxa"/>
            <w:gridSpan w:val="3"/>
            <w:tcBorders>
              <w:tl2br w:val="nil"/>
              <w:tr2bl w:val="nil"/>
            </w:tcBorders>
            <w:noWrap w:val="0"/>
            <w:vAlign w:val="center"/>
          </w:tcPr>
          <w:p w14:paraId="7E4E12B3">
            <w:pPr>
              <w:keepNext w:val="0"/>
              <w:keepLines w:val="0"/>
              <w:widowControl/>
              <w:suppressLineNumbers w:val="0"/>
              <w:spacing w:line="360" w:lineRule="auto"/>
              <w:jc w:val="left"/>
              <w:textAlignment w:val="center"/>
              <w:rPr>
                <w:rFonts w:hint="eastAsia" w:ascii="宋体" w:hAnsi="宋体" w:eastAsia="宋体" w:cs="宋体"/>
                <w:i w:val="0"/>
                <w:color w:val="auto"/>
                <w:kern w:val="0"/>
                <w:sz w:val="21"/>
                <w:szCs w:val="21"/>
                <w:highlight w:val="none"/>
                <w:u w:val="none"/>
                <w:lang w:val="en-US" w:eastAsia="zh-CN" w:bidi="ar"/>
              </w:rPr>
            </w:pPr>
            <w:permStart w:id="18" w:edGrp="everyone"/>
            <w:r>
              <w:rPr>
                <w:rFonts w:hint="eastAsia" w:ascii="宋体" w:hAnsi="宋体" w:eastAsia="宋体" w:cs="宋体"/>
                <w:i w:val="0"/>
                <w:color w:val="auto"/>
                <w:kern w:val="0"/>
                <w:sz w:val="21"/>
                <w:szCs w:val="21"/>
                <w:highlight w:val="none"/>
                <w:u w:val="none"/>
                <w:lang w:val="en-US" w:eastAsia="zh-CN" w:bidi="ar"/>
              </w:rPr>
              <w:t>本次招标内容包括但不限于：</w:t>
            </w:r>
          </w:p>
          <w:p w14:paraId="1CB20E40">
            <w:pPr>
              <w:keepNext w:val="0"/>
              <w:keepLines w:val="0"/>
              <w:widowControl/>
              <w:suppressLineNumbers w:val="0"/>
              <w:spacing w:line="360" w:lineRule="auto"/>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（1）建筑工程：包括土方工程、地基基础工程、主体结构及围护工程、二次结构、楼地面工程、防雷、消防、节能工程等；</w:t>
            </w:r>
          </w:p>
          <w:p w14:paraId="060D5272">
            <w:pPr>
              <w:keepNext w:val="0"/>
              <w:keepLines w:val="0"/>
              <w:widowControl/>
              <w:suppressLineNumbers w:val="0"/>
              <w:spacing w:line="360" w:lineRule="auto"/>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（2）建筑安装工程：包括室内外给水、室内外排水、室内外电气（含通讯及智能化系统等弱电项目）安装、通风工程、空调工程、电梯工程等；</w:t>
            </w:r>
          </w:p>
          <w:p w14:paraId="70650B41">
            <w:pPr>
              <w:keepNext w:val="0"/>
              <w:keepLines w:val="0"/>
              <w:widowControl/>
              <w:suppressLineNumbers w:val="0"/>
              <w:spacing w:line="360" w:lineRule="auto"/>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（3）建筑装饰装修工程：包括室内及室外墙面装饰、地面装饰、顶棚装饰、屋面工程、门窗工程、细部工程、室外园林景观及附属设施等；</w:t>
            </w:r>
          </w:p>
          <w:p w14:paraId="0B819E11">
            <w:pPr>
              <w:keepNext w:val="0"/>
              <w:keepLines w:val="0"/>
              <w:widowControl/>
              <w:suppressLineNumbers w:val="0"/>
              <w:spacing w:line="360" w:lineRule="auto"/>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（4）配套工程：道路工程、围墙工程等；</w:t>
            </w:r>
          </w:p>
          <w:p w14:paraId="3BC92E39">
            <w:pPr>
              <w:keepNext w:val="0"/>
              <w:keepLines w:val="0"/>
              <w:widowControl/>
              <w:suppressLineNumbers w:val="0"/>
              <w:spacing w:line="360" w:lineRule="auto"/>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（5）项目用地范围内招标人委托的专项提升等其他工程；</w:t>
            </w:r>
          </w:p>
          <w:p w14:paraId="2C361BFF">
            <w:pPr>
              <w:keepNext w:val="0"/>
              <w:keepLines w:val="0"/>
              <w:widowControl/>
              <w:suppressLineNumbers w:val="0"/>
              <w:spacing w:line="360" w:lineRule="auto"/>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（6）交付后负责机电、设备、完整工程资料移交物业；</w:t>
            </w:r>
          </w:p>
          <w:p w14:paraId="7A50AF2C">
            <w:pPr>
              <w:keepNext w:val="0"/>
              <w:keepLines w:val="0"/>
              <w:widowControl/>
              <w:suppressLineNumbers w:val="0"/>
              <w:spacing w:line="360" w:lineRule="auto"/>
              <w:jc w:val="left"/>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1"/>
                <w:szCs w:val="21"/>
                <w:highlight w:val="none"/>
                <w:u w:val="none"/>
                <w:lang w:val="en-US" w:eastAsia="zh-CN" w:bidi="ar"/>
              </w:rPr>
              <w:t>具体以招标人所提供的施工图纸和中介预算及有关资料的内容为准</w:t>
            </w:r>
            <w:r>
              <w:rPr>
                <w:rFonts w:hint="eastAsia" w:ascii="宋体" w:hAnsi="宋体" w:eastAsia="宋体"/>
                <w:color w:val="auto"/>
                <w:szCs w:val="21"/>
                <w:highlight w:val="none"/>
                <w:lang w:eastAsia="zh-CN"/>
              </w:rPr>
              <w:t>。</w:t>
            </w:r>
            <w:permEnd w:id="18"/>
          </w:p>
        </w:tc>
      </w:tr>
      <w:tr w14:paraId="6B94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4C94C3AE">
            <w:pPr>
              <w:keepNext w:val="0"/>
              <w:keepLines w:val="0"/>
              <w:widowControl/>
              <w:suppressLineNumbers w:val="0"/>
              <w:spacing w:line="360" w:lineRule="auto"/>
              <w:jc w:val="center"/>
              <w:textAlignment w:val="center"/>
              <w:rPr>
                <w:rFonts w:hint="eastAsia" w:ascii="宋体" w:hAnsi="宋体" w:eastAsia="宋体" w:cs="宋体"/>
                <w:b/>
                <w:bCs/>
                <w:i w:val="0"/>
                <w:color w:val="auto"/>
                <w:kern w:val="0"/>
                <w:sz w:val="20"/>
                <w:szCs w:val="20"/>
                <w:highlight w:val="none"/>
                <w:u w:val="none"/>
                <w:lang w:val="en-US" w:eastAsia="zh-CN" w:bidi="ar"/>
              </w:rPr>
            </w:pPr>
            <w:r>
              <w:rPr>
                <w:rFonts w:hint="eastAsia" w:ascii="宋体" w:hAnsi="宋体" w:cs="宋体"/>
                <w:b/>
                <w:bCs/>
                <w:i w:val="0"/>
                <w:color w:val="auto"/>
                <w:kern w:val="0"/>
                <w:sz w:val="20"/>
                <w:szCs w:val="20"/>
                <w:highlight w:val="none"/>
                <w:u w:val="none"/>
                <w:lang w:val="en-US" w:eastAsia="zh-CN" w:bidi="ar"/>
              </w:rPr>
              <w:t>工期（交货期）</w:t>
            </w:r>
          </w:p>
        </w:tc>
        <w:tc>
          <w:tcPr>
            <w:tcW w:w="7639" w:type="dxa"/>
            <w:gridSpan w:val="3"/>
            <w:tcBorders>
              <w:tl2br w:val="nil"/>
              <w:tr2bl w:val="nil"/>
            </w:tcBorders>
            <w:noWrap w:val="0"/>
            <w:vAlign w:val="center"/>
          </w:tcPr>
          <w:p w14:paraId="19229709">
            <w:pPr>
              <w:keepNext w:val="0"/>
              <w:keepLines w:val="0"/>
              <w:widowControl/>
              <w:suppressLineNumbers w:val="0"/>
              <w:spacing w:line="360" w:lineRule="auto"/>
              <w:jc w:val="center"/>
              <w:textAlignment w:val="center"/>
              <w:rPr>
                <w:rFonts w:hint="eastAsia" w:ascii="宋体" w:hAnsi="宋体" w:eastAsia="宋体" w:cs="宋体"/>
                <w:i w:val="0"/>
                <w:color w:val="auto"/>
                <w:kern w:val="0"/>
                <w:sz w:val="20"/>
                <w:szCs w:val="20"/>
                <w:highlight w:val="none"/>
                <w:u w:val="none"/>
                <w:lang w:val="en-US" w:eastAsia="zh-CN" w:bidi="ar"/>
              </w:rPr>
            </w:pPr>
            <w:permStart w:id="19" w:edGrp="everyone"/>
            <w:r>
              <w:rPr>
                <w:rFonts w:hint="eastAsia" w:ascii="宋体" w:hAnsi="宋体" w:cs="宋体"/>
                <w:i w:val="0"/>
                <w:color w:val="auto"/>
                <w:kern w:val="0"/>
                <w:sz w:val="20"/>
                <w:szCs w:val="20"/>
                <w:highlight w:val="none"/>
                <w:u w:val="none"/>
                <w:lang w:val="en-US" w:eastAsia="zh-CN" w:bidi="ar"/>
              </w:rPr>
              <w:t>240日历天</w:t>
            </w:r>
            <w:permEnd w:id="19"/>
          </w:p>
        </w:tc>
      </w:tr>
      <w:tr w14:paraId="50D49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1076B027">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最高投标限价</w:t>
            </w:r>
          </w:p>
        </w:tc>
        <w:tc>
          <w:tcPr>
            <w:tcW w:w="7639" w:type="dxa"/>
            <w:gridSpan w:val="3"/>
            <w:tcBorders>
              <w:tl2br w:val="nil"/>
              <w:tr2bl w:val="nil"/>
            </w:tcBorders>
            <w:noWrap w:val="0"/>
            <w:vAlign w:val="center"/>
          </w:tcPr>
          <w:p w14:paraId="62BFCE6A">
            <w:pPr>
              <w:keepNext w:val="0"/>
              <w:keepLines w:val="0"/>
              <w:widowControl/>
              <w:suppressLineNumbers w:val="0"/>
              <w:spacing w:line="360" w:lineRule="auto"/>
              <w:jc w:val="center"/>
              <w:textAlignment w:val="center"/>
              <w:rPr>
                <w:rFonts w:hint="default" w:ascii="宋体" w:hAnsi="宋体" w:eastAsia="宋体" w:cs="宋体"/>
                <w:i w:val="0"/>
                <w:color w:val="auto"/>
                <w:sz w:val="20"/>
                <w:szCs w:val="20"/>
                <w:highlight w:val="none"/>
                <w:u w:val="none"/>
                <w:lang w:val="en-US" w:eastAsia="zh-CN"/>
              </w:rPr>
            </w:pPr>
            <w:permStart w:id="20" w:edGrp="everyone"/>
            <w:r>
              <w:rPr>
                <w:rFonts w:hint="eastAsia" w:ascii="宋体" w:hAnsi="宋体" w:cs="宋体"/>
                <w:i w:val="0"/>
                <w:color w:val="auto"/>
                <w:kern w:val="0"/>
                <w:sz w:val="20"/>
                <w:szCs w:val="20"/>
                <w:highlight w:val="none"/>
                <w:u w:val="none"/>
                <w:lang w:val="en-US" w:eastAsia="zh-CN" w:bidi="ar"/>
              </w:rPr>
              <w:t xml:space="preserve"> </w:t>
            </w:r>
            <w:r>
              <w:rPr>
                <w:rFonts w:hint="eastAsia" w:ascii="宋体" w:hAnsi="宋体" w:eastAsia="宋体" w:cs="宋体"/>
                <w:i w:val="0"/>
                <w:color w:val="auto"/>
                <w:kern w:val="0"/>
                <w:sz w:val="21"/>
                <w:szCs w:val="21"/>
                <w:highlight w:val="none"/>
                <w:u w:val="none"/>
                <w:lang w:val="en-US" w:eastAsia="zh-CN" w:bidi="ar"/>
              </w:rPr>
              <w:t>26996874.75</w:t>
            </w:r>
            <w:r>
              <w:rPr>
                <w:rFonts w:hint="eastAsia" w:ascii="宋体" w:hAnsi="宋体" w:cs="宋体"/>
                <w:i w:val="0"/>
                <w:color w:val="auto"/>
                <w:kern w:val="0"/>
                <w:sz w:val="20"/>
                <w:szCs w:val="20"/>
                <w:highlight w:val="none"/>
                <w:u w:val="none"/>
                <w:lang w:val="en-US" w:eastAsia="zh-CN" w:bidi="ar"/>
              </w:rPr>
              <w:t>元</w:t>
            </w:r>
            <w:permEnd w:id="20"/>
          </w:p>
        </w:tc>
      </w:tr>
      <w:tr w14:paraId="55A0F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1CBC0844">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是否接受联合体投标</w:t>
            </w:r>
          </w:p>
        </w:tc>
        <w:tc>
          <w:tcPr>
            <w:tcW w:w="7639" w:type="dxa"/>
            <w:gridSpan w:val="3"/>
            <w:tcBorders>
              <w:tl2br w:val="nil"/>
              <w:tr2bl w:val="nil"/>
            </w:tcBorders>
            <w:noWrap w:val="0"/>
            <w:vAlign w:val="center"/>
          </w:tcPr>
          <w:p w14:paraId="2DA07282">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rPr>
            </w:pPr>
            <w:permStart w:id="21" w:edGrp="everyone"/>
            <w:r>
              <w:rPr>
                <w:rFonts w:hint="eastAsia" w:ascii="宋体" w:hAnsi="宋体" w:eastAsia="宋体" w:cs="宋体"/>
                <w:i w:val="0"/>
                <w:color w:val="auto"/>
                <w:kern w:val="0"/>
                <w:sz w:val="20"/>
                <w:szCs w:val="20"/>
                <w:highlight w:val="none"/>
                <w:u w:val="none"/>
                <w:lang w:val="en-US" w:eastAsia="zh-CN" w:bidi="ar"/>
              </w:rPr>
              <w:t>否</w:t>
            </w:r>
            <w:permEnd w:id="21"/>
          </w:p>
        </w:tc>
      </w:tr>
      <w:tr w14:paraId="1AD27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3" w:hRule="atLeast"/>
          <w:jc w:val="center"/>
        </w:trPr>
        <w:tc>
          <w:tcPr>
            <w:tcW w:w="2053" w:type="dxa"/>
            <w:tcBorders>
              <w:tl2br w:val="nil"/>
              <w:tr2bl w:val="nil"/>
            </w:tcBorders>
            <w:noWrap w:val="0"/>
            <w:vAlign w:val="center"/>
          </w:tcPr>
          <w:p w14:paraId="19205A8A">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投标资格能力要求</w:t>
            </w:r>
          </w:p>
        </w:tc>
        <w:tc>
          <w:tcPr>
            <w:tcW w:w="7639" w:type="dxa"/>
            <w:gridSpan w:val="3"/>
            <w:tcBorders>
              <w:tl2br w:val="nil"/>
              <w:tr2bl w:val="nil"/>
            </w:tcBorders>
            <w:noWrap w:val="0"/>
            <w:vAlign w:val="center"/>
          </w:tcPr>
          <w:p w14:paraId="023814FC">
            <w:pPr>
              <w:pageBreakBefore w:val="0"/>
              <w:kinsoku/>
              <w:wordWrap/>
              <w:overflowPunct/>
              <w:topLinePunct w:val="0"/>
              <w:bidi w:val="0"/>
              <w:spacing w:line="360" w:lineRule="auto"/>
              <w:ind w:firstLine="420" w:firstLineChars="200"/>
              <w:jc w:val="left"/>
              <w:textAlignment w:val="auto"/>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资质要求：要求投标人具备有效的</w:t>
            </w:r>
            <w:permStart w:id="22" w:edGrp="everyone"/>
            <w:r>
              <w:rPr>
                <w:rFonts w:hint="eastAsia" w:ascii="宋体" w:hAnsi="宋体"/>
                <w:color w:val="auto"/>
                <w:szCs w:val="21"/>
                <w:highlight w:val="none"/>
                <w:u w:val="single"/>
              </w:rPr>
              <w:t>建筑工程施工总承包</w:t>
            </w:r>
            <w:r>
              <w:rPr>
                <w:rFonts w:hint="eastAsia" w:ascii="宋体" w:hAnsi="宋体"/>
                <w:color w:val="auto"/>
                <w:szCs w:val="21"/>
                <w:highlight w:val="none"/>
                <w:u w:val="single"/>
                <w:lang w:val="en-US" w:eastAsia="zh-CN"/>
              </w:rPr>
              <w:t>三</w:t>
            </w:r>
            <w:r>
              <w:rPr>
                <w:rFonts w:hint="eastAsia" w:ascii="宋体" w:hAnsi="宋体"/>
                <w:color w:val="auto"/>
                <w:szCs w:val="21"/>
                <w:highlight w:val="none"/>
                <w:u w:val="single"/>
              </w:rPr>
              <w:t>级或以上资质</w:t>
            </w:r>
            <w:r>
              <w:rPr>
                <w:rFonts w:hint="eastAsia" w:ascii="宋体" w:hAnsi="宋体"/>
                <w:color w:val="auto"/>
                <w:szCs w:val="21"/>
                <w:highlight w:val="none"/>
              </w:rPr>
              <w:t>。</w:t>
            </w:r>
            <w:permEnd w:id="22"/>
          </w:p>
          <w:p w14:paraId="50A044BC">
            <w:pPr>
              <w:pageBreakBefore w:val="0"/>
              <w:kinsoku/>
              <w:wordWrap/>
              <w:overflowPunct/>
              <w:topLinePunct w:val="0"/>
              <w:bidi w:val="0"/>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其他要求：</w:t>
            </w:r>
          </w:p>
          <w:p w14:paraId="18FED23F">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permStart w:id="23" w:edGrp="everyone"/>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经过市场监督管理部门确定的具有独立法人资格的企业，并具有有效的安全生产许可证</w:t>
            </w:r>
            <w:r>
              <w:rPr>
                <w:rFonts w:hint="eastAsia" w:ascii="宋体" w:hAnsi="宋体" w:eastAsia="宋体" w:cs="宋体"/>
                <w:color w:val="auto"/>
                <w:szCs w:val="21"/>
                <w:highlight w:val="none"/>
                <w:lang w:eastAsia="zh-CN"/>
              </w:rPr>
              <w:t>且不存在被暂扣或吊销等情形</w:t>
            </w:r>
            <w:r>
              <w:rPr>
                <w:rFonts w:hint="eastAsia" w:ascii="宋体" w:hAnsi="宋体" w:eastAsia="宋体" w:cs="宋体"/>
                <w:color w:val="auto"/>
                <w:szCs w:val="21"/>
                <w:highlight w:val="none"/>
              </w:rPr>
              <w:t>。</w:t>
            </w:r>
            <w:r>
              <w:rPr>
                <w:rFonts w:hint="eastAsia" w:ascii="宋体" w:hAnsi="宋体"/>
                <w:color w:val="auto"/>
                <w:szCs w:val="21"/>
                <w:highlight w:val="none"/>
              </w:rPr>
              <w:t>（</w:t>
            </w:r>
            <w:r>
              <w:rPr>
                <w:rFonts w:hint="eastAsia" w:ascii="宋体" w:hAnsi="宋体"/>
                <w:color w:val="auto"/>
                <w:szCs w:val="21"/>
                <w:highlight w:val="none"/>
                <w:lang w:eastAsia="zh-CN"/>
              </w:rPr>
              <w:t>非园林绿化工程适用</w:t>
            </w:r>
            <w:r>
              <w:rPr>
                <w:rFonts w:hint="eastAsia" w:ascii="宋体" w:hAnsi="宋体"/>
                <w:color w:val="auto"/>
                <w:szCs w:val="21"/>
                <w:highlight w:val="none"/>
              </w:rPr>
              <w:t>）</w:t>
            </w:r>
          </w:p>
          <w:permEnd w:id="23"/>
          <w:p w14:paraId="2B4746F5">
            <w:pPr>
              <w:keepNext w:val="0"/>
              <w:keepLines w:val="0"/>
              <w:pageBreakBefore w:val="0"/>
              <w:numPr>
                <w:ilvl w:val="0"/>
                <w:numId w:val="0"/>
              </w:numPr>
              <w:tabs>
                <w:tab w:val="left" w:pos="651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en-US" w:eastAsia="zh-CN"/>
              </w:rPr>
              <w:t>）未在《信用中国》网站（www.creditchina.gov.cn）被列为“失信被执行人”以及未在全国企业信用信息公示系统被列入“严重违法失信企业名单”。（联合体投标的，联合体各方均需满足。）</w:t>
            </w:r>
          </w:p>
          <w:p w14:paraId="225704DA">
            <w:pPr>
              <w:keepNext w:val="0"/>
              <w:keepLines w:val="0"/>
              <w:pageBreakBefore w:val="0"/>
              <w:widowControl/>
              <w:kinsoku/>
              <w:wordWrap/>
              <w:overflowPunct/>
              <w:topLinePunct w:val="0"/>
              <w:autoSpaceDE/>
              <w:autoSpaceDN/>
              <w:bidi w:val="0"/>
              <w:adjustRightInd/>
              <w:snapToGrid/>
              <w:spacing w:line="360" w:lineRule="auto"/>
              <w:ind w:left="420"/>
              <w:textAlignment w:val="auto"/>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本次招标</w:t>
            </w:r>
            <w:permStart w:id="24" w:edGrp="everyone"/>
            <w:r>
              <w:rPr>
                <w:rFonts w:hint="eastAsia" w:ascii="宋体" w:hAnsi="宋体" w:eastAsia="宋体" w:cs="宋体"/>
                <w:color w:val="auto"/>
                <w:szCs w:val="21"/>
                <w:highlight w:val="none"/>
                <w:u w:val="single"/>
              </w:rPr>
              <w:t xml:space="preserve"> 不接受 </w:t>
            </w:r>
            <w:permEnd w:id="24"/>
            <w:r>
              <w:rPr>
                <w:rFonts w:hint="eastAsia" w:ascii="宋体" w:hAnsi="宋体" w:eastAsia="宋体" w:cs="宋体"/>
                <w:color w:val="auto"/>
                <w:szCs w:val="21"/>
                <w:highlight w:val="none"/>
              </w:rPr>
              <w:t>联合体投标。联合体投标的，应满足下列要求：</w:t>
            </w:r>
            <w:permStart w:id="25"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permEnd w:id="25"/>
          </w:p>
          <w:p w14:paraId="5B8794CC">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lang w:val="en-US" w:eastAsia="zh-CN"/>
              </w:rPr>
              <w:t xml:space="preserve">4. </w:t>
            </w:r>
            <w:r>
              <w:rPr>
                <w:rFonts w:hint="eastAsia" w:ascii="宋体" w:hAnsi="宋体" w:eastAsia="宋体" w:cs="宋体"/>
                <w:color w:val="auto"/>
                <w:szCs w:val="21"/>
                <w:highlight w:val="none"/>
              </w:rPr>
              <w:t>投标人近</w:t>
            </w:r>
            <w:permStart w:id="26" w:edGrp="everyone"/>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u w:val="single"/>
                <w:lang w:val="en-US" w:eastAsia="zh-CN"/>
              </w:rPr>
              <w:t xml:space="preserve">/ </w:t>
            </w:r>
            <w:permEnd w:id="26"/>
            <w:r>
              <w:rPr>
                <w:rFonts w:hint="eastAsia" w:ascii="宋体" w:hAnsi="宋体" w:eastAsia="宋体" w:cs="宋体"/>
                <w:color w:val="auto"/>
                <w:szCs w:val="21"/>
                <w:highlight w:val="none"/>
              </w:rPr>
              <w:t>年已完成过质量合格的类似工程业绩要求：</w:t>
            </w:r>
            <w:permStart w:id="27" w:edGrp="everyone"/>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u w:val="single"/>
                <w:lang w:val="en-US" w:eastAsia="zh-CN"/>
              </w:rPr>
              <w:t>/</w:t>
            </w:r>
          </w:p>
          <w:permEnd w:id="27"/>
          <w:p w14:paraId="26A411A6">
            <w:pPr>
              <w:pageBreakBefore w:val="0"/>
              <w:kinsoku/>
              <w:wordWrap/>
              <w:overflowPunct/>
              <w:topLinePunct w:val="0"/>
              <w:bidi w:val="0"/>
              <w:spacing w:line="360" w:lineRule="auto"/>
              <w:ind w:firstLine="420" w:firstLineChars="200"/>
              <w:textAlignment w:val="auto"/>
              <w:rPr>
                <w:rFonts w:hint="eastAsia"/>
                <w:color w:val="auto"/>
                <w:highlight w:val="none"/>
                <w:lang w:val="en-US" w:eastAsia="zh-CN"/>
              </w:rPr>
            </w:pPr>
            <w:r>
              <w:rPr>
                <w:rFonts w:hint="eastAsia" w:ascii="宋体" w:hAnsi="宋体" w:eastAsia="宋体" w:cs="宋体"/>
                <w:color w:val="auto"/>
                <w:szCs w:val="21"/>
                <w:highlight w:val="none"/>
                <w:lang w:val="en-US" w:eastAsia="zh-CN"/>
              </w:rPr>
              <w:t xml:space="preserve">5. </w:t>
            </w:r>
            <w:r>
              <w:rPr>
                <w:rFonts w:hint="eastAsia" w:ascii="宋体" w:hAnsi="宋体" w:eastAsia="宋体" w:cs="宋体"/>
                <w:color w:val="auto"/>
                <w:szCs w:val="21"/>
                <w:highlight w:val="none"/>
              </w:rPr>
              <w:t>各投标人均可就上述标段中的</w:t>
            </w:r>
            <w:permStart w:id="28"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1</w:t>
            </w:r>
            <w:permEnd w:id="28"/>
            <w:r>
              <w:rPr>
                <w:rFonts w:hint="eastAsia" w:ascii="宋体" w:hAnsi="宋体" w:eastAsia="宋体" w:cs="宋体"/>
                <w:color w:val="auto"/>
                <w:szCs w:val="21"/>
                <w:highlight w:val="none"/>
              </w:rPr>
              <w:t>个标段投标。</w:t>
            </w:r>
            <w:permStart w:id="29" w:edGrp="everyone"/>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u w:val="single"/>
                <w:lang w:val="en-US" w:eastAsia="zh-CN"/>
              </w:rPr>
              <w:t xml:space="preserve">/ </w:t>
            </w:r>
            <w:permEnd w:id="29"/>
          </w:p>
          <w:p w14:paraId="468C89F8">
            <w:pPr>
              <w:pageBreakBefore w:val="0"/>
              <w:kinsoku/>
              <w:wordWrap/>
              <w:overflowPunct/>
              <w:topLinePunct w:val="0"/>
              <w:bidi w:val="0"/>
              <w:spacing w:line="360" w:lineRule="auto"/>
              <w:ind w:firstLine="420" w:firstLineChars="200"/>
              <w:jc w:val="left"/>
              <w:textAlignment w:val="auto"/>
              <w:rPr>
                <w:rFonts w:hint="eastAsia" w:ascii="宋体" w:hAnsi="宋体" w:cs="宋体"/>
                <w:i w:val="0"/>
                <w:color w:val="auto"/>
                <w:kern w:val="0"/>
                <w:sz w:val="20"/>
                <w:szCs w:val="20"/>
                <w:highlight w:val="none"/>
                <w:u w:val="none"/>
                <w:lang w:val="en-US" w:eastAsia="zh-CN" w:bidi="ar"/>
              </w:rPr>
            </w:pPr>
            <w:r>
              <w:rPr>
                <w:rFonts w:hint="eastAsia" w:ascii="宋体" w:hAnsi="宋体"/>
                <w:color w:val="auto"/>
                <w:kern w:val="1"/>
                <w:szCs w:val="21"/>
                <w:highlight w:val="none"/>
              </w:rPr>
              <w:t>6</w:t>
            </w:r>
            <w:r>
              <w:rPr>
                <w:rFonts w:hint="eastAsia" w:ascii="宋体" w:hAnsi="宋体"/>
                <w:color w:val="auto"/>
                <w:kern w:val="1"/>
                <w:szCs w:val="21"/>
                <w:highlight w:val="none"/>
                <w:lang w:val="en-US" w:eastAsia="zh-CN"/>
              </w:rPr>
              <w:t xml:space="preserve"> </w:t>
            </w:r>
            <w:r>
              <w:rPr>
                <w:rFonts w:ascii="宋体" w:hAnsi="宋体"/>
                <w:color w:val="auto"/>
                <w:kern w:val="1"/>
                <w:szCs w:val="21"/>
                <w:highlight w:val="none"/>
              </w:rPr>
              <w:t>投标人</w:t>
            </w:r>
            <w:r>
              <w:rPr>
                <w:rFonts w:hint="eastAsia" w:ascii="宋体" w:hAnsi="宋体"/>
                <w:color w:val="auto"/>
                <w:kern w:val="1"/>
                <w:szCs w:val="21"/>
                <w:highlight w:val="none"/>
              </w:rPr>
              <w:t>参与投标前</w:t>
            </w:r>
            <w:r>
              <w:rPr>
                <w:rFonts w:ascii="宋体" w:hAnsi="宋体"/>
                <w:color w:val="auto"/>
                <w:kern w:val="1"/>
                <w:szCs w:val="21"/>
                <w:highlight w:val="none"/>
              </w:rPr>
              <w:t>应</w:t>
            </w:r>
            <w:r>
              <w:rPr>
                <w:rFonts w:hint="eastAsia" w:ascii="宋体" w:hAnsi="宋体"/>
                <w:color w:val="auto"/>
                <w:kern w:val="1"/>
                <w:szCs w:val="21"/>
                <w:highlight w:val="none"/>
              </w:rPr>
              <w:t>当</w:t>
            </w:r>
            <w:r>
              <w:rPr>
                <w:rFonts w:ascii="宋体" w:hAnsi="宋体"/>
                <w:color w:val="auto"/>
                <w:kern w:val="1"/>
                <w:szCs w:val="21"/>
                <w:highlight w:val="none"/>
              </w:rPr>
              <w:t>在</w:t>
            </w:r>
            <w:r>
              <w:rPr>
                <w:rFonts w:hint="eastAsia" w:ascii="宋体" w:hAnsi="宋体"/>
                <w:color w:val="auto"/>
                <w:kern w:val="1"/>
                <w:szCs w:val="21"/>
                <w:highlight w:val="none"/>
              </w:rPr>
              <w:t>广东省公共资源交易平台完成用户注册和绑定</w:t>
            </w:r>
            <w:r>
              <w:rPr>
                <w:rFonts w:ascii="宋体" w:hAnsi="宋体"/>
                <w:color w:val="auto"/>
                <w:kern w:val="1"/>
                <w:szCs w:val="21"/>
                <w:highlight w:val="none"/>
              </w:rPr>
              <w:t>电子招投标数字证书，</w:t>
            </w:r>
            <w:r>
              <w:rPr>
                <w:rFonts w:hint="eastAsia" w:ascii="宋体" w:hAnsi="宋体"/>
                <w:color w:val="auto"/>
                <w:kern w:val="1"/>
                <w:szCs w:val="21"/>
                <w:highlight w:val="none"/>
              </w:rPr>
              <w:t>并凭</w:t>
            </w:r>
            <w:r>
              <w:rPr>
                <w:rFonts w:ascii="宋体" w:hAnsi="宋体"/>
                <w:color w:val="auto"/>
                <w:kern w:val="1"/>
                <w:szCs w:val="21"/>
                <w:highlight w:val="none"/>
              </w:rPr>
              <w:t>电子招投标数字证书</w:t>
            </w:r>
            <w:r>
              <w:rPr>
                <w:rFonts w:hint="eastAsia" w:ascii="宋体" w:hAnsi="宋体"/>
                <w:color w:val="auto"/>
                <w:kern w:val="1"/>
                <w:szCs w:val="21"/>
                <w:highlight w:val="none"/>
              </w:rPr>
              <w:t>参与项目</w:t>
            </w:r>
            <w:r>
              <w:rPr>
                <w:rFonts w:ascii="宋体" w:hAnsi="宋体"/>
                <w:color w:val="auto"/>
                <w:kern w:val="1"/>
                <w:szCs w:val="21"/>
                <w:highlight w:val="none"/>
              </w:rPr>
              <w:t>投标。</w:t>
            </w:r>
            <w:r>
              <w:rPr>
                <w:rFonts w:hint="eastAsia" w:ascii="宋体" w:hAnsi="宋体"/>
                <w:color w:val="auto"/>
                <w:kern w:val="1"/>
                <w:szCs w:val="21"/>
                <w:highlight w:val="none"/>
              </w:rPr>
              <w:t>用户注册和绑定</w:t>
            </w:r>
            <w:r>
              <w:rPr>
                <w:rFonts w:ascii="宋体" w:hAnsi="宋体"/>
                <w:color w:val="auto"/>
                <w:kern w:val="1"/>
                <w:szCs w:val="21"/>
                <w:highlight w:val="none"/>
              </w:rPr>
              <w:t>数字证书的办理流程参见</w:t>
            </w:r>
            <w:r>
              <w:rPr>
                <w:rFonts w:hint="eastAsia" w:ascii="宋体" w:hAnsi="宋体"/>
                <w:color w:val="auto"/>
                <w:kern w:val="1"/>
                <w:szCs w:val="21"/>
                <w:highlight w:val="none"/>
              </w:rPr>
              <w:t>广东省公共资源交易平台（中山市）-“服务指南”</w:t>
            </w:r>
            <w:r>
              <w:rPr>
                <w:rFonts w:ascii="宋体" w:hAnsi="宋体"/>
                <w:color w:val="auto"/>
                <w:kern w:val="1"/>
                <w:szCs w:val="21"/>
                <w:highlight w:val="none"/>
              </w:rPr>
              <w:t>栏目。</w:t>
            </w:r>
          </w:p>
        </w:tc>
      </w:tr>
      <w:tr w14:paraId="41FDE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8" w:hRule="atLeast"/>
          <w:jc w:val="center"/>
        </w:trPr>
        <w:tc>
          <w:tcPr>
            <w:tcW w:w="2053" w:type="dxa"/>
            <w:tcBorders>
              <w:tl2br w:val="nil"/>
              <w:tr2bl w:val="nil"/>
            </w:tcBorders>
            <w:noWrap w:val="0"/>
            <w:vAlign w:val="center"/>
          </w:tcPr>
          <w:p w14:paraId="1F288F3A">
            <w:pPr>
              <w:keepNext w:val="0"/>
              <w:keepLines w:val="0"/>
              <w:widowControl/>
              <w:suppressLineNumbers w:val="0"/>
              <w:spacing w:line="360" w:lineRule="auto"/>
              <w:jc w:val="center"/>
              <w:textAlignment w:val="center"/>
              <w:rPr>
                <w:rFonts w:hint="eastAsia" w:ascii="宋体" w:hAnsi="宋体" w:eastAsia="宋体" w:cs="宋体"/>
                <w:b/>
                <w:bCs/>
                <w:i w:val="0"/>
                <w:color w:val="auto"/>
                <w:kern w:val="0"/>
                <w:sz w:val="20"/>
                <w:szCs w:val="20"/>
                <w:highlight w:val="none"/>
                <w:u w:val="none"/>
                <w:lang w:val="en-US" w:eastAsia="zh-CN" w:bidi="ar"/>
              </w:rPr>
            </w:pPr>
            <w:r>
              <w:rPr>
                <w:rFonts w:hint="eastAsia" w:ascii="宋体" w:hAnsi="宋体" w:eastAsia="宋体" w:cs="宋体"/>
                <w:b/>
                <w:bCs/>
                <w:i w:val="0"/>
                <w:color w:val="auto"/>
                <w:kern w:val="0"/>
                <w:sz w:val="20"/>
                <w:szCs w:val="20"/>
                <w:highlight w:val="none"/>
                <w:u w:val="none"/>
                <w:lang w:val="en-US" w:eastAsia="zh-CN" w:bidi="ar"/>
              </w:rPr>
              <w:t>是否采用电子</w:t>
            </w:r>
          </w:p>
          <w:p w14:paraId="7AF9FA65">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招标投标方式</w:t>
            </w:r>
          </w:p>
        </w:tc>
        <w:tc>
          <w:tcPr>
            <w:tcW w:w="1825" w:type="dxa"/>
            <w:tcBorders>
              <w:tl2br w:val="nil"/>
              <w:tr2bl w:val="nil"/>
            </w:tcBorders>
            <w:noWrap w:val="0"/>
            <w:vAlign w:val="center"/>
          </w:tcPr>
          <w:p w14:paraId="47539A52">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lang w:eastAsia="zh-CN"/>
              </w:rPr>
            </w:pPr>
            <w:r>
              <w:rPr>
                <w:rFonts w:hint="eastAsia" w:ascii="宋体" w:hAnsi="宋体" w:eastAsia="宋体" w:cs="宋体"/>
                <w:i w:val="0"/>
                <w:color w:val="auto"/>
                <w:sz w:val="20"/>
                <w:szCs w:val="20"/>
                <w:highlight w:val="none"/>
                <w:u w:val="none"/>
                <w:lang w:eastAsia="zh-CN"/>
              </w:rPr>
              <w:t>是</w:t>
            </w:r>
          </w:p>
        </w:tc>
        <w:tc>
          <w:tcPr>
            <w:tcW w:w="1436" w:type="dxa"/>
            <w:tcBorders>
              <w:tl2br w:val="nil"/>
              <w:tr2bl w:val="nil"/>
            </w:tcBorders>
            <w:noWrap w:val="0"/>
            <w:vAlign w:val="center"/>
          </w:tcPr>
          <w:p w14:paraId="145671D5">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获取资格预审/招标文件的方式</w:t>
            </w:r>
          </w:p>
        </w:tc>
        <w:tc>
          <w:tcPr>
            <w:tcW w:w="4378" w:type="dxa"/>
            <w:tcBorders>
              <w:tl2br w:val="nil"/>
              <w:tr2bl w:val="nil"/>
            </w:tcBorders>
            <w:noWrap w:val="0"/>
            <w:vAlign w:val="center"/>
          </w:tcPr>
          <w:p w14:paraId="0191C11A">
            <w:pPr>
              <w:pageBreakBefore w:val="0"/>
              <w:kinsoku/>
              <w:wordWrap/>
              <w:overflowPunct/>
              <w:topLinePunct w:val="0"/>
              <w:bidi w:val="0"/>
              <w:spacing w:line="360" w:lineRule="auto"/>
              <w:ind w:firstLine="420" w:firstLineChars="200"/>
              <w:textAlignment w:val="auto"/>
              <w:rPr>
                <w:rFonts w:hint="eastAsia" w:ascii="宋体" w:hAnsi="宋体" w:eastAsia="宋体" w:cs="宋体"/>
                <w:i w:val="0"/>
                <w:color w:val="auto"/>
                <w:kern w:val="0"/>
                <w:sz w:val="20"/>
                <w:szCs w:val="20"/>
                <w:highlight w:val="none"/>
                <w:u w:val="none"/>
                <w:lang w:val="en-US" w:eastAsia="zh-CN" w:bidi="ar"/>
              </w:rPr>
            </w:pPr>
            <w:r>
              <w:rPr>
                <w:rFonts w:hint="eastAsia" w:ascii="宋体" w:hAnsi="宋体"/>
                <w:color w:val="auto"/>
                <w:szCs w:val="21"/>
                <w:highlight w:val="none"/>
              </w:rPr>
              <w:t>招标公告网上发布时，同时在广东省公共资源交易平台（交易系统）</w:t>
            </w:r>
            <w:r>
              <w:rPr>
                <w:rFonts w:hint="eastAsia" w:ascii="宋体" w:hAnsi="宋体"/>
                <w:color w:val="auto"/>
                <w:szCs w:val="21"/>
                <w:highlight w:val="none"/>
                <w:lang w:val="en-US" w:eastAsia="zh-CN"/>
              </w:rPr>
              <w:t>的</w:t>
            </w:r>
            <w:r>
              <w:rPr>
                <w:rFonts w:hint="eastAsia" w:ascii="宋体" w:hAnsi="宋体"/>
                <w:color w:val="auto"/>
                <w:szCs w:val="21"/>
                <w:highlight w:val="none"/>
                <w:lang w:eastAsia="zh-CN"/>
              </w:rPr>
              <w:t>工程建设交易系统</w:t>
            </w:r>
            <w:r>
              <w:rPr>
                <w:rFonts w:hint="eastAsia" w:ascii="宋体" w:hAnsi="宋体"/>
                <w:color w:val="auto"/>
                <w:szCs w:val="21"/>
                <w:highlight w:val="none"/>
              </w:rPr>
              <w:t>（下文中的“工程建设交易系统”均指广东省公共资源交易平台（交易系统）的工程建设交易系统）发售</w:t>
            </w:r>
            <w:r>
              <w:rPr>
                <w:rFonts w:hint="eastAsia" w:ascii="宋体" w:hAnsi="宋体"/>
                <w:color w:val="auto"/>
                <w:szCs w:val="21"/>
                <w:highlight w:val="none"/>
                <w:lang w:eastAsia="zh-CN"/>
              </w:rPr>
              <w:t>（免费）</w:t>
            </w:r>
            <w:r>
              <w:rPr>
                <w:rFonts w:hint="eastAsia" w:ascii="宋体" w:hAnsi="宋体"/>
                <w:color w:val="auto"/>
                <w:szCs w:val="21"/>
                <w:highlight w:val="none"/>
              </w:rPr>
              <w:t>招标文件等相关资料。凡符合条件且有意参加投标者，请于招标文件发售期间，在广东省公共资源交易平台（交易系统）通过电子招投标数字证书登录</w:t>
            </w:r>
            <w:r>
              <w:rPr>
                <w:rFonts w:hint="eastAsia" w:ascii="宋体" w:hAnsi="宋体"/>
                <w:color w:val="auto"/>
                <w:szCs w:val="21"/>
                <w:highlight w:val="none"/>
                <w:lang w:val="en-US" w:eastAsia="zh-CN"/>
              </w:rPr>
              <w:t>工程建设交易系统</w:t>
            </w:r>
            <w:r>
              <w:rPr>
                <w:rFonts w:hint="eastAsia" w:ascii="宋体" w:hAnsi="宋体"/>
                <w:color w:val="auto"/>
                <w:szCs w:val="21"/>
                <w:highlight w:val="none"/>
              </w:rPr>
              <w:t>下载完整的招标文件等相关资料。</w:t>
            </w:r>
          </w:p>
        </w:tc>
      </w:tr>
      <w:tr w14:paraId="14905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2053" w:type="dxa"/>
            <w:tcBorders>
              <w:tl2br w:val="nil"/>
              <w:tr2bl w:val="nil"/>
            </w:tcBorders>
            <w:noWrap w:val="0"/>
            <w:vAlign w:val="center"/>
          </w:tcPr>
          <w:p w14:paraId="456EE62B">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获取资格预审/招标文件开始时间</w:t>
            </w:r>
          </w:p>
        </w:tc>
        <w:tc>
          <w:tcPr>
            <w:tcW w:w="1825" w:type="dxa"/>
            <w:tcBorders>
              <w:tl2br w:val="nil"/>
              <w:tr2bl w:val="nil"/>
            </w:tcBorders>
            <w:noWrap w:val="0"/>
            <w:vAlign w:val="center"/>
          </w:tcPr>
          <w:p w14:paraId="38A4B9BF">
            <w:pPr>
              <w:spacing w:line="360" w:lineRule="auto"/>
              <w:jc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具体时间以工程建设交易系统上的日程安排为准。</w:t>
            </w:r>
          </w:p>
        </w:tc>
        <w:tc>
          <w:tcPr>
            <w:tcW w:w="1436" w:type="dxa"/>
            <w:tcBorders>
              <w:tl2br w:val="nil"/>
              <w:tr2bl w:val="nil"/>
            </w:tcBorders>
            <w:noWrap w:val="0"/>
            <w:vAlign w:val="center"/>
          </w:tcPr>
          <w:p w14:paraId="0D8CE903">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获取资格预审/招标文件截止时间</w:t>
            </w:r>
          </w:p>
        </w:tc>
        <w:tc>
          <w:tcPr>
            <w:tcW w:w="4378" w:type="dxa"/>
            <w:tcBorders>
              <w:tl2br w:val="nil"/>
              <w:tr2bl w:val="nil"/>
            </w:tcBorders>
            <w:noWrap w:val="0"/>
            <w:vAlign w:val="center"/>
          </w:tcPr>
          <w:p w14:paraId="75490B3D">
            <w:pPr>
              <w:spacing w:line="360" w:lineRule="auto"/>
              <w:jc w:val="left"/>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具体时间以工程建设交易系统上的日程安排为准。</w:t>
            </w:r>
          </w:p>
        </w:tc>
      </w:tr>
      <w:tr w14:paraId="7334C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jc w:val="center"/>
        </w:trPr>
        <w:tc>
          <w:tcPr>
            <w:tcW w:w="2053" w:type="dxa"/>
            <w:tcBorders>
              <w:tl2br w:val="nil"/>
              <w:tr2bl w:val="nil"/>
            </w:tcBorders>
            <w:noWrap w:val="0"/>
            <w:vAlign w:val="center"/>
          </w:tcPr>
          <w:p w14:paraId="1B18E25E">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递交资格预审/投标文件截止时间</w:t>
            </w:r>
          </w:p>
        </w:tc>
        <w:tc>
          <w:tcPr>
            <w:tcW w:w="1825" w:type="dxa"/>
            <w:tcBorders>
              <w:tl2br w:val="nil"/>
              <w:tr2bl w:val="nil"/>
            </w:tcBorders>
            <w:noWrap w:val="0"/>
            <w:vAlign w:val="center"/>
          </w:tcPr>
          <w:p w14:paraId="5E22B1BC">
            <w:pPr>
              <w:spacing w:line="360" w:lineRule="auto"/>
              <w:jc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具体时间以工程建设交易系统上的日程安排为准。</w:t>
            </w:r>
          </w:p>
        </w:tc>
        <w:tc>
          <w:tcPr>
            <w:tcW w:w="1436" w:type="dxa"/>
            <w:tcBorders>
              <w:tl2br w:val="nil"/>
              <w:tr2bl w:val="nil"/>
            </w:tcBorders>
            <w:noWrap w:val="0"/>
            <w:vAlign w:val="center"/>
          </w:tcPr>
          <w:p w14:paraId="669E9268">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资格预审/投标文件递交方式</w:t>
            </w:r>
          </w:p>
        </w:tc>
        <w:tc>
          <w:tcPr>
            <w:tcW w:w="4378" w:type="dxa"/>
            <w:tcBorders>
              <w:tl2br w:val="nil"/>
              <w:tr2bl w:val="nil"/>
            </w:tcBorders>
            <w:noWrap w:val="0"/>
            <w:vAlign w:val="center"/>
          </w:tcPr>
          <w:p w14:paraId="7639CDE6">
            <w:pPr>
              <w:keepNext w:val="0"/>
              <w:keepLines w:val="0"/>
              <w:widowControl/>
              <w:suppressLineNumbers w:val="0"/>
              <w:spacing w:line="360" w:lineRule="auto"/>
              <w:jc w:val="both"/>
              <w:textAlignment w:val="center"/>
              <w:rPr>
                <w:rFonts w:hint="eastAsia" w:ascii="宋体" w:hAnsi="宋体" w:eastAsia="宋体" w:cs="宋体"/>
                <w:i w:val="0"/>
                <w:color w:val="auto"/>
                <w:sz w:val="20"/>
                <w:szCs w:val="20"/>
                <w:highlight w:val="none"/>
                <w:u w:val="none"/>
              </w:rPr>
            </w:pPr>
            <w:r>
              <w:rPr>
                <w:rFonts w:hint="eastAsia" w:ascii="宋体" w:hAnsi="宋体"/>
                <w:color w:val="auto"/>
                <w:szCs w:val="21"/>
                <w:highlight w:val="none"/>
                <w:lang w:eastAsia="zh-CN"/>
              </w:rPr>
              <w:t>递交</w:t>
            </w:r>
            <w:r>
              <w:rPr>
                <w:rFonts w:hint="eastAsia" w:ascii="宋体" w:hAnsi="宋体"/>
                <w:color w:val="auto"/>
                <w:szCs w:val="21"/>
                <w:highlight w:val="none"/>
              </w:rPr>
              <w:t>投标文件截止时间（投标截止时间）</w:t>
            </w:r>
            <w:r>
              <w:rPr>
                <w:rFonts w:hint="eastAsia" w:ascii="宋体" w:hAnsi="宋体"/>
                <w:color w:val="auto"/>
                <w:szCs w:val="21"/>
                <w:highlight w:val="none"/>
                <w:lang w:eastAsia="zh-CN"/>
              </w:rPr>
              <w:t>前，通过数字证书将</w:t>
            </w:r>
            <w:r>
              <w:rPr>
                <w:rFonts w:hint="eastAsia" w:ascii="宋体" w:hAnsi="宋体"/>
                <w:color w:val="auto"/>
                <w:szCs w:val="21"/>
                <w:highlight w:val="none"/>
              </w:rPr>
              <w:t>电子投标文件上传</w:t>
            </w:r>
            <w:r>
              <w:rPr>
                <w:rFonts w:hint="eastAsia" w:ascii="宋体" w:hAnsi="宋体"/>
                <w:color w:val="auto"/>
                <w:szCs w:val="21"/>
                <w:highlight w:val="none"/>
                <w:lang w:eastAsia="zh-CN"/>
              </w:rPr>
              <w:t>到工程建设交易系统</w:t>
            </w:r>
            <w:r>
              <w:rPr>
                <w:rFonts w:hint="eastAsia" w:ascii="宋体" w:hAnsi="宋体"/>
                <w:color w:val="auto"/>
                <w:szCs w:val="21"/>
                <w:highlight w:val="none"/>
              </w:rPr>
              <w:t>。</w:t>
            </w:r>
          </w:p>
        </w:tc>
      </w:tr>
      <w:tr w14:paraId="29615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2053" w:type="dxa"/>
            <w:tcBorders>
              <w:tl2br w:val="nil"/>
              <w:tr2bl w:val="nil"/>
            </w:tcBorders>
            <w:noWrap w:val="0"/>
            <w:vAlign w:val="center"/>
          </w:tcPr>
          <w:p w14:paraId="3F1F9C92">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开标时间</w:t>
            </w:r>
          </w:p>
        </w:tc>
        <w:tc>
          <w:tcPr>
            <w:tcW w:w="1825" w:type="dxa"/>
            <w:tcBorders>
              <w:tl2br w:val="nil"/>
              <w:tr2bl w:val="nil"/>
            </w:tcBorders>
            <w:noWrap w:val="0"/>
            <w:vAlign w:val="center"/>
          </w:tcPr>
          <w:p w14:paraId="243D095D">
            <w:pPr>
              <w:keepNext w:val="0"/>
              <w:keepLines w:val="0"/>
              <w:widowControl/>
              <w:suppressLineNumbers w:val="0"/>
              <w:spacing w:line="360" w:lineRule="auto"/>
              <w:jc w:val="left"/>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具体时间以工程建设交易系统上的日程安排为准。</w:t>
            </w:r>
          </w:p>
        </w:tc>
        <w:tc>
          <w:tcPr>
            <w:tcW w:w="1436" w:type="dxa"/>
            <w:tcBorders>
              <w:tl2br w:val="nil"/>
              <w:tr2bl w:val="nil"/>
            </w:tcBorders>
            <w:noWrap w:val="0"/>
            <w:vAlign w:val="center"/>
          </w:tcPr>
          <w:p w14:paraId="6806D79B">
            <w:pPr>
              <w:keepNext w:val="0"/>
              <w:keepLines w:val="0"/>
              <w:widowControl/>
              <w:suppressLineNumbers w:val="0"/>
              <w:spacing w:line="360" w:lineRule="auto"/>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开标地点</w:t>
            </w:r>
          </w:p>
        </w:tc>
        <w:tc>
          <w:tcPr>
            <w:tcW w:w="4378" w:type="dxa"/>
            <w:tcBorders>
              <w:tl2br w:val="nil"/>
              <w:tr2bl w:val="nil"/>
            </w:tcBorders>
            <w:noWrap w:val="0"/>
            <w:vAlign w:val="center"/>
          </w:tcPr>
          <w:p w14:paraId="235B9926">
            <w:pPr>
              <w:keepNext w:val="0"/>
              <w:keepLines w:val="0"/>
              <w:widowControl/>
              <w:suppressLineNumbers w:val="0"/>
              <w:spacing w:line="360" w:lineRule="auto"/>
              <w:jc w:val="both"/>
              <w:textAlignment w:val="center"/>
              <w:rPr>
                <w:rFonts w:hint="eastAsia"/>
                <w:color w:val="auto"/>
                <w:highlight w:val="none"/>
              </w:rPr>
            </w:pPr>
            <w:r>
              <w:rPr>
                <w:rFonts w:hint="eastAsia"/>
                <w:color w:val="auto"/>
                <w:highlight w:val="none"/>
              </w:rPr>
              <w:t>中山市公共资源交易中心（博爱六</w:t>
            </w:r>
            <w:r>
              <w:rPr>
                <w:rFonts w:hint="eastAsia" w:ascii="宋体" w:hAnsi="宋体" w:eastAsia="宋体" w:cs="Times New Roman"/>
                <w:color w:val="auto"/>
                <w:szCs w:val="21"/>
                <w:highlight w:val="none"/>
              </w:rPr>
              <w:t>路22</w:t>
            </w:r>
            <w:r>
              <w:rPr>
                <w:rFonts w:hint="eastAsia"/>
                <w:color w:val="auto"/>
                <w:highlight w:val="none"/>
              </w:rPr>
              <w:t>号）</w:t>
            </w:r>
          </w:p>
          <w:p w14:paraId="6F7FD084">
            <w:pPr>
              <w:pStyle w:val="5"/>
              <w:rPr>
                <w:rFonts w:hint="eastAsia"/>
                <w:color w:val="auto"/>
                <w:highlight w:val="none"/>
              </w:rPr>
            </w:pPr>
            <w:r>
              <w:rPr>
                <w:rFonts w:hint="eastAsia" w:ascii="宋体" w:hAnsi="宋体" w:cs="宋体"/>
                <w:color w:val="auto"/>
                <w:szCs w:val="21"/>
                <w:highlight w:val="none"/>
                <w:lang w:val="en-US" w:eastAsia="zh-CN"/>
              </w:rPr>
              <w:t>本项目</w:t>
            </w:r>
            <w:r>
              <w:rPr>
                <w:rFonts w:hint="eastAsia" w:ascii="宋体" w:hAnsi="宋体" w:cs="宋体"/>
                <w:color w:val="auto"/>
                <w:szCs w:val="21"/>
                <w:highlight w:val="none"/>
              </w:rPr>
              <w:t>在中山市公共资源交易中心现场组织网上开标，投标人无需抵达开标现场。投标人可</w:t>
            </w:r>
            <w:r>
              <w:rPr>
                <w:rFonts w:hint="eastAsia" w:ascii="宋体" w:hAnsi="宋体" w:cs="宋体"/>
                <w:color w:val="auto"/>
                <w:szCs w:val="21"/>
                <w:highlight w:val="none"/>
                <w:lang w:eastAsia="zh-CN"/>
              </w:rPr>
              <w:t>登录</w:t>
            </w:r>
            <w:r>
              <w:rPr>
                <w:rFonts w:hint="eastAsia" w:ascii="宋体" w:hAnsi="宋体" w:cs="宋体"/>
                <w:color w:val="auto"/>
                <w:szCs w:val="21"/>
                <w:highlight w:val="none"/>
              </w:rPr>
              <w:t>工程建设交易系统→“参与项目”→“网上开标”栏目查看项目开标过程，依法提出开标异议。</w:t>
            </w:r>
          </w:p>
        </w:tc>
      </w:tr>
      <w:tr w14:paraId="50EC8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053" w:type="dxa"/>
            <w:tcBorders>
              <w:tl2br w:val="nil"/>
              <w:tr2bl w:val="nil"/>
            </w:tcBorders>
            <w:noWrap w:val="0"/>
            <w:vAlign w:val="center"/>
          </w:tcPr>
          <w:p w14:paraId="3D4A186C">
            <w:pPr>
              <w:keepNext w:val="0"/>
              <w:keepLines w:val="0"/>
              <w:widowControl/>
              <w:suppressLineNumbers w:val="0"/>
              <w:spacing w:line="360" w:lineRule="auto"/>
              <w:jc w:val="center"/>
              <w:textAlignment w:val="center"/>
              <w:rPr>
                <w:rFonts w:hint="eastAsia" w:ascii="宋体" w:hAnsi="宋体" w:eastAsia="宋体" w:cs="宋体"/>
                <w:b/>
                <w:bCs/>
                <w:i w:val="0"/>
                <w:color w:val="auto"/>
                <w:kern w:val="0"/>
                <w:sz w:val="20"/>
                <w:szCs w:val="20"/>
                <w:highlight w:val="none"/>
                <w:u w:val="none"/>
                <w:lang w:val="en-US" w:eastAsia="zh-CN" w:bidi="ar"/>
              </w:rPr>
            </w:pPr>
            <w:r>
              <w:rPr>
                <w:rFonts w:hint="eastAsia" w:ascii="宋体" w:hAnsi="宋体" w:cs="宋体"/>
                <w:b/>
                <w:bCs/>
                <w:i w:val="0"/>
                <w:color w:val="auto"/>
                <w:kern w:val="0"/>
                <w:sz w:val="20"/>
                <w:szCs w:val="20"/>
                <w:highlight w:val="none"/>
                <w:u w:val="none"/>
                <w:lang w:val="en-US" w:eastAsia="zh-CN" w:bidi="ar"/>
              </w:rPr>
              <w:t>发布公告媒介</w:t>
            </w:r>
          </w:p>
        </w:tc>
        <w:tc>
          <w:tcPr>
            <w:tcW w:w="7639" w:type="dxa"/>
            <w:gridSpan w:val="3"/>
            <w:tcBorders>
              <w:tl2br w:val="nil"/>
              <w:tr2bl w:val="nil"/>
            </w:tcBorders>
            <w:noWrap w:val="0"/>
            <w:vAlign w:val="center"/>
          </w:tcPr>
          <w:p w14:paraId="06109758">
            <w:pPr>
              <w:keepNext w:val="0"/>
              <w:keepLines w:val="0"/>
              <w:widowControl/>
              <w:suppressLineNumbers w:val="0"/>
              <w:spacing w:line="360" w:lineRule="auto"/>
              <w:jc w:val="both"/>
              <w:textAlignment w:val="center"/>
              <w:rPr>
                <w:rFonts w:hint="eastAsia" w:ascii="宋体" w:hAnsi="宋体" w:eastAsia="宋体" w:cs="宋体"/>
                <w:i w:val="0"/>
                <w:color w:val="auto"/>
                <w:kern w:val="0"/>
                <w:sz w:val="20"/>
                <w:szCs w:val="20"/>
                <w:highlight w:val="none"/>
                <w:u w:val="none"/>
                <w:lang w:val="en-US" w:eastAsia="zh-CN" w:bidi="ar"/>
              </w:rPr>
            </w:pPr>
            <w:r>
              <w:rPr>
                <w:rFonts w:hint="eastAsia" w:ascii="宋体" w:hAnsi="宋体" w:cs="宋体"/>
                <w:i w:val="0"/>
                <w:color w:val="auto"/>
                <w:kern w:val="0"/>
                <w:sz w:val="20"/>
                <w:szCs w:val="20"/>
                <w:highlight w:val="none"/>
                <w:u w:val="none"/>
                <w:lang w:val="en-US" w:eastAsia="zh-CN" w:bidi="ar"/>
              </w:rPr>
              <w:t>广东省公共资源交易平台（中山市）、广东省招标投标监管网</w:t>
            </w:r>
          </w:p>
        </w:tc>
      </w:tr>
      <w:tr w14:paraId="1D160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44590EBF">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招标人</w:t>
            </w:r>
          </w:p>
        </w:tc>
        <w:tc>
          <w:tcPr>
            <w:tcW w:w="1825" w:type="dxa"/>
            <w:tcBorders>
              <w:tl2br w:val="nil"/>
              <w:tr2bl w:val="nil"/>
            </w:tcBorders>
            <w:noWrap w:val="0"/>
            <w:vAlign w:val="center"/>
          </w:tcPr>
          <w:p w14:paraId="138B0BEF">
            <w:pPr>
              <w:keepNext w:val="0"/>
              <w:keepLines w:val="0"/>
              <w:widowControl/>
              <w:suppressLineNumbers w:val="0"/>
              <w:spacing w:line="360" w:lineRule="auto"/>
              <w:jc w:val="left"/>
              <w:textAlignment w:val="center"/>
              <w:rPr>
                <w:rFonts w:hint="eastAsia" w:ascii="宋体" w:hAnsi="宋体" w:eastAsia="宋体" w:cs="宋体"/>
                <w:i w:val="0"/>
                <w:color w:val="auto"/>
                <w:sz w:val="20"/>
                <w:szCs w:val="20"/>
                <w:highlight w:val="none"/>
                <w:u w:val="none"/>
              </w:rPr>
            </w:pPr>
            <w:permStart w:id="30" w:edGrp="everyone"/>
            <w:r>
              <w:rPr>
                <w:rFonts w:hint="eastAsia" w:ascii="宋体" w:hAnsi="宋体" w:eastAsia="宋体" w:cs="宋体"/>
                <w:i w:val="0"/>
                <w:color w:val="auto"/>
                <w:sz w:val="20"/>
                <w:szCs w:val="20"/>
                <w:highlight w:val="none"/>
                <w:u w:val="none"/>
                <w:lang w:val="en-US" w:eastAsia="zh-CN"/>
              </w:rPr>
              <w:t xml:space="preserve"> </w:t>
            </w:r>
            <w:r>
              <w:rPr>
                <w:rFonts w:hint="eastAsia" w:ascii="宋体" w:hAnsi="宋体" w:cs="宋体"/>
                <w:i w:val="0"/>
                <w:color w:val="auto"/>
                <w:kern w:val="0"/>
                <w:sz w:val="21"/>
                <w:szCs w:val="21"/>
                <w:highlight w:val="none"/>
                <w:u w:val="none"/>
                <w:lang w:val="en-US" w:eastAsia="zh-CN" w:bidi="ar"/>
              </w:rPr>
              <w:t>中山市坦能科技有限公司</w:t>
            </w:r>
            <w:r>
              <w:rPr>
                <w:rFonts w:hint="eastAsia" w:ascii="宋体" w:hAnsi="宋体" w:eastAsia="宋体" w:cs="宋体"/>
                <w:i w:val="0"/>
                <w:color w:val="auto"/>
                <w:sz w:val="20"/>
                <w:szCs w:val="20"/>
                <w:highlight w:val="none"/>
                <w:u w:val="none"/>
                <w:lang w:val="en-US" w:eastAsia="zh-CN"/>
              </w:rPr>
              <w:t xml:space="preserve"> </w:t>
            </w:r>
            <w:permEnd w:id="30"/>
          </w:p>
        </w:tc>
        <w:tc>
          <w:tcPr>
            <w:tcW w:w="1436" w:type="dxa"/>
            <w:tcBorders>
              <w:tl2br w:val="nil"/>
              <w:tr2bl w:val="nil"/>
            </w:tcBorders>
            <w:noWrap w:val="0"/>
            <w:vAlign w:val="center"/>
          </w:tcPr>
          <w:p w14:paraId="62B81664">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联系地址</w:t>
            </w:r>
          </w:p>
        </w:tc>
        <w:tc>
          <w:tcPr>
            <w:tcW w:w="4378" w:type="dxa"/>
            <w:tcBorders>
              <w:tl2br w:val="nil"/>
              <w:tr2bl w:val="nil"/>
            </w:tcBorders>
            <w:noWrap w:val="0"/>
            <w:vAlign w:val="center"/>
          </w:tcPr>
          <w:p w14:paraId="645E6E5E">
            <w:pPr>
              <w:spacing w:line="360" w:lineRule="auto"/>
              <w:jc w:val="left"/>
              <w:rPr>
                <w:rFonts w:hint="eastAsia" w:ascii="宋体" w:hAnsi="宋体" w:eastAsia="宋体" w:cs="宋体"/>
                <w:i w:val="0"/>
                <w:color w:val="auto"/>
                <w:sz w:val="20"/>
                <w:szCs w:val="20"/>
                <w:highlight w:val="none"/>
                <w:u w:val="none"/>
              </w:rPr>
            </w:pPr>
            <w:permStart w:id="31" w:edGrp="everyone"/>
            <w:r>
              <w:rPr>
                <w:rFonts w:hint="eastAsia" w:ascii="宋体" w:hAnsi="宋体" w:eastAsia="宋体" w:cs="宋体"/>
                <w:i w:val="0"/>
                <w:color w:val="auto"/>
                <w:sz w:val="20"/>
                <w:szCs w:val="20"/>
                <w:highlight w:val="none"/>
                <w:u w:val="none"/>
                <w:lang w:val="en-US" w:eastAsia="zh-CN"/>
              </w:rPr>
              <w:t xml:space="preserve"> </w:t>
            </w:r>
            <w:r>
              <w:rPr>
                <w:rFonts w:hint="eastAsia" w:ascii="宋体" w:hAnsi="宋体" w:cs="宋体"/>
                <w:i w:val="0"/>
                <w:color w:val="auto"/>
                <w:kern w:val="0"/>
                <w:sz w:val="21"/>
                <w:szCs w:val="21"/>
                <w:highlight w:val="none"/>
                <w:u w:val="none"/>
                <w:lang w:val="en-US" w:eastAsia="zh-CN" w:bidi="ar"/>
              </w:rPr>
              <w:t>中山市坦洲镇大兴路121号西南侧500米坦洲镇人民政府的建筑物F栋219室4卡</w:t>
            </w:r>
            <w:r>
              <w:rPr>
                <w:rFonts w:hint="eastAsia" w:ascii="宋体" w:hAnsi="宋体" w:eastAsia="宋体" w:cs="宋体"/>
                <w:i w:val="0"/>
                <w:color w:val="auto"/>
                <w:sz w:val="20"/>
                <w:szCs w:val="20"/>
                <w:highlight w:val="none"/>
                <w:u w:val="none"/>
                <w:lang w:val="en-US" w:eastAsia="zh-CN"/>
              </w:rPr>
              <w:t xml:space="preserve"> </w:t>
            </w:r>
            <w:permEnd w:id="31"/>
          </w:p>
        </w:tc>
      </w:tr>
      <w:tr w14:paraId="17300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31C19CE5">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招标人联系人</w:t>
            </w:r>
          </w:p>
        </w:tc>
        <w:tc>
          <w:tcPr>
            <w:tcW w:w="1825" w:type="dxa"/>
            <w:tcBorders>
              <w:tl2br w:val="nil"/>
              <w:tr2bl w:val="nil"/>
            </w:tcBorders>
            <w:noWrap w:val="0"/>
            <w:vAlign w:val="center"/>
          </w:tcPr>
          <w:p w14:paraId="4995EDB2">
            <w:pPr>
              <w:spacing w:line="360" w:lineRule="auto"/>
              <w:jc w:val="left"/>
              <w:rPr>
                <w:rFonts w:hint="eastAsia" w:ascii="宋体" w:hAnsi="宋体" w:eastAsia="宋体" w:cs="宋体"/>
                <w:i w:val="0"/>
                <w:color w:val="auto"/>
                <w:sz w:val="20"/>
                <w:szCs w:val="20"/>
                <w:highlight w:val="none"/>
                <w:u w:val="none"/>
              </w:rPr>
            </w:pPr>
            <w:permStart w:id="32" w:edGrp="everyone"/>
            <w:r>
              <w:rPr>
                <w:rFonts w:hint="eastAsia" w:ascii="宋体" w:hAnsi="宋体" w:eastAsia="宋体" w:cs="宋体"/>
                <w:i w:val="0"/>
                <w:color w:val="auto"/>
                <w:sz w:val="20"/>
                <w:szCs w:val="20"/>
                <w:highlight w:val="none"/>
                <w:u w:val="none"/>
                <w:lang w:val="en-US" w:eastAsia="zh-CN"/>
              </w:rPr>
              <w:t xml:space="preserve"> </w:t>
            </w:r>
            <w:r>
              <w:rPr>
                <w:rFonts w:hint="eastAsia" w:ascii="宋体" w:hAnsi="宋体" w:cs="Times New Roman"/>
                <w:color w:val="auto"/>
                <w:szCs w:val="21"/>
                <w:highlight w:val="none"/>
                <w:u w:val="none"/>
                <w:lang w:val="en-US" w:eastAsia="zh-CN"/>
              </w:rPr>
              <w:t>梁卫恒</w:t>
            </w:r>
            <w:r>
              <w:rPr>
                <w:rFonts w:hint="eastAsia" w:ascii="宋体" w:hAnsi="宋体" w:eastAsia="宋体" w:cs="宋体"/>
                <w:i w:val="0"/>
                <w:color w:val="auto"/>
                <w:sz w:val="20"/>
                <w:szCs w:val="20"/>
                <w:highlight w:val="none"/>
                <w:u w:val="none"/>
                <w:lang w:val="en-US" w:eastAsia="zh-CN"/>
              </w:rPr>
              <w:t xml:space="preserve"> </w:t>
            </w:r>
            <w:permEnd w:id="32"/>
          </w:p>
        </w:tc>
        <w:tc>
          <w:tcPr>
            <w:tcW w:w="1436" w:type="dxa"/>
            <w:tcBorders>
              <w:tl2br w:val="nil"/>
              <w:tr2bl w:val="nil"/>
            </w:tcBorders>
            <w:noWrap w:val="0"/>
            <w:vAlign w:val="center"/>
          </w:tcPr>
          <w:p w14:paraId="70DC85C0">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联系电话</w:t>
            </w:r>
          </w:p>
        </w:tc>
        <w:tc>
          <w:tcPr>
            <w:tcW w:w="4378" w:type="dxa"/>
            <w:tcBorders>
              <w:tl2br w:val="nil"/>
              <w:tr2bl w:val="nil"/>
            </w:tcBorders>
            <w:noWrap w:val="0"/>
            <w:vAlign w:val="center"/>
          </w:tcPr>
          <w:p w14:paraId="7951A2E3">
            <w:pPr>
              <w:spacing w:line="360" w:lineRule="auto"/>
              <w:jc w:val="left"/>
              <w:rPr>
                <w:rFonts w:hint="eastAsia" w:ascii="宋体" w:hAnsi="宋体" w:eastAsia="宋体" w:cs="宋体"/>
                <w:i w:val="0"/>
                <w:color w:val="auto"/>
                <w:sz w:val="20"/>
                <w:szCs w:val="20"/>
                <w:highlight w:val="none"/>
                <w:u w:val="none"/>
              </w:rPr>
            </w:pPr>
            <w:permStart w:id="33" w:edGrp="everyone"/>
            <w:r>
              <w:rPr>
                <w:rFonts w:hint="eastAsia" w:ascii="宋体" w:hAnsi="宋体" w:eastAsia="宋体" w:cs="宋体"/>
                <w:i w:val="0"/>
                <w:color w:val="auto"/>
                <w:sz w:val="20"/>
                <w:szCs w:val="20"/>
                <w:highlight w:val="none"/>
                <w:u w:val="none"/>
                <w:lang w:val="en-US" w:eastAsia="zh-CN"/>
              </w:rPr>
              <w:t xml:space="preserve"> </w:t>
            </w:r>
            <w:r>
              <w:rPr>
                <w:rFonts w:hint="eastAsia" w:ascii="宋体" w:hAnsi="宋体" w:eastAsia="宋体" w:cs="宋体"/>
                <w:i w:val="0"/>
                <w:color w:val="auto"/>
                <w:sz w:val="21"/>
                <w:szCs w:val="21"/>
                <w:highlight w:val="none"/>
                <w:u w:val="none"/>
              </w:rPr>
              <w:t>0760-86654703</w:t>
            </w:r>
            <w:r>
              <w:rPr>
                <w:rFonts w:hint="eastAsia" w:ascii="宋体" w:hAnsi="宋体" w:eastAsia="宋体" w:cs="宋体"/>
                <w:i w:val="0"/>
                <w:color w:val="auto"/>
                <w:sz w:val="20"/>
                <w:szCs w:val="20"/>
                <w:highlight w:val="none"/>
                <w:u w:val="none"/>
                <w:lang w:val="en-US" w:eastAsia="zh-CN"/>
              </w:rPr>
              <w:t xml:space="preserve"> </w:t>
            </w:r>
            <w:permEnd w:id="33"/>
          </w:p>
        </w:tc>
      </w:tr>
      <w:tr w14:paraId="301F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3EEB89D6">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招标代理机构</w:t>
            </w:r>
          </w:p>
        </w:tc>
        <w:tc>
          <w:tcPr>
            <w:tcW w:w="1825" w:type="dxa"/>
            <w:tcBorders>
              <w:tl2br w:val="nil"/>
              <w:tr2bl w:val="nil"/>
            </w:tcBorders>
            <w:noWrap w:val="0"/>
            <w:vAlign w:val="center"/>
          </w:tcPr>
          <w:p w14:paraId="4C585BB4">
            <w:pPr>
              <w:keepNext w:val="0"/>
              <w:keepLines w:val="0"/>
              <w:widowControl/>
              <w:suppressLineNumbers w:val="0"/>
              <w:spacing w:line="360" w:lineRule="auto"/>
              <w:jc w:val="left"/>
              <w:textAlignment w:val="center"/>
              <w:rPr>
                <w:rFonts w:hint="eastAsia" w:ascii="宋体" w:hAnsi="宋体" w:eastAsia="宋体" w:cs="宋体"/>
                <w:i w:val="0"/>
                <w:color w:val="auto"/>
                <w:sz w:val="20"/>
                <w:szCs w:val="20"/>
                <w:highlight w:val="none"/>
                <w:u w:val="none"/>
              </w:rPr>
            </w:pPr>
            <w:permStart w:id="34" w:edGrp="everyone"/>
            <w:r>
              <w:rPr>
                <w:rFonts w:hint="eastAsia" w:ascii="宋体" w:hAnsi="宋体" w:eastAsia="宋体" w:cs="宋体"/>
                <w:i w:val="0"/>
                <w:color w:val="auto"/>
                <w:sz w:val="20"/>
                <w:szCs w:val="20"/>
                <w:highlight w:val="none"/>
                <w:u w:val="none"/>
                <w:lang w:val="en-US" w:eastAsia="zh-CN"/>
              </w:rPr>
              <w:t xml:space="preserve"> </w:t>
            </w:r>
            <w:r>
              <w:rPr>
                <w:rFonts w:hint="eastAsia" w:ascii="宋体" w:hAnsi="宋体" w:cs="宋体"/>
                <w:i w:val="0"/>
                <w:color w:val="auto"/>
                <w:kern w:val="0"/>
                <w:sz w:val="21"/>
                <w:szCs w:val="21"/>
                <w:highlight w:val="none"/>
                <w:u w:val="none"/>
                <w:lang w:val="en-US" w:eastAsia="zh-CN" w:bidi="ar"/>
              </w:rPr>
              <w:t>智林招标（广东）有限公司</w:t>
            </w:r>
            <w:r>
              <w:rPr>
                <w:rFonts w:hint="eastAsia" w:ascii="宋体" w:hAnsi="宋体" w:eastAsia="宋体" w:cs="宋体"/>
                <w:i w:val="0"/>
                <w:color w:val="auto"/>
                <w:sz w:val="20"/>
                <w:szCs w:val="20"/>
                <w:highlight w:val="none"/>
                <w:u w:val="none"/>
                <w:lang w:val="en-US" w:eastAsia="zh-CN"/>
              </w:rPr>
              <w:t xml:space="preserve"> </w:t>
            </w:r>
            <w:permEnd w:id="34"/>
          </w:p>
        </w:tc>
        <w:tc>
          <w:tcPr>
            <w:tcW w:w="1436" w:type="dxa"/>
            <w:tcBorders>
              <w:tl2br w:val="nil"/>
              <w:tr2bl w:val="nil"/>
            </w:tcBorders>
            <w:noWrap w:val="0"/>
            <w:vAlign w:val="center"/>
          </w:tcPr>
          <w:p w14:paraId="27794E05">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联系地址</w:t>
            </w:r>
          </w:p>
        </w:tc>
        <w:tc>
          <w:tcPr>
            <w:tcW w:w="4378" w:type="dxa"/>
            <w:tcBorders>
              <w:tl2br w:val="nil"/>
              <w:tr2bl w:val="nil"/>
            </w:tcBorders>
            <w:noWrap w:val="0"/>
            <w:vAlign w:val="center"/>
          </w:tcPr>
          <w:p w14:paraId="12E41401">
            <w:pPr>
              <w:spacing w:line="360" w:lineRule="auto"/>
              <w:jc w:val="left"/>
              <w:rPr>
                <w:rFonts w:hint="eastAsia" w:ascii="宋体" w:hAnsi="宋体" w:eastAsia="宋体" w:cs="宋体"/>
                <w:i w:val="0"/>
                <w:color w:val="auto"/>
                <w:sz w:val="20"/>
                <w:szCs w:val="20"/>
                <w:highlight w:val="none"/>
                <w:u w:val="none"/>
              </w:rPr>
            </w:pPr>
            <w:permStart w:id="35" w:edGrp="everyone"/>
            <w:r>
              <w:rPr>
                <w:rFonts w:hint="eastAsia" w:ascii="宋体" w:hAnsi="宋体" w:eastAsia="宋体" w:cs="宋体"/>
                <w:i w:val="0"/>
                <w:color w:val="auto"/>
                <w:sz w:val="20"/>
                <w:szCs w:val="20"/>
                <w:highlight w:val="none"/>
                <w:u w:val="none"/>
                <w:lang w:val="en-US" w:eastAsia="zh-CN"/>
              </w:rPr>
              <w:t xml:space="preserve"> </w:t>
            </w:r>
            <w:r>
              <w:rPr>
                <w:rFonts w:hint="eastAsia" w:ascii="宋体" w:hAnsi="宋体" w:cs="宋体"/>
                <w:i w:val="0"/>
                <w:color w:val="auto"/>
                <w:kern w:val="0"/>
                <w:sz w:val="21"/>
                <w:szCs w:val="21"/>
                <w:highlight w:val="none"/>
                <w:u w:val="none"/>
                <w:lang w:val="en-US" w:eastAsia="zh-CN" w:bidi="ar"/>
              </w:rPr>
              <w:t>广东省中山市东区中山五路82号紫翠花园紫荟商务中心5栋121卡、122卡</w:t>
            </w:r>
            <w:r>
              <w:rPr>
                <w:rFonts w:hint="eastAsia" w:ascii="宋体" w:hAnsi="宋体" w:eastAsia="宋体" w:cs="宋体"/>
                <w:i w:val="0"/>
                <w:color w:val="auto"/>
                <w:sz w:val="20"/>
                <w:szCs w:val="20"/>
                <w:highlight w:val="none"/>
                <w:u w:val="none"/>
                <w:lang w:val="en-US" w:eastAsia="zh-CN"/>
              </w:rPr>
              <w:t xml:space="preserve"> </w:t>
            </w:r>
            <w:permEnd w:id="35"/>
          </w:p>
        </w:tc>
      </w:tr>
      <w:tr w14:paraId="591DE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071905F8">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招标代理联系人</w:t>
            </w:r>
          </w:p>
        </w:tc>
        <w:tc>
          <w:tcPr>
            <w:tcW w:w="1825" w:type="dxa"/>
            <w:tcBorders>
              <w:tl2br w:val="nil"/>
              <w:tr2bl w:val="nil"/>
            </w:tcBorders>
            <w:noWrap w:val="0"/>
            <w:vAlign w:val="center"/>
          </w:tcPr>
          <w:p w14:paraId="26C4B37A">
            <w:pPr>
              <w:spacing w:line="360" w:lineRule="auto"/>
              <w:jc w:val="left"/>
              <w:rPr>
                <w:rFonts w:hint="eastAsia" w:ascii="宋体" w:hAnsi="宋体" w:eastAsia="宋体" w:cs="宋体"/>
                <w:i w:val="0"/>
                <w:color w:val="auto"/>
                <w:sz w:val="20"/>
                <w:szCs w:val="20"/>
                <w:highlight w:val="none"/>
                <w:u w:val="none"/>
              </w:rPr>
            </w:pPr>
            <w:permStart w:id="36" w:edGrp="everyone"/>
            <w:r>
              <w:rPr>
                <w:rFonts w:hint="eastAsia" w:ascii="宋体" w:hAnsi="宋体" w:eastAsia="宋体" w:cs="宋体"/>
                <w:i w:val="0"/>
                <w:color w:val="auto"/>
                <w:sz w:val="20"/>
                <w:szCs w:val="20"/>
                <w:highlight w:val="none"/>
                <w:u w:val="none"/>
                <w:lang w:val="en-US" w:eastAsia="zh-CN"/>
              </w:rPr>
              <w:t xml:space="preserve"> </w:t>
            </w:r>
            <w:r>
              <w:rPr>
                <w:rFonts w:hint="eastAsia" w:ascii="宋体" w:hAnsi="宋体" w:cs="宋体"/>
                <w:i w:val="0"/>
                <w:color w:val="auto"/>
                <w:kern w:val="0"/>
                <w:sz w:val="21"/>
                <w:szCs w:val="21"/>
                <w:highlight w:val="none"/>
                <w:u w:val="none"/>
                <w:lang w:val="en-US" w:eastAsia="zh-CN" w:bidi="ar"/>
              </w:rPr>
              <w:t>陈素群、许富强</w:t>
            </w:r>
            <w:r>
              <w:rPr>
                <w:rFonts w:hint="eastAsia" w:ascii="宋体" w:hAnsi="宋体" w:eastAsia="宋体" w:cs="宋体"/>
                <w:i w:val="0"/>
                <w:color w:val="auto"/>
                <w:sz w:val="20"/>
                <w:szCs w:val="20"/>
                <w:highlight w:val="none"/>
                <w:u w:val="none"/>
                <w:lang w:val="en-US" w:eastAsia="zh-CN"/>
              </w:rPr>
              <w:t xml:space="preserve"> </w:t>
            </w:r>
            <w:permEnd w:id="36"/>
          </w:p>
        </w:tc>
        <w:tc>
          <w:tcPr>
            <w:tcW w:w="1436" w:type="dxa"/>
            <w:tcBorders>
              <w:tl2br w:val="nil"/>
              <w:tr2bl w:val="nil"/>
            </w:tcBorders>
            <w:noWrap w:val="0"/>
            <w:vAlign w:val="center"/>
          </w:tcPr>
          <w:p w14:paraId="3636B111">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color w:val="auto"/>
                <w:kern w:val="0"/>
                <w:sz w:val="20"/>
                <w:szCs w:val="20"/>
                <w:highlight w:val="none"/>
                <w:u w:val="none"/>
                <w:lang w:val="en-US" w:eastAsia="zh-CN" w:bidi="ar"/>
              </w:rPr>
              <w:t>联系电话</w:t>
            </w:r>
          </w:p>
        </w:tc>
        <w:tc>
          <w:tcPr>
            <w:tcW w:w="4378" w:type="dxa"/>
            <w:tcBorders>
              <w:tl2br w:val="nil"/>
              <w:tr2bl w:val="nil"/>
            </w:tcBorders>
            <w:noWrap w:val="0"/>
            <w:vAlign w:val="center"/>
          </w:tcPr>
          <w:p w14:paraId="6EF6D37F">
            <w:pPr>
              <w:spacing w:line="360" w:lineRule="auto"/>
              <w:jc w:val="left"/>
              <w:rPr>
                <w:rFonts w:hint="eastAsia" w:ascii="宋体" w:hAnsi="宋体" w:eastAsia="宋体" w:cs="宋体"/>
                <w:i w:val="0"/>
                <w:color w:val="auto"/>
                <w:sz w:val="20"/>
                <w:szCs w:val="20"/>
                <w:highlight w:val="none"/>
                <w:u w:val="none"/>
              </w:rPr>
            </w:pPr>
            <w:permStart w:id="37" w:edGrp="everyone"/>
            <w:r>
              <w:rPr>
                <w:rFonts w:hint="eastAsia" w:ascii="宋体" w:hAnsi="宋体" w:eastAsia="宋体" w:cs="宋体"/>
                <w:i w:val="0"/>
                <w:color w:val="auto"/>
                <w:sz w:val="20"/>
                <w:szCs w:val="20"/>
                <w:highlight w:val="none"/>
                <w:u w:val="none"/>
                <w:lang w:val="en-US" w:eastAsia="zh-CN"/>
              </w:rPr>
              <w:t xml:space="preserve"> </w:t>
            </w:r>
            <w:r>
              <w:rPr>
                <w:rFonts w:hint="eastAsia" w:ascii="宋体" w:hAnsi="宋体" w:eastAsia="宋体" w:cs="宋体"/>
                <w:i w:val="0"/>
                <w:color w:val="auto"/>
                <w:kern w:val="0"/>
                <w:sz w:val="21"/>
                <w:szCs w:val="21"/>
                <w:highlight w:val="none"/>
                <w:u w:val="none"/>
                <w:lang w:val="en-US" w:eastAsia="zh-CN" w:bidi="ar"/>
              </w:rPr>
              <w:t>0760-88</w:t>
            </w:r>
            <w:r>
              <w:rPr>
                <w:rFonts w:hint="eastAsia" w:ascii="宋体" w:hAnsi="宋体" w:cs="宋体"/>
                <w:i w:val="0"/>
                <w:color w:val="auto"/>
                <w:kern w:val="0"/>
                <w:sz w:val="21"/>
                <w:szCs w:val="21"/>
                <w:highlight w:val="none"/>
                <w:u w:val="none"/>
                <w:lang w:val="en-US" w:eastAsia="zh-CN" w:bidi="ar"/>
              </w:rPr>
              <w:t>889687</w:t>
            </w:r>
            <w:r>
              <w:rPr>
                <w:rFonts w:hint="eastAsia" w:ascii="宋体" w:hAnsi="宋体" w:eastAsia="宋体" w:cs="宋体"/>
                <w:i w:val="0"/>
                <w:color w:val="auto"/>
                <w:sz w:val="20"/>
                <w:szCs w:val="20"/>
                <w:highlight w:val="none"/>
                <w:u w:val="none"/>
                <w:lang w:val="en-US" w:eastAsia="zh-CN"/>
              </w:rPr>
              <w:t xml:space="preserve"> </w:t>
            </w:r>
            <w:permEnd w:id="37"/>
          </w:p>
        </w:tc>
      </w:tr>
      <w:tr w14:paraId="54E09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43EA510B">
            <w:pPr>
              <w:keepNext w:val="0"/>
              <w:keepLines w:val="0"/>
              <w:widowControl/>
              <w:suppressLineNumbers w:val="0"/>
              <w:spacing w:line="360" w:lineRule="auto"/>
              <w:jc w:val="center"/>
              <w:textAlignment w:val="center"/>
              <w:rPr>
                <w:rFonts w:hint="eastAsia" w:ascii="宋体" w:hAnsi="宋体" w:eastAsia="宋体" w:cs="宋体"/>
                <w:b/>
                <w:bCs/>
                <w:i w:val="0"/>
                <w:color w:val="auto"/>
                <w:kern w:val="0"/>
                <w:sz w:val="20"/>
                <w:szCs w:val="20"/>
                <w:highlight w:val="none"/>
                <w:u w:val="none"/>
                <w:lang w:val="en-US" w:eastAsia="zh-CN" w:bidi="ar"/>
              </w:rPr>
            </w:pPr>
            <w:r>
              <w:rPr>
                <w:rFonts w:hint="eastAsia" w:ascii="宋体" w:hAnsi="宋体" w:eastAsia="宋体" w:cs="宋体"/>
                <w:b/>
                <w:bCs/>
                <w:i w:val="0"/>
                <w:color w:val="auto"/>
                <w:kern w:val="0"/>
                <w:sz w:val="20"/>
                <w:szCs w:val="20"/>
                <w:highlight w:val="none"/>
                <w:u w:val="none"/>
                <w:lang w:val="en-US" w:eastAsia="zh-CN" w:bidi="ar"/>
              </w:rPr>
              <w:t xml:space="preserve">招标代理项目负责人 </w:t>
            </w:r>
          </w:p>
        </w:tc>
        <w:tc>
          <w:tcPr>
            <w:tcW w:w="1825" w:type="dxa"/>
            <w:tcBorders>
              <w:tl2br w:val="nil"/>
              <w:tr2bl w:val="nil"/>
            </w:tcBorders>
            <w:noWrap w:val="0"/>
            <w:vAlign w:val="center"/>
          </w:tcPr>
          <w:p w14:paraId="1AA5BF71">
            <w:pPr>
              <w:spacing w:line="360" w:lineRule="auto"/>
              <w:jc w:val="left"/>
              <w:rPr>
                <w:rFonts w:hint="eastAsia" w:ascii="宋体" w:hAnsi="宋体" w:eastAsia="宋体" w:cs="宋体"/>
                <w:i w:val="0"/>
                <w:color w:val="auto"/>
                <w:sz w:val="20"/>
                <w:szCs w:val="20"/>
                <w:highlight w:val="none"/>
                <w:u w:val="none"/>
                <w:lang w:val="en-US" w:eastAsia="zh-CN"/>
              </w:rPr>
            </w:pPr>
            <w:permStart w:id="38" w:edGrp="everyone"/>
            <w:r>
              <w:rPr>
                <w:rFonts w:hint="eastAsia" w:ascii="宋体" w:hAnsi="宋体" w:eastAsia="宋体" w:cs="宋体"/>
                <w:i w:val="0"/>
                <w:color w:val="auto"/>
                <w:sz w:val="20"/>
                <w:szCs w:val="20"/>
                <w:highlight w:val="none"/>
                <w:u w:val="none"/>
                <w:lang w:val="en-US" w:eastAsia="zh-CN"/>
              </w:rPr>
              <w:t xml:space="preserve">  </w:t>
            </w:r>
            <w:r>
              <w:rPr>
                <w:rFonts w:hint="eastAsia" w:ascii="宋体" w:hAnsi="宋体" w:cs="宋体"/>
                <w:i w:val="0"/>
                <w:color w:val="auto"/>
                <w:kern w:val="0"/>
                <w:sz w:val="21"/>
                <w:szCs w:val="21"/>
                <w:highlight w:val="none"/>
                <w:u w:val="none"/>
                <w:lang w:val="en-US" w:eastAsia="zh-CN" w:bidi="ar"/>
              </w:rPr>
              <w:t>吴建艳</w:t>
            </w:r>
            <w:r>
              <w:rPr>
                <w:rFonts w:hint="eastAsia" w:ascii="宋体" w:hAnsi="宋体" w:eastAsia="宋体" w:cs="宋体"/>
                <w:i w:val="0"/>
                <w:color w:val="auto"/>
                <w:sz w:val="20"/>
                <w:szCs w:val="20"/>
                <w:highlight w:val="none"/>
                <w:u w:val="none"/>
                <w:lang w:val="en-US" w:eastAsia="zh-CN"/>
              </w:rPr>
              <w:t xml:space="preserve">  </w:t>
            </w:r>
            <w:permEnd w:id="38"/>
          </w:p>
        </w:tc>
        <w:tc>
          <w:tcPr>
            <w:tcW w:w="1436" w:type="dxa"/>
            <w:tcBorders>
              <w:tl2br w:val="nil"/>
              <w:tr2bl w:val="nil"/>
            </w:tcBorders>
            <w:noWrap w:val="0"/>
            <w:vAlign w:val="center"/>
          </w:tcPr>
          <w:p w14:paraId="7D06B5D8">
            <w:pPr>
              <w:keepNext w:val="0"/>
              <w:keepLines w:val="0"/>
              <w:widowControl/>
              <w:suppressLineNumbers w:val="0"/>
              <w:spacing w:line="360" w:lineRule="auto"/>
              <w:jc w:val="center"/>
              <w:textAlignment w:val="center"/>
              <w:rPr>
                <w:rFonts w:hint="eastAsia" w:ascii="宋体" w:hAnsi="宋体" w:eastAsia="宋体" w:cs="宋体"/>
                <w:b/>
                <w:bCs/>
                <w:i w:val="0"/>
                <w:color w:val="auto"/>
                <w:kern w:val="0"/>
                <w:sz w:val="20"/>
                <w:szCs w:val="20"/>
                <w:highlight w:val="none"/>
                <w:u w:val="none"/>
                <w:lang w:val="en-US" w:eastAsia="zh-CN" w:bidi="ar"/>
              </w:rPr>
            </w:pPr>
            <w:r>
              <w:rPr>
                <w:rFonts w:hint="eastAsia" w:ascii="宋体" w:hAnsi="宋体" w:eastAsia="宋体" w:cs="宋体"/>
                <w:b/>
                <w:bCs/>
                <w:i w:val="0"/>
                <w:color w:val="auto"/>
                <w:kern w:val="0"/>
                <w:sz w:val="20"/>
                <w:szCs w:val="20"/>
                <w:highlight w:val="none"/>
                <w:u w:val="none"/>
                <w:lang w:val="en-US" w:eastAsia="zh-CN" w:bidi="ar"/>
              </w:rPr>
              <w:t xml:space="preserve"> 联系电话</w:t>
            </w:r>
          </w:p>
        </w:tc>
        <w:tc>
          <w:tcPr>
            <w:tcW w:w="4378" w:type="dxa"/>
            <w:tcBorders>
              <w:tl2br w:val="nil"/>
              <w:tr2bl w:val="nil"/>
            </w:tcBorders>
            <w:noWrap w:val="0"/>
            <w:vAlign w:val="center"/>
          </w:tcPr>
          <w:p w14:paraId="64DE8ED5">
            <w:pPr>
              <w:spacing w:line="360" w:lineRule="auto"/>
              <w:jc w:val="left"/>
              <w:rPr>
                <w:rFonts w:hint="eastAsia" w:ascii="宋体" w:hAnsi="宋体" w:eastAsia="宋体" w:cs="宋体"/>
                <w:i w:val="0"/>
                <w:color w:val="auto"/>
                <w:sz w:val="20"/>
                <w:szCs w:val="20"/>
                <w:highlight w:val="none"/>
                <w:u w:val="none"/>
                <w:lang w:val="en-US" w:eastAsia="zh-CN"/>
              </w:rPr>
            </w:pPr>
            <w:permStart w:id="39" w:edGrp="everyone"/>
            <w:r>
              <w:rPr>
                <w:rFonts w:hint="eastAsia" w:ascii="宋体" w:hAnsi="宋体" w:eastAsia="宋体" w:cs="宋体"/>
                <w:i w:val="0"/>
                <w:color w:val="auto"/>
                <w:sz w:val="20"/>
                <w:szCs w:val="20"/>
                <w:highlight w:val="none"/>
                <w:u w:val="none"/>
                <w:lang w:val="en-US" w:eastAsia="zh-CN"/>
              </w:rPr>
              <w:t xml:space="preserve"> </w:t>
            </w:r>
            <w:r>
              <w:rPr>
                <w:rFonts w:hint="eastAsia" w:ascii="宋体" w:hAnsi="宋体" w:eastAsia="宋体" w:cs="宋体"/>
                <w:i w:val="0"/>
                <w:color w:val="auto"/>
                <w:kern w:val="0"/>
                <w:sz w:val="21"/>
                <w:szCs w:val="21"/>
                <w:highlight w:val="none"/>
                <w:u w:val="none"/>
                <w:lang w:val="en-US" w:eastAsia="zh-CN" w:bidi="ar"/>
              </w:rPr>
              <w:t>0760-88</w:t>
            </w:r>
            <w:r>
              <w:rPr>
                <w:rFonts w:hint="eastAsia" w:ascii="宋体" w:hAnsi="宋体" w:cs="宋体"/>
                <w:i w:val="0"/>
                <w:color w:val="auto"/>
                <w:kern w:val="0"/>
                <w:sz w:val="21"/>
                <w:szCs w:val="21"/>
                <w:highlight w:val="none"/>
                <w:u w:val="none"/>
                <w:lang w:val="en-US" w:eastAsia="zh-CN" w:bidi="ar"/>
              </w:rPr>
              <w:t>889687</w:t>
            </w:r>
            <w:r>
              <w:rPr>
                <w:rFonts w:hint="eastAsia" w:ascii="宋体" w:hAnsi="宋体" w:eastAsia="宋体" w:cs="宋体"/>
                <w:i w:val="0"/>
                <w:color w:val="auto"/>
                <w:sz w:val="20"/>
                <w:szCs w:val="20"/>
                <w:highlight w:val="none"/>
                <w:u w:val="none"/>
                <w:lang w:val="en-US" w:eastAsia="zh-CN"/>
              </w:rPr>
              <w:t xml:space="preserve"> </w:t>
            </w:r>
            <w:permEnd w:id="39"/>
          </w:p>
        </w:tc>
      </w:tr>
      <w:tr w14:paraId="43403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08158237">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strike w:val="0"/>
                <w:dstrike w:val="0"/>
                <w:color w:val="auto"/>
                <w:kern w:val="0"/>
                <w:sz w:val="20"/>
                <w:szCs w:val="20"/>
                <w:highlight w:val="none"/>
                <w:u w:val="none"/>
                <w:lang w:val="en-US" w:eastAsia="zh-CN" w:bidi="ar"/>
              </w:rPr>
              <w:t>招标监督机构</w:t>
            </w:r>
          </w:p>
        </w:tc>
        <w:tc>
          <w:tcPr>
            <w:tcW w:w="1825" w:type="dxa"/>
            <w:tcBorders>
              <w:tl2br w:val="nil"/>
              <w:tr2bl w:val="nil"/>
            </w:tcBorders>
            <w:noWrap w:val="0"/>
            <w:vAlign w:val="center"/>
          </w:tcPr>
          <w:p w14:paraId="409E13EE">
            <w:pPr>
              <w:keepNext w:val="0"/>
              <w:keepLines w:val="0"/>
              <w:widowControl/>
              <w:suppressLineNumbers w:val="0"/>
              <w:spacing w:line="360" w:lineRule="auto"/>
              <w:jc w:val="left"/>
              <w:textAlignment w:val="center"/>
              <w:rPr>
                <w:rFonts w:hint="eastAsia" w:ascii="宋体" w:hAnsi="宋体" w:eastAsia="宋体" w:cs="宋体"/>
                <w:i w:val="0"/>
                <w:color w:val="auto"/>
                <w:sz w:val="20"/>
                <w:szCs w:val="20"/>
                <w:highlight w:val="none"/>
                <w:u w:val="none"/>
                <w:lang w:eastAsia="zh-CN"/>
              </w:rPr>
            </w:pPr>
            <w:r>
              <w:rPr>
                <w:rFonts w:hint="eastAsia" w:ascii="宋体" w:hAnsi="宋体" w:cs="宋体"/>
                <w:i w:val="0"/>
                <w:color w:val="auto"/>
                <w:sz w:val="20"/>
                <w:szCs w:val="20"/>
                <w:highlight w:val="none"/>
                <w:u w:val="none"/>
                <w:lang w:eastAsia="zh-CN"/>
              </w:rPr>
              <w:t>详见招标公告发布网页所附的招标监督部门信息</w:t>
            </w:r>
          </w:p>
        </w:tc>
        <w:tc>
          <w:tcPr>
            <w:tcW w:w="1436" w:type="dxa"/>
            <w:tcBorders>
              <w:tl2br w:val="nil"/>
              <w:tr2bl w:val="nil"/>
            </w:tcBorders>
            <w:noWrap w:val="0"/>
            <w:vAlign w:val="center"/>
          </w:tcPr>
          <w:p w14:paraId="334F84CB">
            <w:pPr>
              <w:keepNext w:val="0"/>
              <w:keepLines w:val="0"/>
              <w:widowControl/>
              <w:suppressLineNumbers w:val="0"/>
              <w:spacing w:line="360" w:lineRule="auto"/>
              <w:jc w:val="center"/>
              <w:textAlignment w:val="center"/>
              <w:rPr>
                <w:rFonts w:hint="eastAsia" w:ascii="宋体" w:hAnsi="宋体" w:eastAsia="宋体" w:cs="宋体"/>
                <w:b/>
                <w:bCs/>
                <w:i w:val="0"/>
                <w:color w:val="auto"/>
                <w:sz w:val="20"/>
                <w:szCs w:val="20"/>
                <w:highlight w:val="none"/>
                <w:u w:val="none"/>
              </w:rPr>
            </w:pPr>
            <w:r>
              <w:rPr>
                <w:rFonts w:hint="eastAsia" w:ascii="宋体" w:hAnsi="宋体" w:eastAsia="宋体" w:cs="宋体"/>
                <w:b/>
                <w:bCs/>
                <w:i w:val="0"/>
                <w:strike w:val="0"/>
                <w:dstrike w:val="0"/>
                <w:color w:val="auto"/>
                <w:kern w:val="0"/>
                <w:sz w:val="20"/>
                <w:szCs w:val="20"/>
                <w:highlight w:val="none"/>
                <w:u w:val="none"/>
                <w:lang w:val="en-US" w:eastAsia="zh-CN" w:bidi="ar"/>
              </w:rPr>
              <w:t>联系电话</w:t>
            </w:r>
          </w:p>
        </w:tc>
        <w:tc>
          <w:tcPr>
            <w:tcW w:w="4378" w:type="dxa"/>
            <w:tcBorders>
              <w:tl2br w:val="nil"/>
              <w:tr2bl w:val="nil"/>
            </w:tcBorders>
            <w:noWrap w:val="0"/>
            <w:vAlign w:val="center"/>
          </w:tcPr>
          <w:p w14:paraId="20AA8683">
            <w:pPr>
              <w:spacing w:line="360" w:lineRule="auto"/>
              <w:jc w:val="left"/>
              <w:rPr>
                <w:rFonts w:hint="eastAsia" w:ascii="宋体" w:hAnsi="宋体" w:eastAsia="宋体" w:cs="宋体"/>
                <w:i w:val="0"/>
                <w:color w:val="auto"/>
                <w:sz w:val="20"/>
                <w:szCs w:val="20"/>
                <w:highlight w:val="none"/>
                <w:u w:val="none"/>
              </w:rPr>
            </w:pPr>
            <w:r>
              <w:rPr>
                <w:rFonts w:hint="eastAsia" w:ascii="宋体" w:hAnsi="宋体" w:cs="宋体"/>
                <w:i w:val="0"/>
                <w:color w:val="auto"/>
                <w:sz w:val="20"/>
                <w:szCs w:val="20"/>
                <w:highlight w:val="none"/>
                <w:u w:val="none"/>
                <w:lang w:eastAsia="zh-CN"/>
              </w:rPr>
              <w:t>详见招标公告发布网页所附的招标监督部门信息</w:t>
            </w:r>
          </w:p>
        </w:tc>
      </w:tr>
      <w:tr w14:paraId="04C8B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053" w:type="dxa"/>
            <w:tcBorders>
              <w:tl2br w:val="nil"/>
              <w:tr2bl w:val="nil"/>
            </w:tcBorders>
            <w:noWrap w:val="0"/>
            <w:vAlign w:val="center"/>
          </w:tcPr>
          <w:p w14:paraId="0E529DF7">
            <w:pPr>
              <w:keepNext w:val="0"/>
              <w:keepLines w:val="0"/>
              <w:widowControl/>
              <w:suppressLineNumbers w:val="0"/>
              <w:spacing w:line="360" w:lineRule="auto"/>
              <w:jc w:val="center"/>
              <w:textAlignment w:val="center"/>
              <w:rPr>
                <w:rFonts w:hint="eastAsia" w:ascii="宋体" w:hAnsi="宋体" w:eastAsia="宋体" w:cs="宋体"/>
                <w:b/>
                <w:bCs/>
                <w:i w:val="0"/>
                <w:color w:val="auto"/>
                <w:kern w:val="0"/>
                <w:sz w:val="20"/>
                <w:szCs w:val="20"/>
                <w:highlight w:val="none"/>
                <w:u w:val="none"/>
                <w:lang w:val="en-US" w:eastAsia="zh-CN" w:bidi="ar"/>
              </w:rPr>
            </w:pPr>
            <w:r>
              <w:rPr>
                <w:rFonts w:hint="eastAsia" w:ascii="宋体" w:hAnsi="宋体" w:cs="宋体"/>
                <w:b/>
                <w:bCs/>
                <w:i w:val="0"/>
                <w:color w:val="auto"/>
                <w:kern w:val="0"/>
                <w:sz w:val="20"/>
                <w:szCs w:val="20"/>
                <w:highlight w:val="none"/>
                <w:u w:val="none"/>
                <w:lang w:val="en-US" w:eastAsia="zh-CN" w:bidi="ar"/>
              </w:rPr>
              <w:t>其他依法应当载明的内容</w:t>
            </w:r>
          </w:p>
        </w:tc>
        <w:tc>
          <w:tcPr>
            <w:tcW w:w="7639" w:type="dxa"/>
            <w:gridSpan w:val="3"/>
            <w:tcBorders>
              <w:tl2br w:val="nil"/>
              <w:tr2bl w:val="nil"/>
            </w:tcBorders>
            <w:noWrap w:val="0"/>
            <w:vAlign w:val="center"/>
          </w:tcPr>
          <w:p w14:paraId="310FA941">
            <w:pPr>
              <w:spacing w:line="360" w:lineRule="auto"/>
              <w:ind w:firstLine="0" w:firstLineChars="0"/>
              <w:jc w:val="left"/>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相关网址：</w:t>
            </w:r>
          </w:p>
          <w:p w14:paraId="31718754">
            <w:pPr>
              <w:spacing w:line="360" w:lineRule="auto"/>
              <w:ind w:firstLine="0" w:firstLineChars="0"/>
              <w:jc w:val="left"/>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1</w:t>
            </w:r>
            <w:r>
              <w:rPr>
                <w:rFonts w:hint="eastAsia" w:ascii="宋体" w:hAnsi="宋体" w:cs="Times New Roman"/>
                <w:color w:val="auto"/>
                <w:szCs w:val="21"/>
                <w:highlight w:val="none"/>
                <w:lang w:val="en-US" w:eastAsia="zh-CN"/>
              </w:rPr>
              <w:t xml:space="preserve">. </w:t>
            </w:r>
            <w:r>
              <w:rPr>
                <w:rFonts w:hint="eastAsia" w:ascii="宋体" w:hAnsi="宋体" w:eastAsia="宋体" w:cs="Times New Roman"/>
                <w:color w:val="auto"/>
                <w:szCs w:val="21"/>
                <w:highlight w:val="none"/>
                <w:lang w:eastAsia="zh-CN"/>
              </w:rPr>
              <w:t>广东省公共资源交易平台：https://ygp.gdzwfw.gov.cn/#/44/index</w:t>
            </w:r>
          </w:p>
          <w:p w14:paraId="72F1144C">
            <w:pPr>
              <w:spacing w:line="360" w:lineRule="auto"/>
              <w:ind w:firstLine="0" w:firstLineChars="0"/>
              <w:jc w:val="left"/>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2</w:t>
            </w:r>
            <w:r>
              <w:rPr>
                <w:rFonts w:hint="eastAsia" w:ascii="宋体" w:hAnsi="宋体" w:cs="Times New Roman"/>
                <w:color w:val="auto"/>
                <w:szCs w:val="21"/>
                <w:highlight w:val="none"/>
                <w:lang w:val="en-US" w:eastAsia="zh-CN"/>
              </w:rPr>
              <w:t xml:space="preserve">. </w:t>
            </w:r>
            <w:r>
              <w:rPr>
                <w:rFonts w:hint="eastAsia" w:ascii="宋体" w:hAnsi="宋体" w:eastAsia="宋体" w:cs="Times New Roman"/>
                <w:color w:val="auto"/>
                <w:szCs w:val="21"/>
                <w:highlight w:val="none"/>
                <w:lang w:eastAsia="zh-CN"/>
              </w:rPr>
              <w:t>广东省公共资源交易平台（中山市）：https://ygp.gdzwfw.gov.cn/#/442000/index</w:t>
            </w:r>
          </w:p>
          <w:p w14:paraId="3ABA7B3A">
            <w:pPr>
              <w:spacing w:line="360" w:lineRule="auto"/>
              <w:ind w:firstLine="0" w:firstLineChars="0"/>
              <w:jc w:val="left"/>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3</w:t>
            </w:r>
            <w:r>
              <w:rPr>
                <w:rFonts w:hint="eastAsia" w:ascii="宋体" w:hAnsi="宋体" w:cs="Times New Roman"/>
                <w:color w:val="auto"/>
                <w:szCs w:val="21"/>
                <w:highlight w:val="none"/>
                <w:lang w:val="en-US" w:eastAsia="zh-CN"/>
              </w:rPr>
              <w:t xml:space="preserve">. </w:t>
            </w:r>
            <w:r>
              <w:rPr>
                <w:rFonts w:hint="eastAsia" w:ascii="宋体" w:hAnsi="宋体" w:eastAsia="宋体" w:cs="Times New Roman"/>
                <w:color w:val="auto"/>
                <w:szCs w:val="21"/>
                <w:highlight w:val="none"/>
                <w:lang w:eastAsia="zh-CN"/>
              </w:rPr>
              <w:t>广东省公共资源交易平台（交易系统）：https://ygp.gdzwfw.gov.cn/#/442000/jyxt</w:t>
            </w:r>
          </w:p>
          <w:p w14:paraId="2CC51597">
            <w:pPr>
              <w:spacing w:line="360" w:lineRule="auto"/>
              <w:ind w:firstLine="0" w:firstLineChars="0"/>
              <w:jc w:val="left"/>
              <w:rPr>
                <w:rFonts w:hint="eastAsia" w:ascii="宋体" w:hAnsi="宋体" w:eastAsia="宋体" w:cs="宋体"/>
                <w:i w:val="0"/>
                <w:color w:val="auto"/>
                <w:sz w:val="20"/>
                <w:szCs w:val="20"/>
                <w:highlight w:val="none"/>
                <w:u w:val="none"/>
              </w:rPr>
            </w:pPr>
            <w:r>
              <w:rPr>
                <w:rFonts w:hint="eastAsia" w:ascii="宋体" w:hAnsi="宋体" w:eastAsia="宋体" w:cs="Times New Roman"/>
                <w:color w:val="auto"/>
                <w:szCs w:val="21"/>
                <w:highlight w:val="none"/>
                <w:lang w:eastAsia="zh-CN"/>
              </w:rPr>
              <w:t>4</w:t>
            </w:r>
            <w:r>
              <w:rPr>
                <w:rFonts w:hint="eastAsia" w:ascii="宋体" w:hAnsi="宋体" w:cs="Times New Roman"/>
                <w:color w:val="auto"/>
                <w:szCs w:val="21"/>
                <w:highlight w:val="none"/>
                <w:lang w:val="en-US" w:eastAsia="zh-CN"/>
              </w:rPr>
              <w:t xml:space="preserve">. </w:t>
            </w:r>
            <w:r>
              <w:rPr>
                <w:rFonts w:hint="eastAsia" w:ascii="宋体" w:hAnsi="宋体" w:eastAsia="宋体" w:cs="Times New Roman"/>
                <w:color w:val="auto"/>
                <w:szCs w:val="21"/>
                <w:highlight w:val="none"/>
                <w:lang w:eastAsia="zh-CN"/>
              </w:rPr>
              <w:t>广东省招标投标监管网：http://zbtb.gd.gov.cn</w:t>
            </w:r>
          </w:p>
        </w:tc>
      </w:t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tbl>
    <w:p w14:paraId="55A8D71C">
      <w:pPr>
        <w:pStyle w:val="2"/>
        <w:jc w:val="center"/>
        <w:rPr>
          <w:rFonts w:hint="eastAsia" w:ascii="宋体" w:hAnsi="宋体" w:eastAsia="宋体" w:cs="宋体"/>
          <w:color w:val="auto"/>
          <w:szCs w:val="32"/>
          <w:highlight w:val="none"/>
        </w:rPr>
      </w:pPr>
      <w:bookmarkStart w:id="82" w:name="_Toc32504"/>
      <w:bookmarkStart w:id="83" w:name="_Toc31847"/>
      <w:bookmarkStart w:id="84" w:name="_Toc2591730"/>
      <w:bookmarkStart w:id="85" w:name="_Toc20976"/>
      <w:r>
        <w:rPr>
          <w:rFonts w:hint="eastAsia" w:ascii="宋体" w:hAnsi="宋体" w:eastAsia="宋体" w:cs="宋体"/>
          <w:color w:val="auto"/>
          <w:szCs w:val="32"/>
          <w:highlight w:val="none"/>
        </w:rPr>
        <w:br w:type="page"/>
      </w:r>
      <w:bookmarkStart w:id="86" w:name="_Toc1833811594"/>
      <w:bookmarkStart w:id="87" w:name="_Toc1789591514_WPSOffice_Level1"/>
      <w:bookmarkStart w:id="88" w:name="_Toc849629297"/>
      <w:bookmarkStart w:id="89" w:name="_Toc437514637"/>
      <w:bookmarkStart w:id="90" w:name="_Toc2046071180"/>
      <w:bookmarkStart w:id="91" w:name="_Toc1978606252"/>
      <w:bookmarkStart w:id="92" w:name="_Toc289675841"/>
      <w:bookmarkStart w:id="93" w:name="_Toc1906614276_WPSOffice_Level1"/>
      <w:bookmarkStart w:id="94" w:name="_Toc1187807918"/>
      <w:bookmarkStart w:id="95" w:name="_Toc242635905"/>
      <w:bookmarkStart w:id="96" w:name="_Toc23333"/>
      <w:bookmarkStart w:id="97" w:name="_Toc1260675466"/>
      <w:bookmarkStart w:id="98" w:name="_Toc5856"/>
      <w:bookmarkStart w:id="99" w:name="_Toc639"/>
      <w:bookmarkStart w:id="100" w:name="_Toc1597542442"/>
      <w:bookmarkStart w:id="101" w:name="_Toc73902671"/>
      <w:bookmarkStart w:id="102" w:name="_Toc1256164939"/>
      <w:bookmarkStart w:id="103" w:name="_Toc394437606"/>
      <w:bookmarkStart w:id="104" w:name="_Toc869556743"/>
      <w:bookmarkStart w:id="105" w:name="_Toc789782927"/>
      <w:bookmarkStart w:id="106" w:name="_Toc693938784"/>
      <w:bookmarkStart w:id="107" w:name="_Toc693918826"/>
      <w:bookmarkStart w:id="108" w:name="_Toc776109194"/>
      <w:bookmarkStart w:id="109" w:name="_Toc60643422"/>
      <w:bookmarkStart w:id="110" w:name="_Toc77436161"/>
      <w:bookmarkStart w:id="111" w:name="_Toc1699295243"/>
      <w:bookmarkStart w:id="112" w:name="_Toc463826127"/>
      <w:bookmarkStart w:id="113" w:name="_Toc1326732295"/>
      <w:bookmarkStart w:id="114" w:name="_Toc1036650679"/>
      <w:bookmarkStart w:id="115" w:name="_Toc973"/>
      <w:bookmarkStart w:id="116" w:name="_Toc2009666983"/>
      <w:bookmarkStart w:id="117" w:name="_Toc1177074632"/>
      <w:bookmarkStart w:id="118" w:name="_Toc1793876571"/>
      <w:bookmarkStart w:id="119" w:name="_Toc1520830780"/>
      <w:bookmarkStart w:id="120" w:name="_Toc1115890254"/>
      <w:bookmarkStart w:id="121" w:name="_Toc1639273428"/>
      <w:bookmarkStart w:id="122" w:name="_Toc870573071"/>
      <w:bookmarkStart w:id="123" w:name="_Toc950159343"/>
      <w:bookmarkStart w:id="124" w:name="_Toc909676611"/>
      <w:bookmarkStart w:id="125" w:name="_Toc378252044"/>
      <w:r>
        <w:rPr>
          <w:rFonts w:hint="eastAsia" w:ascii="宋体" w:hAnsi="宋体" w:eastAsia="宋体" w:cs="宋体"/>
          <w:color w:val="auto"/>
          <w:szCs w:val="32"/>
          <w:highlight w:val="none"/>
        </w:rPr>
        <w:t>第二章 投标人须知</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2065FCFB">
      <w:pPr>
        <w:pStyle w:val="3"/>
        <w:bidi w:val="0"/>
        <w:jc w:val="center"/>
        <w:rPr>
          <w:rFonts w:hint="eastAsia" w:ascii="宋体" w:hAnsi="宋体" w:eastAsia="宋体" w:cs="宋体"/>
          <w:color w:val="auto"/>
          <w:highlight w:val="none"/>
        </w:rPr>
      </w:pPr>
      <w:bookmarkStart w:id="126" w:name="_Toc821541842_WPSOffice_Level2"/>
      <w:bookmarkStart w:id="127" w:name="_Toc1468942252"/>
      <w:bookmarkStart w:id="128" w:name="_Toc1488778790"/>
      <w:bookmarkStart w:id="129" w:name="_Toc1943594535"/>
      <w:bookmarkStart w:id="130" w:name="_Toc1332190278"/>
      <w:bookmarkStart w:id="131" w:name="_Toc880047311"/>
      <w:bookmarkStart w:id="132" w:name="_Toc2591731"/>
      <w:bookmarkStart w:id="133" w:name="_Toc88725158"/>
      <w:bookmarkStart w:id="134" w:name="_Toc1308877784"/>
      <w:bookmarkStart w:id="135" w:name="_Toc32208"/>
      <w:bookmarkStart w:id="136" w:name="_Toc1701234602"/>
      <w:bookmarkStart w:id="137" w:name="_Toc244144202"/>
      <w:bookmarkStart w:id="138" w:name="_Toc900132144"/>
      <w:bookmarkStart w:id="139" w:name="_Toc294916944"/>
      <w:bookmarkStart w:id="140" w:name="_Toc851663607"/>
      <w:bookmarkStart w:id="141" w:name="_Toc30764"/>
      <w:bookmarkStart w:id="142" w:name="_Toc2088386815"/>
      <w:bookmarkStart w:id="143" w:name="_Toc1130367975"/>
      <w:bookmarkStart w:id="144" w:name="_Toc1112173530"/>
      <w:bookmarkStart w:id="145" w:name="_Toc1462636256"/>
      <w:bookmarkStart w:id="146" w:name="_Toc8547"/>
      <w:bookmarkStart w:id="147" w:name="_Toc15372"/>
      <w:bookmarkStart w:id="148" w:name="_Toc7701"/>
      <w:bookmarkStart w:id="149" w:name="_Toc1597723281"/>
      <w:bookmarkStart w:id="150" w:name="_Toc323057048"/>
      <w:bookmarkStart w:id="151" w:name="_Toc889643700"/>
      <w:bookmarkStart w:id="152" w:name="_Toc1799135782"/>
      <w:bookmarkStart w:id="153" w:name="_Toc715921105"/>
      <w:bookmarkStart w:id="154" w:name="_Toc6976"/>
      <w:bookmarkStart w:id="155" w:name="_Toc78022018"/>
      <w:bookmarkStart w:id="156" w:name="_Toc42299087"/>
      <w:bookmarkStart w:id="157" w:name="_Toc419549507"/>
      <w:bookmarkStart w:id="158" w:name="_Toc1058001714"/>
      <w:bookmarkStart w:id="159" w:name="_Toc1676186881"/>
      <w:bookmarkStart w:id="160" w:name="_Toc1935421907"/>
      <w:bookmarkStart w:id="161" w:name="_Toc1495631731"/>
      <w:bookmarkStart w:id="162" w:name="_Toc795759354"/>
      <w:bookmarkStart w:id="163" w:name="_Toc149841069"/>
      <w:bookmarkStart w:id="164" w:name="_Toc1429383798"/>
      <w:bookmarkStart w:id="165" w:name="_Toc25980"/>
      <w:bookmarkStart w:id="166" w:name="_Toc350589749"/>
      <w:bookmarkStart w:id="167" w:name="_Toc1786342137"/>
      <w:bookmarkStart w:id="168" w:name="_Toc1476890369"/>
      <w:r>
        <w:rPr>
          <w:rFonts w:hint="eastAsia" w:ascii="宋体" w:hAnsi="宋体" w:cs="宋体"/>
          <w:color w:val="auto"/>
          <w:highlight w:val="none"/>
          <w:lang w:eastAsia="zh-CN"/>
        </w:rPr>
        <w:t>（一）</w:t>
      </w:r>
      <w:r>
        <w:rPr>
          <w:rFonts w:hint="eastAsia" w:ascii="宋体" w:hAnsi="宋体" w:eastAsia="宋体" w:cs="宋体"/>
          <w:color w:val="auto"/>
          <w:highlight w:val="none"/>
        </w:rPr>
        <w:t>投标人须知前附表</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tbl>
      <w:tblPr>
        <w:tblStyle w:val="26"/>
        <w:tblW w:w="9498"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80"/>
        <w:gridCol w:w="2181"/>
        <w:gridCol w:w="6237"/>
      </w:tblGrid>
      <w:tr w14:paraId="563C21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tcBorders>
              <w:top w:val="single" w:color="auto" w:sz="12" w:space="0"/>
            </w:tcBorders>
            <w:noWrap w:val="0"/>
            <w:vAlign w:val="center"/>
          </w:tcPr>
          <w:p w14:paraId="696CB300">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2181" w:type="dxa"/>
            <w:tcBorders>
              <w:top w:val="single" w:color="auto" w:sz="12" w:space="0"/>
            </w:tcBorders>
            <w:noWrap w:val="0"/>
            <w:vAlign w:val="center"/>
          </w:tcPr>
          <w:p w14:paraId="31635239">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 款 名 称</w:t>
            </w:r>
          </w:p>
        </w:tc>
        <w:tc>
          <w:tcPr>
            <w:tcW w:w="6237" w:type="dxa"/>
            <w:tcBorders>
              <w:top w:val="single" w:color="auto" w:sz="12" w:space="0"/>
            </w:tcBorders>
            <w:noWrap w:val="0"/>
            <w:vAlign w:val="center"/>
          </w:tcPr>
          <w:p w14:paraId="04B36F41">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编 列 内 容</w:t>
            </w:r>
          </w:p>
        </w:tc>
      </w:tr>
      <w:tr w14:paraId="2A54B1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38" w:hRule="atLeast"/>
        </w:trPr>
        <w:tc>
          <w:tcPr>
            <w:tcW w:w="1080" w:type="dxa"/>
            <w:noWrap w:val="0"/>
            <w:vAlign w:val="center"/>
          </w:tcPr>
          <w:p w14:paraId="59B7FCA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w:t>
            </w:r>
          </w:p>
        </w:tc>
        <w:tc>
          <w:tcPr>
            <w:tcW w:w="2181" w:type="dxa"/>
            <w:noWrap w:val="0"/>
            <w:vAlign w:val="center"/>
          </w:tcPr>
          <w:p w14:paraId="6E01F5A8">
            <w:pPr>
              <w:spacing w:line="360" w:lineRule="auto"/>
              <w:jc w:val="center"/>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建设单位及</w:t>
            </w:r>
            <w:r>
              <w:rPr>
                <w:rFonts w:hint="eastAsia" w:ascii="宋体" w:hAnsi="宋体" w:eastAsia="宋体" w:cs="宋体"/>
                <w:color w:val="auto"/>
                <w:szCs w:val="21"/>
                <w:highlight w:val="none"/>
              </w:rPr>
              <w:t>招标人</w:t>
            </w:r>
          </w:p>
        </w:tc>
        <w:tc>
          <w:tcPr>
            <w:tcW w:w="6237" w:type="dxa"/>
            <w:noWrap w:val="0"/>
            <w:vAlign w:val="center"/>
          </w:tcPr>
          <w:p w14:paraId="44716D23">
            <w:pPr>
              <w:rPr>
                <w:rFonts w:hint="eastAsia" w:ascii="宋体" w:hAnsi="宋体" w:cs="宋体"/>
                <w:color w:val="auto"/>
                <w:highlight w:val="none"/>
                <w:u w:val="none"/>
                <w:lang w:eastAsia="zh-CN"/>
              </w:rPr>
            </w:pPr>
            <w:r>
              <w:rPr>
                <w:rFonts w:hint="eastAsia" w:ascii="宋体" w:hAnsi="宋体" w:cs="宋体"/>
                <w:color w:val="auto"/>
                <w:highlight w:val="none"/>
                <w:u w:val="none"/>
                <w:lang w:eastAsia="zh-CN"/>
              </w:rPr>
              <w:t>建设单位：</w:t>
            </w:r>
            <w:permStart w:id="40" w:edGrp="everyone"/>
            <w:r>
              <w:rPr>
                <w:rFonts w:hint="eastAsia" w:ascii="宋体" w:hAnsi="宋体" w:eastAsia="宋体" w:cs="宋体"/>
                <w:color w:val="auto"/>
                <w:szCs w:val="21"/>
                <w:highlight w:val="none"/>
                <w:u w:val="none"/>
              </w:rPr>
              <w:t xml:space="preserve"> </w:t>
            </w:r>
            <w:r>
              <w:rPr>
                <w:rFonts w:hint="eastAsia" w:ascii="宋体" w:hAnsi="宋体" w:cs="宋体"/>
                <w:color w:val="auto"/>
                <w:highlight w:val="none"/>
                <w:u w:val="none"/>
                <w:lang w:val="en-US" w:eastAsia="zh-CN"/>
              </w:rPr>
              <w:t>中山市坦能科技有限公司</w:t>
            </w:r>
            <w:r>
              <w:rPr>
                <w:rFonts w:hint="eastAsia" w:ascii="宋体" w:hAnsi="宋体" w:eastAsia="宋体" w:cs="宋体"/>
                <w:color w:val="auto"/>
                <w:szCs w:val="21"/>
                <w:highlight w:val="none"/>
                <w:u w:val="none"/>
              </w:rPr>
              <w:t xml:space="preserve"> </w:t>
            </w:r>
            <w:permEnd w:id="40"/>
          </w:p>
          <w:p w14:paraId="6C5610DF">
            <w:pPr>
              <w:rPr>
                <w:rFonts w:hint="eastAsia" w:ascii="宋体" w:hAnsi="宋体" w:eastAsia="宋体" w:cs="宋体"/>
                <w:color w:val="auto"/>
                <w:highlight w:val="none"/>
                <w:u w:val="none"/>
              </w:rPr>
            </w:pPr>
            <w:r>
              <w:rPr>
                <w:rFonts w:hint="eastAsia" w:ascii="宋体" w:hAnsi="宋体" w:eastAsia="宋体" w:cs="宋体"/>
                <w:color w:val="auto"/>
                <w:highlight w:val="none"/>
                <w:u w:val="none"/>
              </w:rPr>
              <w:t>招标人：</w:t>
            </w:r>
            <w:permStart w:id="41" w:edGrp="everyone"/>
            <w:r>
              <w:rPr>
                <w:rFonts w:hint="eastAsia" w:ascii="宋体" w:hAnsi="宋体" w:eastAsia="宋体" w:cs="宋体"/>
                <w:color w:val="auto"/>
                <w:szCs w:val="21"/>
                <w:highlight w:val="none"/>
                <w:u w:val="none"/>
              </w:rPr>
              <w:t xml:space="preserve"> </w:t>
            </w:r>
            <w:r>
              <w:rPr>
                <w:rFonts w:hint="eastAsia" w:ascii="宋体" w:hAnsi="宋体" w:cs="宋体"/>
                <w:color w:val="auto"/>
                <w:highlight w:val="none"/>
                <w:u w:val="none"/>
                <w:lang w:val="en-US" w:eastAsia="zh-CN"/>
              </w:rPr>
              <w:t>中山市坦能科技有限公司</w:t>
            </w:r>
            <w:r>
              <w:rPr>
                <w:rFonts w:hint="eastAsia" w:ascii="宋体" w:hAnsi="宋体" w:eastAsia="宋体" w:cs="宋体"/>
                <w:color w:val="auto"/>
                <w:szCs w:val="21"/>
                <w:highlight w:val="none"/>
                <w:u w:val="none"/>
              </w:rPr>
              <w:t xml:space="preserve"> </w:t>
            </w:r>
            <w:permEnd w:id="41"/>
          </w:p>
          <w:p w14:paraId="26E5B7C3">
            <w:pPr>
              <w:spacing w:line="360" w:lineRule="auto"/>
              <w:rPr>
                <w:rFonts w:hint="eastAsia" w:ascii="宋体" w:hAnsi="宋体" w:eastAsia="宋体" w:cs="宋体"/>
                <w:color w:val="auto"/>
                <w:highlight w:val="none"/>
                <w:u w:val="none"/>
              </w:rPr>
            </w:pPr>
            <w:r>
              <w:rPr>
                <w:rFonts w:hint="eastAsia" w:ascii="宋体" w:hAnsi="宋体" w:eastAsia="宋体" w:cs="宋体"/>
                <w:color w:val="auto"/>
                <w:highlight w:val="none"/>
                <w:u w:val="none"/>
              </w:rPr>
              <w:t>地址：</w:t>
            </w:r>
            <w:permStart w:id="42" w:edGrp="everyone"/>
            <w:r>
              <w:rPr>
                <w:rFonts w:hint="eastAsia" w:ascii="宋体" w:hAnsi="宋体" w:eastAsia="宋体" w:cs="宋体"/>
                <w:color w:val="auto"/>
                <w:szCs w:val="21"/>
                <w:highlight w:val="none"/>
                <w:u w:val="none"/>
              </w:rPr>
              <w:t xml:space="preserve"> </w:t>
            </w:r>
            <w:r>
              <w:rPr>
                <w:rFonts w:hint="eastAsia" w:ascii="宋体" w:hAnsi="宋体" w:cs="宋体"/>
                <w:color w:val="auto"/>
                <w:highlight w:val="none"/>
                <w:u w:val="none"/>
                <w:lang w:val="en-US" w:eastAsia="zh-CN"/>
              </w:rPr>
              <w:t>中山市坦洲镇大兴路121号西南侧500米坦洲镇人民政府的建筑物F栋219室4卡</w:t>
            </w:r>
            <w:r>
              <w:rPr>
                <w:rFonts w:hint="eastAsia" w:ascii="宋体" w:hAnsi="宋体" w:eastAsia="宋体" w:cs="宋体"/>
                <w:color w:val="auto"/>
                <w:szCs w:val="21"/>
                <w:highlight w:val="none"/>
                <w:u w:val="none"/>
              </w:rPr>
              <w:t xml:space="preserve"> </w:t>
            </w:r>
            <w:permEnd w:id="42"/>
          </w:p>
          <w:p w14:paraId="252FA38F">
            <w:pPr>
              <w:spacing w:line="360" w:lineRule="auto"/>
              <w:rPr>
                <w:rFonts w:hint="eastAsia" w:ascii="宋体" w:hAnsi="宋体" w:eastAsia="宋体" w:cs="宋体"/>
                <w:color w:val="auto"/>
                <w:highlight w:val="none"/>
                <w:u w:val="none"/>
              </w:rPr>
            </w:pPr>
            <w:r>
              <w:rPr>
                <w:rFonts w:hint="eastAsia" w:ascii="宋体" w:hAnsi="宋体" w:eastAsia="宋体" w:cs="宋体"/>
                <w:color w:val="auto"/>
                <w:highlight w:val="none"/>
                <w:u w:val="none"/>
              </w:rPr>
              <w:t>联系人：</w:t>
            </w:r>
            <w:permStart w:id="43" w:edGrp="everyone"/>
            <w:r>
              <w:rPr>
                <w:rFonts w:hint="eastAsia" w:ascii="宋体" w:hAnsi="宋体" w:eastAsia="宋体" w:cs="宋体"/>
                <w:color w:val="auto"/>
                <w:szCs w:val="21"/>
                <w:highlight w:val="none"/>
                <w:u w:val="none"/>
              </w:rPr>
              <w:t xml:space="preserve"> </w:t>
            </w:r>
            <w:r>
              <w:rPr>
                <w:rFonts w:hint="eastAsia" w:ascii="宋体" w:hAnsi="宋体" w:eastAsia="宋体" w:cs="宋体"/>
                <w:i w:val="0"/>
                <w:color w:val="auto"/>
                <w:sz w:val="21"/>
                <w:szCs w:val="21"/>
                <w:highlight w:val="none"/>
                <w:u w:val="none"/>
              </w:rPr>
              <w:t>梁卫恒</w:t>
            </w:r>
            <w:r>
              <w:rPr>
                <w:rFonts w:hint="eastAsia" w:ascii="宋体" w:hAnsi="宋体" w:eastAsia="宋体" w:cs="宋体"/>
                <w:color w:val="auto"/>
                <w:szCs w:val="21"/>
                <w:highlight w:val="none"/>
                <w:u w:val="none"/>
              </w:rPr>
              <w:t xml:space="preserve"> </w:t>
            </w:r>
            <w:permEnd w:id="43"/>
          </w:p>
          <w:p w14:paraId="4703F380">
            <w:pPr>
              <w:spacing w:line="360" w:lineRule="auto"/>
              <w:rPr>
                <w:rFonts w:hint="eastAsia" w:ascii="宋体" w:hAnsi="宋体" w:eastAsia="宋体" w:cs="宋体"/>
                <w:color w:val="auto"/>
                <w:szCs w:val="21"/>
                <w:highlight w:val="none"/>
                <w:u w:val="none"/>
              </w:rPr>
            </w:pPr>
            <w:r>
              <w:rPr>
                <w:rFonts w:hint="eastAsia" w:ascii="宋体" w:hAnsi="宋体" w:eastAsia="宋体" w:cs="宋体"/>
                <w:color w:val="auto"/>
                <w:highlight w:val="none"/>
                <w:u w:val="none"/>
              </w:rPr>
              <w:t xml:space="preserve">电话：  </w:t>
            </w:r>
            <w:permStart w:id="44" w:edGrp="everyone"/>
            <w:r>
              <w:rPr>
                <w:rFonts w:hint="eastAsia" w:ascii="宋体" w:hAnsi="宋体" w:eastAsia="宋体" w:cs="宋体"/>
                <w:color w:val="auto"/>
                <w:szCs w:val="21"/>
                <w:highlight w:val="none"/>
                <w:u w:val="none"/>
              </w:rPr>
              <w:t xml:space="preserve"> </w:t>
            </w:r>
            <w:r>
              <w:rPr>
                <w:rFonts w:hint="eastAsia" w:ascii="宋体" w:hAnsi="宋体" w:eastAsia="宋体" w:cs="宋体"/>
                <w:i w:val="0"/>
                <w:color w:val="auto"/>
                <w:sz w:val="21"/>
                <w:szCs w:val="21"/>
                <w:highlight w:val="none"/>
                <w:u w:val="none"/>
              </w:rPr>
              <w:t>0760-86654703</w:t>
            </w:r>
            <w:r>
              <w:rPr>
                <w:rFonts w:hint="eastAsia" w:ascii="宋体" w:hAnsi="宋体" w:eastAsia="宋体" w:cs="宋体"/>
                <w:color w:val="auto"/>
                <w:szCs w:val="21"/>
                <w:highlight w:val="none"/>
                <w:u w:val="none"/>
              </w:rPr>
              <w:t xml:space="preserve"> </w:t>
            </w:r>
            <w:permEnd w:id="44"/>
          </w:p>
        </w:tc>
      </w:tr>
      <w:tr w14:paraId="5F8A73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21" w:hRule="atLeast"/>
        </w:trPr>
        <w:tc>
          <w:tcPr>
            <w:tcW w:w="1080" w:type="dxa"/>
            <w:noWrap w:val="0"/>
            <w:vAlign w:val="center"/>
          </w:tcPr>
          <w:p w14:paraId="1A8D18B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1.1.3</w:t>
            </w:r>
          </w:p>
        </w:tc>
        <w:tc>
          <w:tcPr>
            <w:tcW w:w="2181" w:type="dxa"/>
            <w:noWrap w:val="0"/>
            <w:vAlign w:val="center"/>
          </w:tcPr>
          <w:p w14:paraId="5A6535C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招标代理机构</w:t>
            </w:r>
          </w:p>
        </w:tc>
        <w:tc>
          <w:tcPr>
            <w:tcW w:w="6237" w:type="dxa"/>
            <w:noWrap w:val="0"/>
            <w:vAlign w:val="center"/>
          </w:tcPr>
          <w:p w14:paraId="6A8A6F38">
            <w:pPr>
              <w:spacing w:line="360" w:lineRule="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名称：</w:t>
            </w:r>
            <w:permStart w:id="45" w:edGrp="everyone"/>
            <w:r>
              <w:rPr>
                <w:rFonts w:hint="eastAsia" w:ascii="宋体" w:hAnsi="宋体" w:eastAsia="宋体" w:cs="宋体"/>
                <w:color w:val="auto"/>
                <w:szCs w:val="21"/>
                <w:highlight w:val="none"/>
                <w:u w:val="none"/>
              </w:rPr>
              <w:t xml:space="preserve">  </w:t>
            </w:r>
            <w:r>
              <w:rPr>
                <w:rFonts w:hint="eastAsia" w:ascii="宋体" w:hAnsi="宋体" w:cs="宋体"/>
                <w:color w:val="auto"/>
                <w:highlight w:val="none"/>
                <w:u w:val="none"/>
                <w:lang w:val="en-US" w:eastAsia="zh-CN"/>
              </w:rPr>
              <w:t>智林招标（广东）有限公司</w:t>
            </w:r>
            <w:r>
              <w:rPr>
                <w:rFonts w:hint="eastAsia" w:ascii="宋体" w:hAnsi="宋体" w:eastAsia="宋体" w:cs="宋体"/>
                <w:color w:val="auto"/>
                <w:szCs w:val="21"/>
                <w:highlight w:val="none"/>
                <w:u w:val="none"/>
              </w:rPr>
              <w:t xml:space="preserve"> </w:t>
            </w:r>
            <w:permEnd w:id="45"/>
          </w:p>
          <w:p w14:paraId="7DBCA138">
            <w:pPr>
              <w:spacing w:line="360" w:lineRule="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地址：</w:t>
            </w:r>
            <w:permStart w:id="46" w:edGrp="everyone"/>
            <w:r>
              <w:rPr>
                <w:rFonts w:hint="eastAsia" w:ascii="宋体" w:hAnsi="宋体" w:eastAsia="宋体" w:cs="宋体"/>
                <w:color w:val="auto"/>
                <w:szCs w:val="21"/>
                <w:highlight w:val="none"/>
                <w:u w:val="none"/>
              </w:rPr>
              <w:t xml:space="preserve"> </w:t>
            </w:r>
            <w:r>
              <w:rPr>
                <w:rFonts w:hint="eastAsia" w:ascii="宋体" w:hAnsi="宋体" w:cs="宋体"/>
                <w:color w:val="auto"/>
                <w:highlight w:val="none"/>
                <w:u w:val="none"/>
                <w:lang w:val="en-US" w:eastAsia="zh-CN"/>
              </w:rPr>
              <w:t>广东省中山市东区中山五路82号紫翠花园紫荟商务中心5栋121卡、122卡</w:t>
            </w:r>
            <w:r>
              <w:rPr>
                <w:rFonts w:hint="eastAsia" w:ascii="宋体" w:hAnsi="宋体" w:eastAsia="宋体" w:cs="宋体"/>
                <w:color w:val="auto"/>
                <w:szCs w:val="21"/>
                <w:highlight w:val="none"/>
                <w:u w:val="none"/>
              </w:rPr>
              <w:t xml:space="preserve">  </w:t>
            </w:r>
            <w:permEnd w:id="46"/>
          </w:p>
          <w:p w14:paraId="759C342F">
            <w:pPr>
              <w:spacing w:line="360" w:lineRule="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联系人：</w:t>
            </w:r>
            <w:permStart w:id="47" w:edGrp="everyone"/>
            <w:r>
              <w:rPr>
                <w:rFonts w:hint="eastAsia" w:ascii="宋体" w:hAnsi="宋体" w:eastAsia="宋体" w:cs="宋体"/>
                <w:color w:val="auto"/>
                <w:szCs w:val="21"/>
                <w:highlight w:val="none"/>
                <w:u w:val="none"/>
              </w:rPr>
              <w:t xml:space="preserve"> </w:t>
            </w:r>
            <w:r>
              <w:rPr>
                <w:rFonts w:hint="eastAsia" w:ascii="宋体" w:hAnsi="宋体" w:cs="宋体"/>
                <w:color w:val="auto"/>
                <w:highlight w:val="none"/>
                <w:u w:val="none"/>
                <w:lang w:val="en-US" w:eastAsia="zh-CN"/>
              </w:rPr>
              <w:t>陈素群、许富强</w:t>
            </w:r>
            <w:r>
              <w:rPr>
                <w:rFonts w:hint="eastAsia" w:ascii="宋体" w:hAnsi="宋体" w:eastAsia="宋体" w:cs="宋体"/>
                <w:color w:val="auto"/>
                <w:szCs w:val="21"/>
                <w:highlight w:val="none"/>
                <w:u w:val="none"/>
              </w:rPr>
              <w:t xml:space="preserve"> </w:t>
            </w:r>
            <w:permEnd w:id="47"/>
          </w:p>
          <w:p w14:paraId="68D4E1C7">
            <w:pPr>
              <w:spacing w:line="360" w:lineRule="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电话：</w:t>
            </w:r>
            <w:permStart w:id="48" w:edGrp="everyone"/>
            <w:r>
              <w:rPr>
                <w:rFonts w:hint="eastAsia" w:ascii="宋体" w:hAnsi="宋体" w:eastAsia="宋体" w:cs="宋体"/>
                <w:color w:val="auto"/>
                <w:szCs w:val="21"/>
                <w:highlight w:val="none"/>
                <w:u w:val="none"/>
              </w:rPr>
              <w:t xml:space="preserve">  </w:t>
            </w:r>
            <w:r>
              <w:rPr>
                <w:rFonts w:hint="eastAsia" w:ascii="宋体" w:hAnsi="宋体" w:cs="宋体"/>
                <w:color w:val="auto"/>
                <w:highlight w:val="none"/>
                <w:u w:val="none"/>
                <w:lang w:val="en-US" w:eastAsia="zh-CN"/>
              </w:rPr>
              <w:t>0760-88889687</w:t>
            </w:r>
            <w:r>
              <w:rPr>
                <w:rFonts w:hint="eastAsia" w:ascii="宋体" w:hAnsi="宋体" w:eastAsia="宋体" w:cs="宋体"/>
                <w:color w:val="auto"/>
                <w:szCs w:val="21"/>
                <w:highlight w:val="none"/>
                <w:u w:val="none"/>
              </w:rPr>
              <w:t xml:space="preserve">  </w:t>
            </w:r>
            <w:permEnd w:id="48"/>
          </w:p>
        </w:tc>
      </w:tr>
      <w:tr w14:paraId="70213D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1" w:hRule="atLeast"/>
        </w:trPr>
        <w:tc>
          <w:tcPr>
            <w:tcW w:w="1080" w:type="dxa"/>
            <w:noWrap w:val="0"/>
            <w:vAlign w:val="center"/>
          </w:tcPr>
          <w:p w14:paraId="4C4CC03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1.1.4</w:t>
            </w:r>
          </w:p>
        </w:tc>
        <w:tc>
          <w:tcPr>
            <w:tcW w:w="2181" w:type="dxa"/>
            <w:noWrap w:val="0"/>
            <w:vAlign w:val="center"/>
          </w:tcPr>
          <w:p w14:paraId="15A194E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p>
        </w:tc>
        <w:tc>
          <w:tcPr>
            <w:tcW w:w="6237" w:type="dxa"/>
            <w:noWrap w:val="0"/>
            <w:vAlign w:val="center"/>
          </w:tcPr>
          <w:p w14:paraId="704C7C11">
            <w:pPr>
              <w:spacing w:line="360" w:lineRule="auto"/>
              <w:rPr>
                <w:rFonts w:hint="eastAsia" w:ascii="宋体" w:hAnsi="宋体" w:eastAsia="宋体" w:cs="宋体"/>
                <w:color w:val="auto"/>
                <w:szCs w:val="21"/>
                <w:highlight w:val="none"/>
                <w:u w:val="none"/>
              </w:rPr>
            </w:pPr>
            <w:permStart w:id="49" w:edGrp="everyone"/>
            <w:r>
              <w:rPr>
                <w:rFonts w:hint="eastAsia" w:ascii="宋体" w:hAnsi="宋体" w:eastAsia="宋体" w:cs="宋体"/>
                <w:color w:val="auto"/>
                <w:szCs w:val="21"/>
                <w:highlight w:val="none"/>
                <w:u w:val="none"/>
              </w:rPr>
              <w:t xml:space="preserve"> </w:t>
            </w:r>
            <w:r>
              <w:rPr>
                <w:rFonts w:hint="eastAsia" w:ascii="宋体" w:hAnsi="宋体" w:cs="宋体"/>
                <w:color w:val="auto"/>
                <w:highlight w:val="none"/>
                <w:u w:val="none"/>
                <w:lang w:val="en-US" w:eastAsia="zh-CN"/>
              </w:rPr>
              <w:t>中山南联新能源汽车产业基地项目（一期）-施工</w:t>
            </w:r>
            <w:r>
              <w:rPr>
                <w:rFonts w:hint="eastAsia" w:ascii="宋体" w:hAnsi="宋体" w:eastAsia="宋体" w:cs="宋体"/>
                <w:color w:val="auto"/>
                <w:szCs w:val="21"/>
                <w:highlight w:val="none"/>
                <w:u w:val="none"/>
              </w:rPr>
              <w:t xml:space="preserve">  </w:t>
            </w:r>
            <w:permEnd w:id="49"/>
          </w:p>
        </w:tc>
      </w:tr>
      <w:tr w14:paraId="7F99FF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9" w:hRule="atLeast"/>
        </w:trPr>
        <w:tc>
          <w:tcPr>
            <w:tcW w:w="1080" w:type="dxa"/>
            <w:noWrap w:val="0"/>
            <w:vAlign w:val="center"/>
          </w:tcPr>
          <w:p w14:paraId="0C2E9583">
            <w:pPr>
              <w:spacing w:line="360" w:lineRule="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5</w:t>
            </w:r>
          </w:p>
        </w:tc>
        <w:tc>
          <w:tcPr>
            <w:tcW w:w="2181" w:type="dxa"/>
            <w:noWrap w:val="0"/>
            <w:vAlign w:val="center"/>
          </w:tcPr>
          <w:p w14:paraId="5097132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项目建设</w:t>
            </w:r>
            <w:r>
              <w:rPr>
                <w:rFonts w:hint="eastAsia" w:ascii="宋体" w:hAnsi="宋体" w:eastAsia="宋体" w:cs="宋体"/>
                <w:color w:val="auto"/>
                <w:szCs w:val="21"/>
                <w:highlight w:val="none"/>
              </w:rPr>
              <w:t>地点</w:t>
            </w:r>
          </w:p>
        </w:tc>
        <w:tc>
          <w:tcPr>
            <w:tcW w:w="6237" w:type="dxa"/>
            <w:noWrap w:val="0"/>
            <w:vAlign w:val="center"/>
          </w:tcPr>
          <w:p w14:paraId="5FF3509D">
            <w:pPr>
              <w:spacing w:line="360" w:lineRule="auto"/>
              <w:rPr>
                <w:rFonts w:hint="eastAsia" w:ascii="宋体" w:hAnsi="宋体" w:eastAsia="宋体" w:cs="宋体"/>
                <w:color w:val="auto"/>
                <w:szCs w:val="21"/>
                <w:highlight w:val="none"/>
                <w:u w:val="none"/>
              </w:rPr>
            </w:pPr>
            <w:permStart w:id="50" w:edGrp="everyone"/>
            <w:r>
              <w:rPr>
                <w:rFonts w:hint="eastAsia" w:ascii="宋体" w:hAnsi="宋体" w:eastAsia="宋体" w:cs="宋体"/>
                <w:color w:val="auto"/>
                <w:szCs w:val="21"/>
                <w:highlight w:val="none"/>
                <w:u w:val="none"/>
              </w:rPr>
              <w:t xml:space="preserve">  </w:t>
            </w:r>
            <w:r>
              <w:rPr>
                <w:rFonts w:hint="eastAsia" w:ascii="宋体" w:hAnsi="宋体" w:cs="宋体"/>
                <w:color w:val="auto"/>
                <w:highlight w:val="none"/>
                <w:u w:val="none"/>
                <w:lang w:val="en-US" w:eastAsia="zh-CN"/>
              </w:rPr>
              <w:t>中山市坦洲镇十四村</w:t>
            </w:r>
            <w:r>
              <w:rPr>
                <w:rFonts w:hint="eastAsia" w:ascii="宋体" w:hAnsi="宋体" w:eastAsia="宋体" w:cs="宋体"/>
                <w:color w:val="auto"/>
                <w:szCs w:val="21"/>
                <w:highlight w:val="none"/>
                <w:u w:val="none"/>
              </w:rPr>
              <w:t xml:space="preserve">  </w:t>
            </w:r>
            <w:permEnd w:id="50"/>
          </w:p>
        </w:tc>
      </w:tr>
      <w:tr w14:paraId="5F3A13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6" w:hRule="atLeast"/>
        </w:trPr>
        <w:tc>
          <w:tcPr>
            <w:tcW w:w="1080" w:type="dxa"/>
            <w:noWrap w:val="0"/>
            <w:vAlign w:val="center"/>
          </w:tcPr>
          <w:p w14:paraId="0F89E29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w:t>
            </w:r>
          </w:p>
        </w:tc>
        <w:tc>
          <w:tcPr>
            <w:tcW w:w="2181" w:type="dxa"/>
            <w:noWrap w:val="0"/>
            <w:vAlign w:val="center"/>
          </w:tcPr>
          <w:p w14:paraId="5681621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资金来源</w:t>
            </w:r>
          </w:p>
        </w:tc>
        <w:tc>
          <w:tcPr>
            <w:tcW w:w="6237" w:type="dxa"/>
            <w:noWrap w:val="0"/>
            <w:vAlign w:val="center"/>
          </w:tcPr>
          <w:p w14:paraId="7D0B972A">
            <w:pPr>
              <w:spacing w:line="360" w:lineRule="auto"/>
              <w:jc w:val="both"/>
              <w:rPr>
                <w:rFonts w:hint="eastAsia" w:ascii="宋体" w:hAnsi="宋体" w:eastAsia="宋体" w:cs="宋体"/>
                <w:color w:val="auto"/>
                <w:szCs w:val="21"/>
                <w:highlight w:val="none"/>
                <w:u w:val="none"/>
              </w:rPr>
            </w:pPr>
            <w:permStart w:id="51" w:edGrp="everyone"/>
            <w:r>
              <w:rPr>
                <w:rFonts w:hint="eastAsia" w:ascii="宋体" w:hAnsi="宋体" w:eastAsia="宋体" w:cs="宋体"/>
                <w:color w:val="auto"/>
                <w:szCs w:val="21"/>
                <w:highlight w:val="none"/>
                <w:u w:val="none"/>
              </w:rPr>
              <w:t xml:space="preserve">  </w:t>
            </w:r>
            <w:r>
              <w:rPr>
                <w:rFonts w:hint="eastAsia" w:ascii="宋体" w:hAnsi="宋体" w:cs="宋体"/>
                <w:color w:val="auto"/>
                <w:highlight w:val="none"/>
                <w:u w:val="none"/>
                <w:lang w:val="en-US" w:eastAsia="zh-CN"/>
              </w:rPr>
              <w:t>自筹</w:t>
            </w:r>
            <w:r>
              <w:rPr>
                <w:rFonts w:hint="eastAsia" w:ascii="宋体" w:hAnsi="宋体" w:eastAsia="宋体" w:cs="宋体"/>
                <w:color w:val="auto"/>
                <w:szCs w:val="21"/>
                <w:highlight w:val="none"/>
                <w:u w:val="none"/>
              </w:rPr>
              <w:t xml:space="preserve"> </w:t>
            </w:r>
            <w:permEnd w:id="51"/>
          </w:p>
        </w:tc>
      </w:tr>
      <w:tr w14:paraId="3BF2CE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9" w:hRule="atLeast"/>
        </w:trPr>
        <w:tc>
          <w:tcPr>
            <w:tcW w:w="1080" w:type="dxa"/>
            <w:noWrap w:val="0"/>
            <w:vAlign w:val="center"/>
          </w:tcPr>
          <w:p w14:paraId="045710E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p>
        </w:tc>
        <w:tc>
          <w:tcPr>
            <w:tcW w:w="2181" w:type="dxa"/>
            <w:noWrap w:val="0"/>
            <w:vAlign w:val="center"/>
          </w:tcPr>
          <w:p w14:paraId="6C94F53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出资比例</w:t>
            </w:r>
          </w:p>
        </w:tc>
        <w:tc>
          <w:tcPr>
            <w:tcW w:w="6237" w:type="dxa"/>
            <w:noWrap w:val="0"/>
            <w:vAlign w:val="center"/>
          </w:tcPr>
          <w:p w14:paraId="600102E9">
            <w:pPr>
              <w:spacing w:line="360" w:lineRule="auto"/>
              <w:jc w:val="both"/>
              <w:rPr>
                <w:rFonts w:hint="eastAsia" w:ascii="宋体" w:hAnsi="宋体" w:eastAsia="宋体" w:cs="宋体"/>
                <w:color w:val="auto"/>
                <w:szCs w:val="21"/>
                <w:highlight w:val="none"/>
                <w:u w:val="none"/>
              </w:rPr>
            </w:pPr>
            <w:permStart w:id="52" w:edGrp="everyone"/>
            <w:r>
              <w:rPr>
                <w:rFonts w:hint="eastAsia" w:ascii="宋体" w:hAnsi="宋体" w:eastAsia="宋体" w:cs="宋体"/>
                <w:color w:val="auto"/>
                <w:szCs w:val="21"/>
                <w:highlight w:val="none"/>
                <w:u w:val="none"/>
              </w:rPr>
              <w:t xml:space="preserve"> </w:t>
            </w:r>
            <w:r>
              <w:rPr>
                <w:rFonts w:hint="eastAsia" w:ascii="宋体" w:hAnsi="宋体" w:eastAsia="宋体" w:cs="宋体"/>
                <w:color w:val="auto"/>
                <w:highlight w:val="none"/>
                <w:u w:val="none"/>
                <w:lang w:val="en-US" w:eastAsia="zh-CN"/>
              </w:rPr>
              <w:t>100%</w:t>
            </w:r>
            <w:r>
              <w:rPr>
                <w:rFonts w:hint="eastAsia" w:ascii="宋体" w:hAnsi="宋体" w:cs="宋体"/>
                <w:color w:val="auto"/>
                <w:highlight w:val="none"/>
                <w:u w:val="none"/>
                <w:lang w:val="en-US" w:eastAsia="zh-CN"/>
              </w:rPr>
              <w:t>自筹</w:t>
            </w:r>
            <w:r>
              <w:rPr>
                <w:rFonts w:hint="eastAsia" w:ascii="宋体" w:hAnsi="宋体" w:eastAsia="宋体" w:cs="宋体"/>
                <w:color w:val="auto"/>
                <w:szCs w:val="21"/>
                <w:highlight w:val="none"/>
                <w:u w:val="none"/>
              </w:rPr>
              <w:t xml:space="preserve"> </w:t>
            </w:r>
            <w:permEnd w:id="52"/>
          </w:p>
        </w:tc>
      </w:tr>
      <w:tr w14:paraId="203CB9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3" w:hRule="atLeast"/>
        </w:trPr>
        <w:tc>
          <w:tcPr>
            <w:tcW w:w="1080" w:type="dxa"/>
            <w:tcBorders>
              <w:bottom w:val="single" w:color="auto" w:sz="4" w:space="0"/>
            </w:tcBorders>
            <w:noWrap w:val="0"/>
            <w:vAlign w:val="center"/>
          </w:tcPr>
          <w:p w14:paraId="4A3327E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1.2.3</w:t>
            </w:r>
          </w:p>
        </w:tc>
        <w:tc>
          <w:tcPr>
            <w:tcW w:w="2181" w:type="dxa"/>
            <w:tcBorders>
              <w:bottom w:val="single" w:color="auto" w:sz="4" w:space="0"/>
            </w:tcBorders>
            <w:noWrap w:val="0"/>
            <w:vAlign w:val="center"/>
          </w:tcPr>
          <w:p w14:paraId="00AFC58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资金落实情况</w:t>
            </w:r>
          </w:p>
        </w:tc>
        <w:tc>
          <w:tcPr>
            <w:tcW w:w="6237" w:type="dxa"/>
            <w:tcBorders>
              <w:bottom w:val="single" w:color="auto" w:sz="4" w:space="0"/>
            </w:tcBorders>
            <w:noWrap w:val="0"/>
            <w:vAlign w:val="center"/>
          </w:tcPr>
          <w:p w14:paraId="3B62584E">
            <w:pPr>
              <w:spacing w:line="360" w:lineRule="auto"/>
              <w:jc w:val="both"/>
              <w:rPr>
                <w:rFonts w:hint="eastAsia" w:ascii="宋体" w:hAnsi="宋体" w:eastAsia="宋体" w:cs="宋体"/>
                <w:color w:val="auto"/>
                <w:highlight w:val="none"/>
                <w:u w:val="none"/>
              </w:rPr>
            </w:pPr>
            <w:permStart w:id="53" w:edGrp="everyone"/>
            <w:r>
              <w:rPr>
                <w:rFonts w:hint="eastAsia" w:ascii="宋体" w:hAnsi="宋体" w:eastAsia="宋体" w:cs="宋体"/>
                <w:color w:val="auto"/>
                <w:highlight w:val="none"/>
                <w:u w:val="none"/>
              </w:rPr>
              <w:t xml:space="preserve"> </w:t>
            </w:r>
            <w:r>
              <w:rPr>
                <w:rFonts w:hint="eastAsia" w:ascii="宋体" w:hAnsi="宋体" w:eastAsia="宋体" w:cs="宋体"/>
                <w:color w:val="auto"/>
                <w:highlight w:val="none"/>
                <w:u w:val="none"/>
                <w:lang w:val="en-US" w:eastAsia="zh-CN"/>
              </w:rPr>
              <w:t>已落实</w:t>
            </w:r>
            <w:r>
              <w:rPr>
                <w:rFonts w:hint="eastAsia" w:ascii="宋体" w:hAnsi="宋体" w:eastAsia="宋体" w:cs="宋体"/>
                <w:color w:val="auto"/>
                <w:highlight w:val="none"/>
                <w:u w:val="none"/>
              </w:rPr>
              <w:t xml:space="preserve"> </w:t>
            </w:r>
            <w:permEnd w:id="53"/>
          </w:p>
        </w:tc>
      </w:tr>
      <w:tr w14:paraId="1E2EBD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1080" w:type="dxa"/>
            <w:tcBorders>
              <w:bottom w:val="single" w:color="auto" w:sz="4" w:space="0"/>
            </w:tcBorders>
            <w:noWrap w:val="0"/>
            <w:vAlign w:val="center"/>
          </w:tcPr>
          <w:p w14:paraId="4567661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w:t>
            </w:r>
          </w:p>
        </w:tc>
        <w:tc>
          <w:tcPr>
            <w:tcW w:w="2181" w:type="dxa"/>
            <w:tcBorders>
              <w:bottom w:val="single" w:color="auto" w:sz="4" w:space="0"/>
            </w:tcBorders>
            <w:noWrap w:val="0"/>
            <w:vAlign w:val="center"/>
          </w:tcPr>
          <w:p w14:paraId="7AF23F0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招标范围</w:t>
            </w:r>
          </w:p>
        </w:tc>
        <w:tc>
          <w:tcPr>
            <w:tcW w:w="6237" w:type="dxa"/>
            <w:tcBorders>
              <w:bottom w:val="single" w:color="auto" w:sz="4" w:space="0"/>
            </w:tcBorders>
            <w:noWrap w:val="0"/>
            <w:vAlign w:val="center"/>
          </w:tcPr>
          <w:p w14:paraId="08B8A40E">
            <w:pPr>
              <w:spacing w:line="360" w:lineRule="auto"/>
              <w:jc w:val="both"/>
              <w:rPr>
                <w:rFonts w:hint="eastAsia" w:ascii="宋体" w:hAnsi="宋体" w:eastAsia="宋体" w:cs="宋体"/>
                <w:color w:val="auto"/>
                <w:szCs w:val="21"/>
                <w:highlight w:val="none"/>
                <w:u w:val="none"/>
              </w:rPr>
            </w:pPr>
            <w:permStart w:id="54" w:edGrp="everyone"/>
            <w:r>
              <w:rPr>
                <w:rFonts w:hint="eastAsia" w:ascii="宋体" w:hAnsi="宋体" w:eastAsia="宋体" w:cs="宋体"/>
                <w:color w:val="auto"/>
                <w:highlight w:val="none"/>
                <w:u w:val="none"/>
              </w:rPr>
              <w:t>详见第一章招标公告 “招标内容”。</w:t>
            </w:r>
            <w:permEnd w:id="54"/>
          </w:p>
        </w:tc>
      </w:tr>
      <w:tr w14:paraId="1597FA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3" w:hRule="atLeast"/>
        </w:trPr>
        <w:tc>
          <w:tcPr>
            <w:tcW w:w="1080" w:type="dxa"/>
            <w:tcBorders>
              <w:bottom w:val="single" w:color="auto" w:sz="4" w:space="0"/>
            </w:tcBorders>
            <w:noWrap w:val="0"/>
            <w:vAlign w:val="center"/>
          </w:tcPr>
          <w:p w14:paraId="2F31C37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w:t>
            </w:r>
          </w:p>
        </w:tc>
        <w:tc>
          <w:tcPr>
            <w:tcW w:w="2181" w:type="dxa"/>
            <w:tcBorders>
              <w:bottom w:val="single" w:color="auto" w:sz="4" w:space="0"/>
            </w:tcBorders>
            <w:noWrap w:val="0"/>
            <w:vAlign w:val="center"/>
          </w:tcPr>
          <w:p w14:paraId="5C577D7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工期要求</w:t>
            </w:r>
          </w:p>
        </w:tc>
        <w:tc>
          <w:tcPr>
            <w:tcW w:w="6237" w:type="dxa"/>
            <w:tcBorders>
              <w:bottom w:val="single" w:color="auto" w:sz="4" w:space="0"/>
            </w:tcBorders>
            <w:noWrap w:val="0"/>
            <w:vAlign w:val="center"/>
          </w:tcPr>
          <w:p w14:paraId="3499F99E">
            <w:pPr>
              <w:pageBreakBefore w:val="0"/>
              <w:kinsoku/>
              <w:wordWrap/>
              <w:overflowPunct/>
              <w:topLinePunct w:val="0"/>
              <w:bidi w:val="0"/>
              <w:spacing w:line="360" w:lineRule="auto"/>
              <w:textAlignment w:val="auto"/>
              <w:rPr>
                <w:rFonts w:hint="eastAsia"/>
                <w:color w:val="auto"/>
                <w:highlight w:val="none"/>
              </w:rPr>
            </w:pPr>
            <w:r>
              <w:rPr>
                <w:rFonts w:hint="eastAsia"/>
                <w:color w:val="auto"/>
                <w:highlight w:val="none"/>
              </w:rPr>
              <w:t>工期要求：</w:t>
            </w:r>
            <w:permStart w:id="55" w:edGrp="everyone"/>
            <w:r>
              <w:rPr>
                <w:rFonts w:hint="eastAsia"/>
                <w:color w:val="auto"/>
                <w:highlight w:val="none"/>
              </w:rPr>
              <w:t xml:space="preserve"> </w:t>
            </w:r>
            <w:r>
              <w:rPr>
                <w:rFonts w:hint="eastAsia" w:ascii="宋体" w:hAnsi="宋体" w:cs="宋体"/>
                <w:i w:val="0"/>
                <w:color w:val="auto"/>
                <w:kern w:val="0"/>
                <w:sz w:val="20"/>
                <w:szCs w:val="20"/>
                <w:highlight w:val="none"/>
                <w:u w:val="none"/>
                <w:lang w:val="en-US" w:eastAsia="zh-CN" w:bidi="ar"/>
              </w:rPr>
              <w:t>240</w:t>
            </w:r>
            <w:r>
              <w:rPr>
                <w:rFonts w:hint="eastAsia"/>
                <w:color w:val="auto"/>
                <w:highlight w:val="none"/>
              </w:rPr>
              <w:t>日历天</w:t>
            </w:r>
            <w:permEnd w:id="55"/>
          </w:p>
          <w:p w14:paraId="10646023">
            <w:pPr>
              <w:pageBreakBefore w:val="0"/>
              <w:kinsoku/>
              <w:wordWrap/>
              <w:overflowPunct/>
              <w:topLinePunct w:val="0"/>
              <w:bidi w:val="0"/>
              <w:spacing w:line="360" w:lineRule="auto"/>
              <w:textAlignment w:val="auto"/>
              <w:rPr>
                <w:rFonts w:hint="eastAsia"/>
                <w:color w:val="auto"/>
                <w:highlight w:val="none"/>
              </w:rPr>
            </w:pPr>
            <w:r>
              <w:rPr>
                <w:rFonts w:hint="eastAsia"/>
                <w:color w:val="auto"/>
                <w:highlight w:val="none"/>
              </w:rPr>
              <w:t>计划开工日期：</w:t>
            </w:r>
            <w:permStart w:id="56" w:edGrp="everyone"/>
            <w:r>
              <w:rPr>
                <w:rFonts w:hint="eastAsia"/>
                <w:color w:val="auto"/>
                <w:highlight w:val="none"/>
              </w:rPr>
              <w:t xml:space="preserve"> </w:t>
            </w:r>
            <w:r>
              <w:rPr>
                <w:rFonts w:hint="eastAsia" w:ascii="宋体" w:hAnsi="宋体" w:eastAsia="宋体" w:cs="宋体"/>
                <w:color w:val="auto"/>
                <w:highlight w:val="none"/>
                <w:lang w:val="en-US" w:eastAsia="zh-CN"/>
              </w:rPr>
              <w:t>2026</w:t>
            </w:r>
            <w:r>
              <w:rPr>
                <w:rFonts w:hint="eastAsia" w:ascii="宋体" w:hAnsi="宋体" w:eastAsia="宋体" w:cs="宋体"/>
                <w:color w:val="auto"/>
                <w:highlight w:val="none"/>
              </w:rPr>
              <w:t>年</w:t>
            </w:r>
            <w:r>
              <w:rPr>
                <w:rFonts w:hint="eastAsia" w:ascii="宋体" w:hAnsi="宋体" w:eastAsia="宋体" w:cs="宋体"/>
                <w:color w:val="auto"/>
                <w:highlight w:val="none"/>
                <w:lang w:val="en-US" w:eastAsia="zh-CN"/>
              </w:rPr>
              <w:t>11</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30</w:t>
            </w:r>
            <w:r>
              <w:rPr>
                <w:rFonts w:hint="eastAsia" w:ascii="宋体" w:hAnsi="宋体" w:eastAsia="宋体" w:cs="宋体"/>
                <w:color w:val="auto"/>
                <w:highlight w:val="none"/>
              </w:rPr>
              <w:t>日</w:t>
            </w:r>
            <w:permEnd w:id="56"/>
          </w:p>
          <w:p w14:paraId="11613B76">
            <w:pPr>
              <w:pageBreakBefore w:val="0"/>
              <w:kinsoku/>
              <w:wordWrap/>
              <w:overflowPunct/>
              <w:topLinePunct w:val="0"/>
              <w:bidi w:val="0"/>
              <w:spacing w:line="360" w:lineRule="auto"/>
              <w:textAlignment w:val="auto"/>
              <w:rPr>
                <w:rFonts w:hint="eastAsia" w:ascii="宋体" w:hAnsi="宋体" w:eastAsia="宋体" w:cs="宋体"/>
                <w:color w:val="auto"/>
                <w:highlight w:val="none"/>
              </w:rPr>
            </w:pPr>
            <w:r>
              <w:rPr>
                <w:rFonts w:hint="eastAsia"/>
                <w:color w:val="auto"/>
                <w:highlight w:val="none"/>
              </w:rPr>
              <w:t>计划竣工日期：</w:t>
            </w:r>
            <w:permStart w:id="57" w:edGrp="everyone"/>
            <w:r>
              <w:rPr>
                <w:rFonts w:hint="eastAsia"/>
                <w:color w:val="auto"/>
                <w:highlight w:val="none"/>
              </w:rPr>
              <w:t xml:space="preserve"> </w:t>
            </w:r>
            <w:r>
              <w:rPr>
                <w:rFonts w:hint="eastAsia" w:ascii="宋体" w:hAnsi="宋体" w:eastAsia="宋体" w:cs="宋体"/>
                <w:color w:val="auto"/>
                <w:highlight w:val="none"/>
                <w:lang w:val="en-US" w:eastAsia="zh-CN"/>
              </w:rPr>
              <w:t>2027</w:t>
            </w:r>
            <w:r>
              <w:rPr>
                <w:rFonts w:hint="eastAsia" w:ascii="宋体" w:hAnsi="宋体" w:eastAsia="宋体" w:cs="宋体"/>
                <w:color w:val="auto"/>
                <w:highlight w:val="none"/>
              </w:rPr>
              <w:t>年</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 xml:space="preserve"> 月</w:t>
            </w:r>
            <w:r>
              <w:rPr>
                <w:rFonts w:hint="eastAsia" w:ascii="宋体" w:hAnsi="宋体" w:eastAsia="宋体" w:cs="宋体"/>
                <w:color w:val="auto"/>
                <w:highlight w:val="none"/>
                <w:lang w:val="en-US" w:eastAsia="zh-CN"/>
              </w:rPr>
              <w:t>28</w:t>
            </w:r>
            <w:r>
              <w:rPr>
                <w:rFonts w:hint="eastAsia" w:ascii="宋体" w:hAnsi="宋体" w:eastAsia="宋体" w:cs="宋体"/>
                <w:color w:val="auto"/>
                <w:highlight w:val="none"/>
              </w:rPr>
              <w:t>日</w:t>
            </w:r>
          </w:p>
          <w:p w14:paraId="7F8D20F5">
            <w:pPr>
              <w:pageBreakBefore w:val="0"/>
              <w:kinsoku/>
              <w:wordWrap/>
              <w:overflowPunct/>
              <w:topLinePunct w:val="0"/>
              <w:bidi w:val="0"/>
              <w:spacing w:line="360" w:lineRule="auto"/>
              <w:textAlignment w:val="auto"/>
              <w:rPr>
                <w:rFonts w:hint="eastAsia"/>
                <w:color w:val="auto"/>
                <w:highlight w:val="none"/>
              </w:rPr>
            </w:pPr>
            <w:r>
              <w:rPr>
                <w:rFonts w:hint="eastAsia" w:ascii="宋体" w:hAnsi="宋体" w:eastAsia="宋体" w:cs="宋体"/>
                <w:color w:val="auto"/>
                <w:highlight w:val="none"/>
              </w:rPr>
              <w:t>注：其中完工工期为</w:t>
            </w:r>
            <w:r>
              <w:rPr>
                <w:rFonts w:hint="eastAsia" w:ascii="宋体" w:hAnsi="宋体" w:eastAsia="宋体" w:cs="宋体"/>
                <w:color w:val="auto"/>
                <w:highlight w:val="none"/>
                <w:lang w:val="en-US" w:eastAsia="zh-CN"/>
              </w:rPr>
              <w:t>150</w:t>
            </w:r>
            <w:r>
              <w:rPr>
                <w:rFonts w:hint="eastAsia" w:ascii="宋体" w:hAnsi="宋体" w:eastAsia="宋体" w:cs="宋体"/>
                <w:color w:val="auto"/>
                <w:highlight w:val="none"/>
              </w:rPr>
              <w:t>个日历天，总工期即竣工日期为完工日期加90个日历天验收时间，此处90个日历天为固定不调整时间，投标人若承诺的总工期少于</w:t>
            </w:r>
            <w:r>
              <w:rPr>
                <w:rFonts w:hint="eastAsia" w:ascii="宋体" w:hAnsi="宋体" w:eastAsia="宋体" w:cs="宋体"/>
                <w:color w:val="auto"/>
                <w:highlight w:val="none"/>
                <w:lang w:val="en-US" w:eastAsia="zh-CN"/>
              </w:rPr>
              <w:t>240</w:t>
            </w:r>
            <w:r>
              <w:rPr>
                <w:rFonts w:hint="eastAsia" w:ascii="宋体" w:hAnsi="宋体" w:eastAsia="宋体" w:cs="宋体"/>
                <w:color w:val="auto"/>
                <w:highlight w:val="none"/>
              </w:rPr>
              <w:t>个日历天的，其工期减少的时间视为完工工期的缩短，投标人投标承诺书中施工工期是对总工期的承诺</w:t>
            </w:r>
            <w:r>
              <w:rPr>
                <w:rFonts w:hint="eastAsia" w:ascii="宋体" w:hAnsi="宋体" w:eastAsia="宋体" w:cs="宋体"/>
                <w:color w:val="auto"/>
                <w:highlight w:val="none"/>
                <w:lang w:eastAsia="zh-CN"/>
              </w:rPr>
              <w:t>。</w:t>
            </w:r>
            <w:r>
              <w:rPr>
                <w:rFonts w:hint="eastAsia"/>
                <w:color w:val="auto"/>
                <w:highlight w:val="none"/>
              </w:rPr>
              <w:t xml:space="preserve"> </w:t>
            </w:r>
          </w:p>
          <w:p w14:paraId="6E80083B">
            <w:pPr>
              <w:pageBreakBefore w:val="0"/>
              <w:kinsoku/>
              <w:wordWrap/>
              <w:overflowPunct/>
              <w:topLinePunct w:val="0"/>
              <w:bidi w:val="0"/>
              <w:spacing w:line="360" w:lineRule="auto"/>
              <w:textAlignment w:val="auto"/>
              <w:rPr>
                <w:rFonts w:hint="eastAsia" w:ascii="宋体" w:hAnsi="宋体" w:eastAsia="宋体" w:cs="宋体"/>
                <w:color w:val="auto"/>
                <w:highlight w:val="none"/>
                <w:lang w:eastAsia="zh-CN"/>
              </w:rPr>
            </w:pPr>
            <w:r>
              <w:rPr>
                <w:rFonts w:hint="eastAsia"/>
                <w:b w:val="0"/>
                <w:bCs w:val="0"/>
                <w:color w:val="auto"/>
                <w:highlight w:val="none"/>
                <w:u w:val="none"/>
              </w:rPr>
              <w:t>计划开工及计划竣工日期为暂定日期，投标人可根据计划工期按实际情况编排进度计划，具体开工日期以监理工程师签发的开工令为准</w:t>
            </w:r>
            <w:r>
              <w:rPr>
                <w:rFonts w:hint="eastAsia"/>
                <w:b w:val="0"/>
                <w:bCs w:val="0"/>
                <w:color w:val="auto"/>
                <w:highlight w:val="none"/>
                <w:u w:val="none"/>
                <w:lang w:eastAsia="zh-CN"/>
              </w:rPr>
              <w:t>。</w:t>
            </w:r>
          </w:p>
          <w:permEnd w:id="57"/>
          <w:p w14:paraId="7AE4ADCA">
            <w:pPr>
              <w:pageBreakBefore w:val="0"/>
              <w:kinsoku/>
              <w:wordWrap/>
              <w:overflowPunct/>
              <w:topLinePunct w:val="0"/>
              <w:bidi w:val="0"/>
              <w:spacing w:line="360" w:lineRule="auto"/>
              <w:textAlignment w:val="auto"/>
              <w:rPr>
                <w:rFonts w:hint="eastAsia"/>
                <w:color w:val="auto"/>
                <w:highlight w:val="none"/>
              </w:rPr>
            </w:pPr>
          </w:p>
          <w:p w14:paraId="0B97E0F2">
            <w:pPr>
              <w:pStyle w:val="5"/>
              <w:ind w:firstLine="211" w:firstLineChars="100"/>
              <w:rPr>
                <w:rFonts w:hint="eastAsia"/>
                <w:color w:val="auto"/>
                <w:highlight w:val="none"/>
              </w:rPr>
            </w:pPr>
            <w:r>
              <w:rPr>
                <w:rFonts w:hint="eastAsia"/>
                <w:i/>
                <w:iCs/>
                <w:color w:val="auto"/>
                <w:highlight w:val="none"/>
                <w:u w:val="none"/>
              </w:rPr>
              <w:t xml:space="preserve">   </w:t>
            </w:r>
          </w:p>
        </w:tc>
      </w:tr>
      <w:tr w14:paraId="4B6E47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3" w:hRule="atLeast"/>
        </w:trPr>
        <w:tc>
          <w:tcPr>
            <w:tcW w:w="1080" w:type="dxa"/>
            <w:tcBorders>
              <w:bottom w:val="single" w:color="auto" w:sz="4" w:space="0"/>
            </w:tcBorders>
            <w:noWrap w:val="0"/>
            <w:vAlign w:val="center"/>
          </w:tcPr>
          <w:p w14:paraId="089CBA47">
            <w:pPr>
              <w:pageBreakBefore w:val="0"/>
              <w:kinsoku/>
              <w:wordWrap/>
              <w:overflowPunct/>
              <w:topLinePunct w:val="0"/>
              <w:bidi w:val="0"/>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1.3.3</w:t>
            </w:r>
          </w:p>
        </w:tc>
        <w:tc>
          <w:tcPr>
            <w:tcW w:w="2181" w:type="dxa"/>
            <w:tcBorders>
              <w:bottom w:val="single" w:color="auto" w:sz="4" w:space="0"/>
            </w:tcBorders>
            <w:noWrap w:val="0"/>
            <w:vAlign w:val="center"/>
          </w:tcPr>
          <w:p w14:paraId="76D938FD">
            <w:pPr>
              <w:pageBreakBefore w:val="0"/>
              <w:kinsoku/>
              <w:wordWrap/>
              <w:overflowPunct/>
              <w:topLinePunct w:val="0"/>
              <w:bidi w:val="0"/>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质量标准</w:t>
            </w:r>
          </w:p>
        </w:tc>
        <w:tc>
          <w:tcPr>
            <w:tcW w:w="6237" w:type="dxa"/>
            <w:tcBorders>
              <w:bottom w:val="single" w:color="auto" w:sz="4" w:space="0"/>
            </w:tcBorders>
            <w:noWrap w:val="0"/>
            <w:vAlign w:val="center"/>
          </w:tcPr>
          <w:p w14:paraId="7BF44063">
            <w:pPr>
              <w:pageBreakBefore w:val="0"/>
              <w:kinsoku/>
              <w:wordWrap/>
              <w:overflowPunct/>
              <w:topLinePunct w:val="0"/>
              <w:bidi w:val="0"/>
              <w:spacing w:line="360" w:lineRule="auto"/>
              <w:jc w:val="both"/>
              <w:textAlignment w:val="auto"/>
              <w:rPr>
                <w:rFonts w:hint="eastAsia" w:ascii="宋体" w:hAnsi="宋体" w:eastAsia="宋体" w:cs="宋体"/>
                <w:color w:val="auto"/>
                <w:kern w:val="2"/>
                <w:sz w:val="21"/>
                <w:szCs w:val="21"/>
                <w:highlight w:val="none"/>
                <w:u w:val="single"/>
                <w:lang w:val="en-US" w:eastAsia="zh-CN" w:bidi="ar-SA"/>
              </w:rPr>
            </w:pPr>
            <w:permStart w:id="58" w:edGrp="everyone"/>
            <w:r>
              <w:rPr>
                <w:rFonts w:hint="eastAsia" w:ascii="宋体" w:hAnsi="宋体" w:eastAsia="宋体" w:cs="宋体"/>
                <w:color w:val="auto"/>
                <w:szCs w:val="21"/>
                <w:highlight w:val="none"/>
                <w:u w:val="none"/>
              </w:rPr>
              <w:t xml:space="preserve">  </w:t>
            </w:r>
            <w:r>
              <w:rPr>
                <w:rFonts w:hint="eastAsia" w:ascii="宋体" w:hAnsi="宋体" w:cs="宋体"/>
                <w:color w:val="auto"/>
                <w:szCs w:val="21"/>
                <w:highlight w:val="none"/>
                <w:u w:val="none"/>
                <w:lang w:val="en-US" w:eastAsia="zh-CN"/>
              </w:rPr>
              <w:t>合格</w:t>
            </w:r>
            <w:r>
              <w:rPr>
                <w:rFonts w:hint="eastAsia" w:ascii="宋体" w:hAnsi="宋体" w:eastAsia="宋体" w:cs="宋体"/>
                <w:color w:val="auto"/>
                <w:szCs w:val="21"/>
                <w:highlight w:val="none"/>
                <w:u w:val="none"/>
              </w:rPr>
              <w:t xml:space="preserve"> </w:t>
            </w:r>
            <w:permEnd w:id="58"/>
          </w:p>
        </w:tc>
      </w:tr>
      <w:tr w14:paraId="61E804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1080" w:type="dxa"/>
            <w:tcBorders>
              <w:bottom w:val="single" w:color="auto" w:sz="4" w:space="0"/>
            </w:tcBorders>
            <w:noWrap w:val="0"/>
            <w:vAlign w:val="center"/>
          </w:tcPr>
          <w:p w14:paraId="6112B752">
            <w:pPr>
              <w:pageBreakBefore w:val="0"/>
              <w:kinsoku/>
              <w:wordWrap/>
              <w:overflowPunct/>
              <w:topLinePunct w:val="0"/>
              <w:bidi w:val="0"/>
              <w:spacing w:line="360" w:lineRule="auto"/>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1.3.4</w:t>
            </w:r>
          </w:p>
        </w:tc>
        <w:tc>
          <w:tcPr>
            <w:tcW w:w="2181" w:type="dxa"/>
            <w:tcBorders>
              <w:bottom w:val="single" w:color="auto" w:sz="4" w:space="0"/>
            </w:tcBorders>
            <w:noWrap w:val="0"/>
            <w:vAlign w:val="center"/>
          </w:tcPr>
          <w:p w14:paraId="5DE17A0B">
            <w:pPr>
              <w:pageBreakBefore w:val="0"/>
              <w:kinsoku/>
              <w:wordWrap/>
              <w:overflowPunct/>
              <w:topLinePunct w:val="0"/>
              <w:bidi w:val="0"/>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安全文明施工要求</w:t>
            </w:r>
          </w:p>
        </w:tc>
        <w:tc>
          <w:tcPr>
            <w:tcW w:w="6237" w:type="dxa"/>
            <w:tcBorders>
              <w:bottom w:val="single" w:color="auto" w:sz="4" w:space="0"/>
            </w:tcBorders>
            <w:noWrap w:val="0"/>
            <w:vAlign w:val="center"/>
          </w:tcPr>
          <w:p w14:paraId="2141E723">
            <w:pPr>
              <w:pageBreakBefore w:val="0"/>
              <w:kinsoku/>
              <w:wordWrap/>
              <w:overflowPunct/>
              <w:topLinePunct w:val="0"/>
              <w:bidi w:val="0"/>
              <w:spacing w:line="36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合格</w:t>
            </w:r>
          </w:p>
        </w:tc>
      </w:tr>
      <w:tr w14:paraId="010EA9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7" w:hRule="atLeast"/>
        </w:trPr>
        <w:tc>
          <w:tcPr>
            <w:tcW w:w="1080" w:type="dxa"/>
            <w:tcBorders>
              <w:bottom w:val="single" w:color="auto" w:sz="4" w:space="0"/>
            </w:tcBorders>
            <w:noWrap w:val="0"/>
            <w:vAlign w:val="center"/>
          </w:tcPr>
          <w:p w14:paraId="7C2EDA1B">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1.3.5</w:t>
            </w:r>
          </w:p>
        </w:tc>
        <w:tc>
          <w:tcPr>
            <w:tcW w:w="2181" w:type="dxa"/>
            <w:tcBorders>
              <w:bottom w:val="single" w:color="auto" w:sz="4" w:space="0"/>
            </w:tcBorders>
            <w:noWrap w:val="0"/>
            <w:vAlign w:val="center"/>
          </w:tcPr>
          <w:p w14:paraId="4575F14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绿色建筑等级</w:t>
            </w:r>
          </w:p>
        </w:tc>
        <w:tc>
          <w:tcPr>
            <w:tcW w:w="6237" w:type="dxa"/>
            <w:tcBorders>
              <w:bottom w:val="single" w:color="auto" w:sz="4" w:space="0"/>
            </w:tcBorders>
            <w:noWrap w:val="0"/>
            <w:vAlign w:val="center"/>
          </w:tcPr>
          <w:p w14:paraId="1AC16212">
            <w:pPr>
              <w:spacing w:line="360" w:lineRule="auto"/>
              <w:jc w:val="both"/>
              <w:rPr>
                <w:rFonts w:hint="eastAsia" w:ascii="宋体" w:hAnsi="宋体" w:eastAsia="宋体" w:cs="宋体"/>
                <w:color w:val="auto"/>
                <w:szCs w:val="21"/>
                <w:highlight w:val="none"/>
                <w:u w:val="single"/>
              </w:rPr>
            </w:pPr>
            <w:permStart w:id="59" w:edGrp="everyone"/>
            <w:r>
              <w:rPr>
                <w:rFonts w:hint="eastAsia" w:ascii="宋体" w:hAnsi="宋体" w:eastAsia="宋体" w:cs="宋体"/>
                <w:color w:val="auto"/>
                <w:szCs w:val="21"/>
                <w:highlight w:val="none"/>
                <w:u w:val="none"/>
              </w:rPr>
              <w:t xml:space="preserve"> </w:t>
            </w:r>
            <w:r>
              <w:rPr>
                <w:rFonts w:hint="eastAsia" w:ascii="宋体" w:hAnsi="宋体"/>
                <w:color w:val="auto"/>
                <w:szCs w:val="21"/>
                <w:highlight w:val="none"/>
                <w:u w:val="none"/>
                <w:lang w:val="en-US" w:eastAsia="zh-CN"/>
              </w:rPr>
              <w:t>具体以审定施工图要求为准。</w:t>
            </w:r>
            <w:r>
              <w:rPr>
                <w:rFonts w:hint="eastAsia" w:ascii="宋体" w:hAnsi="宋体" w:eastAsia="宋体" w:cs="宋体"/>
                <w:color w:val="auto"/>
                <w:szCs w:val="21"/>
                <w:highlight w:val="none"/>
                <w:u w:val="none"/>
              </w:rPr>
              <w:t xml:space="preserve"> </w:t>
            </w:r>
            <w:permEnd w:id="59"/>
          </w:p>
        </w:tc>
      </w:tr>
      <w:tr w14:paraId="47C5EE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7" w:hRule="atLeast"/>
        </w:trPr>
        <w:tc>
          <w:tcPr>
            <w:tcW w:w="1080" w:type="dxa"/>
            <w:tcBorders>
              <w:bottom w:val="single" w:color="auto" w:sz="4" w:space="0"/>
            </w:tcBorders>
            <w:noWrap w:val="0"/>
            <w:vAlign w:val="center"/>
          </w:tcPr>
          <w:p w14:paraId="29356C10">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1.3.6</w:t>
            </w:r>
          </w:p>
        </w:tc>
        <w:tc>
          <w:tcPr>
            <w:tcW w:w="2181" w:type="dxa"/>
            <w:tcBorders>
              <w:bottom w:val="single" w:color="auto" w:sz="4" w:space="0"/>
            </w:tcBorders>
            <w:noWrap w:val="0"/>
            <w:vAlign w:val="center"/>
          </w:tcPr>
          <w:p w14:paraId="76DF438F">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危险性较大的分部分项工程</w:t>
            </w:r>
          </w:p>
        </w:tc>
        <w:tc>
          <w:tcPr>
            <w:tcW w:w="6237" w:type="dxa"/>
            <w:tcBorders>
              <w:bottom w:val="single" w:color="auto" w:sz="4" w:space="0"/>
            </w:tcBorders>
            <w:noWrap w:val="0"/>
            <w:vAlign w:val="center"/>
          </w:tcPr>
          <w:p w14:paraId="7BF91BF2">
            <w:pPr>
              <w:pageBreakBefore w:val="0"/>
              <w:widowControl/>
              <w:kinsoku/>
              <w:wordWrap/>
              <w:overflowPunct/>
              <w:topLinePunct w:val="0"/>
              <w:bidi w:val="0"/>
              <w:spacing w:line="360" w:lineRule="auto"/>
              <w:ind w:left="0"/>
              <w:jc w:val="both"/>
              <w:textAlignment w:val="auto"/>
              <w:rPr>
                <w:rFonts w:hint="eastAsia" w:ascii="宋体" w:hAnsi="宋体" w:eastAsia="宋体" w:cs="宋体"/>
                <w:color w:val="auto"/>
                <w:szCs w:val="21"/>
                <w:highlight w:val="none"/>
                <w:lang w:eastAsia="zh-CN"/>
              </w:rPr>
            </w:pPr>
            <w:permStart w:id="60" w:edGrp="everyone"/>
            <w:r>
              <w:rPr>
                <w:rFonts w:hint="eastAsia" w:ascii="宋体" w:hAnsi="宋体" w:eastAsia="宋体" w:cs="宋体"/>
                <w:color w:val="auto"/>
                <w:szCs w:val="21"/>
                <w:highlight w:val="none"/>
                <w:lang w:eastAsia="zh-CN"/>
              </w:rPr>
              <w:t>□</w:t>
            </w:r>
            <w:permEnd w:id="60"/>
            <w:r>
              <w:rPr>
                <w:rFonts w:hint="eastAsia" w:ascii="宋体" w:hAnsi="宋体" w:eastAsia="宋体" w:cs="宋体"/>
                <w:color w:val="auto"/>
                <w:szCs w:val="21"/>
                <w:highlight w:val="none"/>
                <w:lang w:val="en-US" w:eastAsia="zh-CN"/>
              </w:rPr>
              <w:t xml:space="preserve"> 无</w:t>
            </w:r>
          </w:p>
          <w:p w14:paraId="14362677">
            <w:pPr>
              <w:pageBreakBefore w:val="0"/>
              <w:widowControl/>
              <w:kinsoku/>
              <w:wordWrap/>
              <w:overflowPunct/>
              <w:topLinePunct w:val="0"/>
              <w:bidi w:val="0"/>
              <w:spacing w:line="360" w:lineRule="auto"/>
              <w:jc w:val="both"/>
              <w:textAlignment w:val="auto"/>
              <w:rPr>
                <w:rFonts w:hint="eastAsia" w:ascii="宋体" w:hAnsi="宋体" w:eastAsia="宋体" w:cs="宋体"/>
                <w:color w:val="auto"/>
                <w:sz w:val="21"/>
                <w:szCs w:val="21"/>
                <w:highlight w:val="none"/>
              </w:rPr>
            </w:pPr>
            <w:permStart w:id="61" w:edGrp="everyone"/>
            <w:r>
              <w:rPr>
                <w:rFonts w:hint="eastAsia" w:ascii="宋体" w:hAnsi="宋体" w:cs="宋体"/>
                <w:color w:val="auto"/>
                <w:szCs w:val="21"/>
                <w:highlight w:val="none"/>
                <w:lang w:eastAsia="zh-CN"/>
              </w:rPr>
              <w:t>☑</w:t>
            </w:r>
            <w:permEnd w:id="61"/>
            <w:r>
              <w:rPr>
                <w:rFonts w:hint="eastAsia" w:ascii="宋体" w:hAnsi="宋体" w:eastAsia="宋体" w:cs="宋体"/>
                <w:color w:val="auto"/>
                <w:szCs w:val="21"/>
                <w:highlight w:val="none"/>
                <w:lang w:val="en-US" w:eastAsia="zh-CN"/>
              </w:rPr>
              <w:t xml:space="preserve"> 有，详见附件三</w:t>
            </w:r>
            <w:r>
              <w:rPr>
                <w:rFonts w:hint="eastAsia" w:ascii="宋体" w:hAnsi="宋体" w:eastAsia="宋体" w:cs="宋体"/>
                <w:color w:val="auto"/>
                <w:sz w:val="21"/>
                <w:szCs w:val="21"/>
                <w:highlight w:val="none"/>
              </w:rPr>
              <w:t>《危险性较大的分部分项工程</w:t>
            </w:r>
            <w:r>
              <w:rPr>
                <w:rFonts w:hint="eastAsia" w:ascii="宋体" w:hAnsi="宋体" w:eastAsia="宋体" w:cs="宋体"/>
                <w:color w:val="auto"/>
                <w:sz w:val="21"/>
                <w:szCs w:val="21"/>
                <w:highlight w:val="none"/>
                <w:lang w:eastAsia="zh-CN"/>
              </w:rPr>
              <w:t>清单</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投标人投标时须补充完善危大工程清单并明确相应的安全管理措施。</w:t>
            </w:r>
          </w:p>
          <w:p w14:paraId="140359F5">
            <w:pPr>
              <w:widowControl/>
              <w:spacing w:line="360" w:lineRule="auto"/>
              <w:jc w:val="both"/>
              <w:rPr>
                <w:rFonts w:hint="eastAsia" w:ascii="宋体" w:hAnsi="宋体" w:eastAsia="宋体" w:cs="宋体"/>
                <w:color w:val="auto"/>
                <w:szCs w:val="21"/>
                <w:highlight w:val="none"/>
                <w:u w:val="single"/>
              </w:rPr>
            </w:pPr>
            <w:r>
              <w:rPr>
                <w:rFonts w:hint="eastAsia" w:ascii="宋体" w:hAnsi="宋体"/>
                <w:color w:val="auto"/>
                <w:szCs w:val="21"/>
                <w:highlight w:val="none"/>
              </w:rPr>
              <w:t>【</w:t>
            </w:r>
            <w:r>
              <w:rPr>
                <w:rFonts w:hint="eastAsia" w:ascii="宋体" w:hAnsi="宋体" w:eastAsia="宋体" w:cs="宋体"/>
                <w:color w:val="auto"/>
                <w:sz w:val="21"/>
                <w:szCs w:val="21"/>
                <w:highlight w:val="none"/>
                <w:lang w:eastAsia="zh-CN"/>
              </w:rPr>
              <w:t>备注：</w:t>
            </w:r>
            <w:r>
              <w:rPr>
                <w:rFonts w:hint="eastAsia" w:ascii="宋体" w:hAnsi="宋体" w:eastAsia="宋体" w:cs="宋体"/>
                <w:i w:val="0"/>
                <w:caps w:val="0"/>
                <w:color w:val="auto"/>
                <w:spacing w:val="0"/>
                <w:kern w:val="2"/>
                <w:sz w:val="21"/>
                <w:szCs w:val="21"/>
                <w:highlight w:val="none"/>
                <w:shd w:val="clear" w:color="auto" w:fill="auto"/>
                <w:lang w:val="en-US" w:eastAsia="zh-CN" w:bidi="ar"/>
              </w:rPr>
              <w:t>招标人应根据</w:t>
            </w:r>
            <w:r>
              <w:rPr>
                <w:rFonts w:hint="eastAsia" w:ascii="宋体" w:hAnsi="宋体" w:eastAsia="宋体" w:cs="宋体"/>
                <w:color w:val="auto"/>
                <w:kern w:val="2"/>
                <w:szCs w:val="21"/>
                <w:highlight w:val="none"/>
                <w:shd w:val="clear" w:color="auto" w:fill="auto"/>
                <w:lang w:bidi="ar"/>
              </w:rPr>
              <w:t>中华人民共和国住房和城乡建设部令第37号《危险性较大的分部分项工程安全管理规定》</w:t>
            </w:r>
            <w:r>
              <w:rPr>
                <w:rFonts w:hint="eastAsia" w:ascii="宋体" w:hAnsi="宋体" w:eastAsia="宋体" w:cs="宋体"/>
                <w:i w:val="0"/>
                <w:caps w:val="0"/>
                <w:color w:val="auto"/>
                <w:spacing w:val="0"/>
                <w:kern w:val="2"/>
                <w:sz w:val="21"/>
                <w:szCs w:val="21"/>
                <w:highlight w:val="none"/>
                <w:shd w:val="clear" w:color="auto" w:fill="auto"/>
                <w:lang w:val="en-US" w:eastAsia="zh-CN" w:bidi="ar"/>
              </w:rPr>
              <w:t>列出危大工程清单，并要求投标人在投标时补充完善危大工程清单并明确相应的安全管理措施。</w:t>
            </w:r>
            <w:r>
              <w:rPr>
                <w:rFonts w:hint="eastAsia" w:ascii="宋体" w:hAnsi="宋体"/>
                <w:color w:val="auto"/>
                <w:szCs w:val="21"/>
                <w:highlight w:val="none"/>
              </w:rPr>
              <w:t>】</w:t>
            </w:r>
          </w:p>
        </w:tc>
      </w:tr>
      <w:tr w14:paraId="02388C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1080" w:type="dxa"/>
            <w:tcBorders>
              <w:bottom w:val="single" w:color="auto" w:sz="4" w:space="0"/>
            </w:tcBorders>
            <w:noWrap w:val="0"/>
            <w:vAlign w:val="center"/>
          </w:tcPr>
          <w:p w14:paraId="11D1342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w:t>
            </w:r>
          </w:p>
        </w:tc>
        <w:tc>
          <w:tcPr>
            <w:tcW w:w="2181" w:type="dxa"/>
            <w:tcBorders>
              <w:bottom w:val="single" w:color="auto" w:sz="4" w:space="0"/>
            </w:tcBorders>
            <w:noWrap w:val="0"/>
            <w:vAlign w:val="center"/>
          </w:tcPr>
          <w:p w14:paraId="52F5027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投标人资格要求</w:t>
            </w:r>
          </w:p>
        </w:tc>
        <w:tc>
          <w:tcPr>
            <w:tcW w:w="6237" w:type="dxa"/>
            <w:tcBorders>
              <w:bottom w:val="single" w:color="auto" w:sz="4" w:space="0"/>
            </w:tcBorders>
            <w:noWrap w:val="0"/>
            <w:vAlign w:val="center"/>
          </w:tcPr>
          <w:p w14:paraId="554833D7">
            <w:pPr>
              <w:widowControl/>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详见第一章招标公告</w:t>
            </w:r>
            <w:r>
              <w:rPr>
                <w:rFonts w:hint="eastAsia" w:ascii="宋体" w:hAnsi="宋体"/>
                <w:color w:val="auto"/>
                <w:szCs w:val="21"/>
                <w:highlight w:val="none"/>
                <w:lang w:eastAsia="zh-CN"/>
              </w:rPr>
              <w:t>“</w:t>
            </w:r>
            <w:r>
              <w:rPr>
                <w:rFonts w:hint="eastAsia" w:ascii="宋体" w:hAnsi="宋体" w:eastAsia="宋体" w:cs="宋体"/>
                <w:b w:val="0"/>
                <w:bCs w:val="0"/>
                <w:i w:val="0"/>
                <w:color w:val="auto"/>
                <w:kern w:val="0"/>
                <w:sz w:val="20"/>
                <w:szCs w:val="20"/>
                <w:highlight w:val="none"/>
                <w:u w:val="none"/>
                <w:lang w:val="en-US" w:eastAsia="zh-CN" w:bidi="ar"/>
              </w:rPr>
              <w:t>投标资格能力要求</w:t>
            </w:r>
            <w:r>
              <w:rPr>
                <w:rFonts w:hint="eastAsia" w:ascii="宋体" w:hAnsi="宋体"/>
                <w:color w:val="auto"/>
                <w:szCs w:val="21"/>
                <w:highlight w:val="none"/>
                <w:lang w:eastAsia="zh-CN"/>
              </w:rPr>
              <w:t>”</w:t>
            </w:r>
          </w:p>
        </w:tc>
      </w:tr>
      <w:tr w14:paraId="1B384B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1080" w:type="dxa"/>
            <w:tcBorders>
              <w:top w:val="single" w:color="auto" w:sz="4" w:space="0"/>
            </w:tcBorders>
            <w:noWrap w:val="0"/>
            <w:vAlign w:val="center"/>
          </w:tcPr>
          <w:p w14:paraId="22B4D96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w:t>
            </w:r>
          </w:p>
        </w:tc>
        <w:tc>
          <w:tcPr>
            <w:tcW w:w="2181" w:type="dxa"/>
            <w:tcBorders>
              <w:top w:val="single" w:color="auto" w:sz="4" w:space="0"/>
            </w:tcBorders>
            <w:noWrap w:val="0"/>
            <w:vAlign w:val="center"/>
          </w:tcPr>
          <w:p w14:paraId="10C6BD8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是否接受联合体投标</w:t>
            </w:r>
          </w:p>
        </w:tc>
        <w:tc>
          <w:tcPr>
            <w:tcW w:w="6237" w:type="dxa"/>
            <w:tcBorders>
              <w:top w:val="single" w:color="auto" w:sz="4" w:space="0"/>
            </w:tcBorders>
            <w:noWrap w:val="0"/>
            <w:vAlign w:val="center"/>
          </w:tcPr>
          <w:p w14:paraId="7CE81A12">
            <w:pPr>
              <w:spacing w:line="360" w:lineRule="auto"/>
              <w:ind w:left="360"/>
              <w:rPr>
                <w:rFonts w:hint="eastAsia" w:ascii="宋体" w:hAnsi="宋体" w:eastAsia="宋体" w:cs="宋体"/>
                <w:color w:val="auto"/>
                <w:szCs w:val="21"/>
                <w:highlight w:val="none"/>
              </w:rPr>
            </w:pPr>
            <w:permStart w:id="62" w:edGrp="everyone"/>
            <w:r>
              <w:rPr>
                <w:rFonts w:hint="eastAsia" w:ascii="宋体" w:hAnsi="宋体" w:cs="宋体"/>
                <w:color w:val="auto"/>
                <w:szCs w:val="21"/>
                <w:highlight w:val="none"/>
                <w:lang w:eastAsia="zh-CN"/>
              </w:rPr>
              <w:t>☑</w:t>
            </w:r>
            <w:permEnd w:id="62"/>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不接受</w:t>
            </w:r>
          </w:p>
          <w:p w14:paraId="395FC976">
            <w:pPr>
              <w:spacing w:line="360" w:lineRule="auto"/>
              <w:ind w:left="360"/>
              <w:rPr>
                <w:rFonts w:hint="eastAsia" w:ascii="宋体" w:hAnsi="宋体" w:eastAsia="宋体" w:cs="宋体"/>
                <w:color w:val="auto"/>
                <w:szCs w:val="21"/>
                <w:highlight w:val="none"/>
              </w:rPr>
            </w:pPr>
            <w:permStart w:id="63" w:edGrp="everyone"/>
            <w:r>
              <w:rPr>
                <w:rFonts w:hint="eastAsia" w:ascii="宋体" w:hAnsi="宋体" w:eastAsia="宋体" w:cs="宋体"/>
                <w:color w:val="auto"/>
                <w:szCs w:val="21"/>
                <w:highlight w:val="none"/>
              </w:rPr>
              <w:t>□</w:t>
            </w:r>
            <w:permEnd w:id="63"/>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接受</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应满足下列要求</w:t>
            </w:r>
            <w:r>
              <w:rPr>
                <w:rFonts w:hint="eastAsia" w:ascii="宋体" w:hAnsi="宋体" w:eastAsia="宋体" w:cs="宋体"/>
                <w:color w:val="auto"/>
                <w:szCs w:val="21"/>
                <w:highlight w:val="none"/>
                <w:lang w:eastAsia="zh-CN"/>
              </w:rPr>
              <w:t>：</w:t>
            </w:r>
            <w:permStart w:id="64" w:edGrp="everyone"/>
            <w:r>
              <w:rPr>
                <w:rFonts w:hint="eastAsia" w:ascii="宋体" w:hAnsi="宋体" w:eastAsia="宋体" w:cs="宋体"/>
                <w:color w:val="auto"/>
                <w:szCs w:val="21"/>
                <w:highlight w:val="none"/>
                <w:u w:val="none"/>
              </w:rPr>
              <w:t xml:space="preserve"> </w:t>
            </w:r>
            <w:r>
              <w:rPr>
                <w:rFonts w:hint="eastAsia" w:ascii="宋体" w:hAnsi="宋体" w:cs="宋体"/>
                <w:color w:val="auto"/>
                <w:szCs w:val="21"/>
                <w:highlight w:val="none"/>
                <w:u w:val="none"/>
                <w:lang w:val="en-US" w:eastAsia="zh-CN"/>
              </w:rPr>
              <w:t>/</w:t>
            </w:r>
            <w:r>
              <w:rPr>
                <w:rFonts w:hint="eastAsia" w:ascii="宋体" w:hAnsi="宋体" w:eastAsia="宋体" w:cs="宋体"/>
                <w:color w:val="auto"/>
                <w:szCs w:val="21"/>
                <w:highlight w:val="none"/>
                <w:u w:val="none"/>
              </w:rPr>
              <w:t xml:space="preserve"> </w:t>
            </w:r>
            <w:permEnd w:id="64"/>
          </w:p>
        </w:tc>
      </w:tr>
      <w:tr w14:paraId="66240D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1080" w:type="dxa"/>
            <w:tcBorders>
              <w:top w:val="single" w:color="auto" w:sz="4" w:space="0"/>
            </w:tcBorders>
            <w:noWrap w:val="0"/>
            <w:vAlign w:val="center"/>
          </w:tcPr>
          <w:p w14:paraId="458F512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1.9</w:t>
            </w:r>
          </w:p>
        </w:tc>
        <w:tc>
          <w:tcPr>
            <w:tcW w:w="2181" w:type="dxa"/>
            <w:tcBorders>
              <w:top w:val="single" w:color="auto" w:sz="4" w:space="0"/>
            </w:tcBorders>
            <w:noWrap w:val="0"/>
            <w:vAlign w:val="center"/>
          </w:tcPr>
          <w:p w14:paraId="5795EAF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踏勘现场</w:t>
            </w:r>
          </w:p>
        </w:tc>
        <w:tc>
          <w:tcPr>
            <w:tcW w:w="6237" w:type="dxa"/>
            <w:tcBorders>
              <w:top w:val="single" w:color="auto" w:sz="4" w:space="0"/>
            </w:tcBorders>
            <w:noWrap w:val="0"/>
            <w:vAlign w:val="center"/>
          </w:tcPr>
          <w:p w14:paraId="44EF24B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一般情况下不集中踏勘现场。</w:t>
            </w:r>
          </w:p>
          <w:p w14:paraId="089A7A78">
            <w:pPr>
              <w:spacing w:line="360" w:lineRule="auto"/>
              <w:ind w:left="360"/>
              <w:rPr>
                <w:rFonts w:hint="eastAsia" w:ascii="宋体" w:hAnsi="宋体" w:eastAsia="宋体" w:cs="宋体"/>
                <w:color w:val="auto"/>
                <w:szCs w:val="21"/>
                <w:highlight w:val="none"/>
              </w:rPr>
            </w:pPr>
            <w:permStart w:id="65" w:edGrp="everyone"/>
            <w:r>
              <w:rPr>
                <w:rFonts w:hint="eastAsia" w:ascii="宋体" w:hAnsi="宋体" w:cs="宋体"/>
                <w:color w:val="auto"/>
                <w:szCs w:val="21"/>
                <w:highlight w:val="none"/>
                <w:lang w:eastAsia="zh-CN"/>
              </w:rPr>
              <w:t>☑</w:t>
            </w:r>
            <w:permEnd w:id="65"/>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不组织踏勘现场</w:t>
            </w:r>
          </w:p>
          <w:p w14:paraId="092511A1">
            <w:pPr>
              <w:spacing w:line="360" w:lineRule="auto"/>
              <w:ind w:left="360"/>
              <w:rPr>
                <w:rFonts w:hint="eastAsia" w:ascii="宋体" w:hAnsi="宋体" w:eastAsia="宋体" w:cs="宋体"/>
                <w:color w:val="auto"/>
                <w:szCs w:val="21"/>
                <w:highlight w:val="none"/>
              </w:rPr>
            </w:pPr>
            <w:permStart w:id="66" w:edGrp="everyone"/>
            <w:r>
              <w:rPr>
                <w:rFonts w:hint="eastAsia" w:ascii="宋体" w:hAnsi="宋体" w:eastAsia="宋体" w:cs="宋体"/>
                <w:color w:val="auto"/>
                <w:szCs w:val="21"/>
                <w:highlight w:val="none"/>
              </w:rPr>
              <w:t>□</w:t>
            </w:r>
            <w:permEnd w:id="66"/>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 xml:space="preserve">组织踏勘现场 </w:t>
            </w:r>
          </w:p>
          <w:p w14:paraId="6FBEDDAE">
            <w:pPr>
              <w:spacing w:line="360" w:lineRule="auto"/>
              <w:ind w:left="360"/>
              <w:rPr>
                <w:rFonts w:hint="eastAsia" w:ascii="宋体" w:hAnsi="宋体" w:eastAsia="宋体" w:cs="宋体"/>
                <w:color w:val="auto"/>
                <w:szCs w:val="21"/>
                <w:highlight w:val="none"/>
              </w:rPr>
            </w:pPr>
            <w:permStart w:id="67" w:edGrp="everyone"/>
            <w:r>
              <w:rPr>
                <w:rFonts w:hint="eastAsia" w:ascii="宋体" w:hAnsi="宋体" w:eastAsia="宋体" w:cs="宋体"/>
                <w:color w:val="auto"/>
                <w:szCs w:val="21"/>
                <w:highlight w:val="none"/>
              </w:rPr>
              <w:t>□</w:t>
            </w:r>
            <w:permEnd w:id="67"/>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踏勘时间：</w:t>
            </w:r>
            <w:permStart w:id="68" w:edGrp="everyone"/>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时</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分</w:t>
            </w:r>
          </w:p>
          <w:permEnd w:id="68"/>
          <w:p w14:paraId="10C9DF6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踏勘集中地点：</w:t>
            </w:r>
            <w:permStart w:id="69"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permEnd w:id="69"/>
          </w:p>
        </w:tc>
      </w:tr>
      <w:tr w14:paraId="6292AA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1080" w:type="dxa"/>
            <w:tcBorders>
              <w:top w:val="single" w:color="auto" w:sz="4" w:space="0"/>
            </w:tcBorders>
            <w:noWrap w:val="0"/>
            <w:vAlign w:val="center"/>
          </w:tcPr>
          <w:p w14:paraId="223EA6A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1.10</w:t>
            </w:r>
          </w:p>
        </w:tc>
        <w:tc>
          <w:tcPr>
            <w:tcW w:w="2181" w:type="dxa"/>
            <w:tcBorders>
              <w:top w:val="single" w:color="auto" w:sz="4" w:space="0"/>
            </w:tcBorders>
            <w:noWrap w:val="0"/>
            <w:vAlign w:val="center"/>
          </w:tcPr>
          <w:p w14:paraId="58C0941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招标答疑</w:t>
            </w:r>
          </w:p>
        </w:tc>
        <w:tc>
          <w:tcPr>
            <w:tcW w:w="6237" w:type="dxa"/>
            <w:tcBorders>
              <w:top w:val="single" w:color="auto" w:sz="4" w:space="0"/>
            </w:tcBorders>
            <w:noWrap w:val="0"/>
            <w:vAlign w:val="center"/>
          </w:tcPr>
          <w:p w14:paraId="54CF4828">
            <w:pPr>
              <w:ind w:firstLine="420" w:firstLineChars="200"/>
              <w:rPr>
                <w:rFonts w:hint="eastAsia"/>
                <w:color w:val="auto"/>
                <w:lang w:eastAsia="zh-CN"/>
              </w:rPr>
            </w:pPr>
            <w:r>
              <w:rPr>
                <w:rFonts w:hint="eastAsia"/>
                <w:color w:val="auto"/>
              </w:rPr>
              <w:t>投标人提出问题的截止时间</w:t>
            </w:r>
            <w:r>
              <w:rPr>
                <w:rFonts w:hint="eastAsia"/>
                <w:color w:val="auto"/>
                <w:lang w:eastAsia="zh-CN"/>
              </w:rPr>
              <w:t>：</w:t>
            </w:r>
            <w:r>
              <w:rPr>
                <w:rFonts w:hint="eastAsia"/>
                <w:color w:val="auto"/>
              </w:rPr>
              <w:t>以</w:t>
            </w:r>
            <w:r>
              <w:rPr>
                <w:rFonts w:hint="eastAsia"/>
                <w:color w:val="auto"/>
                <w:lang w:eastAsia="zh-CN"/>
              </w:rPr>
              <w:t>工程建设交易系统</w:t>
            </w:r>
            <w:r>
              <w:rPr>
                <w:rFonts w:hint="eastAsia"/>
                <w:color w:val="auto"/>
              </w:rPr>
              <w:t>上的</w:t>
            </w:r>
            <w:r>
              <w:rPr>
                <w:rFonts w:hint="eastAsia"/>
                <w:color w:val="auto"/>
                <w:lang w:eastAsia="zh-CN"/>
              </w:rPr>
              <w:t>日程</w:t>
            </w:r>
            <w:r>
              <w:rPr>
                <w:rFonts w:hint="eastAsia"/>
                <w:color w:val="auto"/>
              </w:rPr>
              <w:t>安排为准</w:t>
            </w:r>
            <w:r>
              <w:rPr>
                <w:rFonts w:hint="eastAsia"/>
                <w:color w:val="auto"/>
                <w:lang w:eastAsia="zh-CN"/>
              </w:rPr>
              <w:t>。</w:t>
            </w:r>
          </w:p>
          <w:p w14:paraId="6AB0C9BB">
            <w:pPr>
              <w:ind w:firstLine="420" w:firstLineChars="200"/>
              <w:rPr>
                <w:rFonts w:hint="eastAsia"/>
                <w:color w:val="auto"/>
                <w:lang w:val="en-US" w:eastAsia="zh-CN"/>
              </w:rPr>
            </w:pPr>
            <w:r>
              <w:rPr>
                <w:rFonts w:hint="eastAsia"/>
                <w:color w:val="auto"/>
              </w:rPr>
              <w:t>投标人向招标人（或招标代理机构）提交有关问题的，可按投标</w:t>
            </w:r>
            <w:r>
              <w:rPr>
                <w:rFonts w:hint="eastAsia"/>
                <w:color w:val="auto"/>
                <w:lang w:eastAsia="zh-CN"/>
              </w:rPr>
              <w:t>人</w:t>
            </w:r>
            <w:r>
              <w:rPr>
                <w:rFonts w:hint="eastAsia"/>
                <w:color w:val="auto"/>
              </w:rPr>
              <w:t>须知前附表中</w:t>
            </w:r>
            <w:r>
              <w:rPr>
                <w:rFonts w:hint="eastAsia"/>
                <w:color w:val="auto"/>
                <w:lang w:eastAsia="zh-CN"/>
              </w:rPr>
              <w:t>日程</w:t>
            </w:r>
            <w:r>
              <w:rPr>
                <w:rFonts w:hint="eastAsia"/>
                <w:color w:val="auto"/>
              </w:rPr>
              <w:t>安排的时间内在广东省公共资源交易平台（交易系统），凭</w:t>
            </w:r>
            <w:r>
              <w:rPr>
                <w:rFonts w:hint="eastAsia"/>
                <w:color w:val="auto"/>
                <w:lang w:eastAsia="zh-CN"/>
              </w:rPr>
              <w:t>电子招投标</w:t>
            </w:r>
            <w:r>
              <w:rPr>
                <w:rFonts w:hint="eastAsia"/>
                <w:color w:val="auto"/>
              </w:rPr>
              <w:t>数字证书</w:t>
            </w:r>
            <w:r>
              <w:rPr>
                <w:rFonts w:hint="eastAsia"/>
                <w:color w:val="auto"/>
                <w:lang w:eastAsia="zh-CN"/>
              </w:rPr>
              <w:t>登录工程建设交易系统</w:t>
            </w:r>
            <w:r>
              <w:rPr>
                <w:rFonts w:hint="eastAsia"/>
                <w:color w:val="auto"/>
              </w:rPr>
              <w:t>，在“投标管理--参与项目”栏目页面，选择参与的项目名称，点击“</w:t>
            </w:r>
            <w:r>
              <w:rPr>
                <w:rFonts w:hint="eastAsia"/>
                <w:color w:val="auto"/>
                <w:lang w:eastAsia="zh-CN"/>
              </w:rPr>
              <w:t>我要提疑</w:t>
            </w:r>
            <w:r>
              <w:rPr>
                <w:rFonts w:hint="eastAsia"/>
                <w:color w:val="auto"/>
              </w:rPr>
              <w:t>”提出问题，保存后即可提交。所提交的资料以无记名形式提交，不得有任何可识别投标人单位及人员的标识。</w:t>
            </w:r>
            <w:r>
              <w:rPr>
                <w:rFonts w:hint="eastAsia"/>
                <w:color w:val="auto"/>
                <w:lang w:val="en-US" w:eastAsia="zh-CN"/>
              </w:rPr>
              <w:t>不接受其他方式提问。</w:t>
            </w:r>
          </w:p>
          <w:p w14:paraId="549E31D5">
            <w:pPr>
              <w:ind w:firstLine="420" w:firstLineChars="200"/>
              <w:rPr>
                <w:rFonts w:hint="eastAsia" w:ascii="宋体" w:hAnsi="宋体" w:eastAsia="宋体" w:cs="宋体"/>
                <w:color w:val="auto"/>
                <w:highlight w:val="none"/>
                <w:u w:val="single"/>
              </w:rPr>
            </w:pPr>
            <w:r>
              <w:rPr>
                <w:rFonts w:hint="eastAsia"/>
                <w:color w:val="auto"/>
              </w:rPr>
              <w:t>招标人（招标代理）收集相关问题，组织有关单位人员研究并形成答疑纪要（补遗书），在</w:t>
            </w:r>
            <w:r>
              <w:rPr>
                <w:rFonts w:hint="eastAsia"/>
                <w:b w:val="0"/>
                <w:bCs w:val="0"/>
                <w:color w:val="auto"/>
              </w:rPr>
              <w:t>广东省公共资源交易平台（中山市）“招标公告及资格预审”</w:t>
            </w:r>
            <w:r>
              <w:rPr>
                <w:rFonts w:hint="eastAsia"/>
                <w:color w:val="auto"/>
              </w:rPr>
              <w:t>栏目发布答疑纪要（补遗书）。各投标人自行在</w:t>
            </w:r>
            <w:r>
              <w:rPr>
                <w:rFonts w:hint="eastAsia"/>
                <w:b w:val="0"/>
                <w:bCs w:val="0"/>
                <w:color w:val="auto"/>
              </w:rPr>
              <w:t>广东省公共资源交易平台（中山市）“招标公告及资格预审”</w:t>
            </w:r>
            <w:r>
              <w:rPr>
                <w:rFonts w:hint="eastAsia"/>
                <w:color w:val="auto"/>
              </w:rPr>
              <w:t>栏目或工程建设交易系统下载答疑纪要（补遗书），招标人不再另行通知。投标人因自身原因未能获取答疑资料造成的后果，由投标人自行承担。发出答疑纪要（补遗书）的同时，招标人（招标代理）应把答疑纪要（补遗书）的扫描件上传</w:t>
            </w:r>
            <w:r>
              <w:rPr>
                <w:rFonts w:hint="eastAsia"/>
                <w:color w:val="auto"/>
                <w:lang w:val="en-US" w:eastAsia="zh-CN"/>
              </w:rPr>
              <w:t>工程建设交易系统</w:t>
            </w:r>
            <w:r>
              <w:rPr>
                <w:rFonts w:hint="eastAsia"/>
                <w:color w:val="auto"/>
              </w:rPr>
              <w:t>。</w:t>
            </w:r>
          </w:p>
        </w:tc>
      </w:tr>
      <w:tr w14:paraId="269414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1080" w:type="dxa"/>
            <w:tcBorders>
              <w:top w:val="single" w:color="auto" w:sz="4" w:space="0"/>
            </w:tcBorders>
            <w:noWrap w:val="0"/>
            <w:vAlign w:val="center"/>
          </w:tcPr>
          <w:p w14:paraId="5888AB3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w:t>
            </w:r>
          </w:p>
        </w:tc>
        <w:tc>
          <w:tcPr>
            <w:tcW w:w="2181" w:type="dxa"/>
            <w:tcBorders>
              <w:top w:val="single" w:color="auto" w:sz="4" w:space="0"/>
            </w:tcBorders>
            <w:noWrap w:val="0"/>
            <w:vAlign w:val="center"/>
          </w:tcPr>
          <w:p w14:paraId="24F4019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分包</w:t>
            </w:r>
          </w:p>
        </w:tc>
        <w:tc>
          <w:tcPr>
            <w:tcW w:w="6237" w:type="dxa"/>
            <w:tcBorders>
              <w:top w:val="single" w:color="auto" w:sz="4" w:space="0"/>
            </w:tcBorders>
            <w:noWrap w:val="0"/>
            <w:vAlign w:val="center"/>
          </w:tcPr>
          <w:p w14:paraId="224974DC">
            <w:pPr>
              <w:spacing w:line="360" w:lineRule="auto"/>
              <w:ind w:left="360"/>
              <w:rPr>
                <w:rFonts w:hint="eastAsia" w:ascii="宋体" w:hAnsi="宋体" w:eastAsia="宋体" w:cs="宋体"/>
                <w:color w:val="auto"/>
                <w:szCs w:val="21"/>
                <w:highlight w:val="none"/>
              </w:rPr>
            </w:pPr>
            <w:permStart w:id="70" w:edGrp="everyone"/>
            <w:r>
              <w:rPr>
                <w:rFonts w:hint="eastAsia" w:ascii="宋体" w:hAnsi="宋体" w:eastAsia="宋体" w:cs="宋体"/>
                <w:color w:val="auto"/>
                <w:szCs w:val="21"/>
                <w:highlight w:val="none"/>
              </w:rPr>
              <w:t>□</w:t>
            </w:r>
            <w:permEnd w:id="70"/>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不允许</w:t>
            </w:r>
          </w:p>
          <w:p w14:paraId="08621356">
            <w:pPr>
              <w:pageBreakBefore w:val="0"/>
              <w:kinsoku/>
              <w:wordWrap/>
              <w:overflowPunct/>
              <w:topLinePunct w:val="0"/>
              <w:bidi w:val="0"/>
              <w:spacing w:line="360" w:lineRule="auto"/>
              <w:ind w:left="360"/>
              <w:textAlignment w:val="auto"/>
              <w:rPr>
                <w:rFonts w:hint="eastAsia" w:ascii="宋体" w:hAnsi="宋体" w:eastAsia="宋体" w:cs="宋体"/>
                <w:color w:val="auto"/>
                <w:szCs w:val="21"/>
                <w:highlight w:val="none"/>
              </w:rPr>
            </w:pPr>
            <w:permStart w:id="71" w:edGrp="everyone"/>
            <w:r>
              <w:rPr>
                <w:rFonts w:hint="eastAsia" w:ascii="宋体" w:hAnsi="宋体" w:cs="宋体"/>
                <w:color w:val="auto"/>
                <w:szCs w:val="21"/>
                <w:highlight w:val="none"/>
                <w:lang w:eastAsia="zh-CN"/>
              </w:rPr>
              <w:t>☑</w:t>
            </w:r>
            <w:permEnd w:id="71"/>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允许</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分包内容要求</w:t>
            </w:r>
            <w:r>
              <w:rPr>
                <w:rFonts w:hint="eastAsia" w:ascii="宋体" w:hAnsi="宋体" w:eastAsia="宋体" w:cs="宋体"/>
                <w:color w:val="auto"/>
                <w:szCs w:val="21"/>
                <w:highlight w:val="none"/>
                <w:lang w:eastAsia="zh-CN"/>
              </w:rPr>
              <w:t>：</w:t>
            </w:r>
            <w:permStart w:id="72" w:edGrp="everyone"/>
            <w:r>
              <w:rPr>
                <w:rFonts w:hint="eastAsia" w:ascii="宋体" w:hAnsi="宋体" w:eastAsia="宋体" w:cs="宋体"/>
                <w:color w:val="auto"/>
                <w:szCs w:val="21"/>
                <w:highlight w:val="none"/>
                <w:u w:val="single"/>
                <w:lang w:eastAsia="zh-CN"/>
              </w:rPr>
              <w:t>中标项目的主体部分不允许分包，部分非主体、非关键性工作经</w:t>
            </w:r>
            <w:r>
              <w:rPr>
                <w:rFonts w:hint="eastAsia" w:ascii="宋体" w:hAnsi="宋体" w:cs="宋体"/>
                <w:color w:val="auto"/>
                <w:szCs w:val="21"/>
                <w:highlight w:val="none"/>
                <w:u w:val="single"/>
                <w:lang w:val="en-US" w:eastAsia="zh-CN"/>
              </w:rPr>
              <w:t>代建单位</w:t>
            </w:r>
            <w:r>
              <w:rPr>
                <w:rFonts w:hint="eastAsia" w:ascii="宋体" w:hAnsi="宋体" w:eastAsia="宋体" w:cs="宋体"/>
                <w:color w:val="auto"/>
                <w:szCs w:val="21"/>
                <w:highlight w:val="none"/>
                <w:u w:val="single"/>
                <w:lang w:eastAsia="zh-CN"/>
              </w:rPr>
              <w:t>同意，可分</w:t>
            </w:r>
            <w:r>
              <w:rPr>
                <w:rFonts w:hint="eastAsia" w:ascii="宋体" w:hAnsi="宋体" w:eastAsia="宋体" w:cs="宋体"/>
                <w:color w:val="auto"/>
                <w:szCs w:val="21"/>
                <w:highlight w:val="none"/>
                <w:u w:val="single"/>
                <w:lang w:eastAsia="zh-CN"/>
              </w:rPr>
              <w:t>包给有相应资质的企业，分包工程及其承包企业须在</w:t>
            </w:r>
            <w:r>
              <w:rPr>
                <w:rFonts w:hint="eastAsia" w:ascii="宋体" w:hAnsi="宋体" w:cs="宋体"/>
                <w:color w:val="auto"/>
                <w:szCs w:val="21"/>
                <w:highlight w:val="none"/>
                <w:u w:val="single"/>
                <w:lang w:val="en-US" w:eastAsia="zh-CN"/>
              </w:rPr>
              <w:t>代建单位</w:t>
            </w:r>
            <w:r>
              <w:rPr>
                <w:rFonts w:hint="eastAsia" w:ascii="宋体" w:hAnsi="宋体" w:eastAsia="宋体" w:cs="宋体"/>
                <w:color w:val="auto"/>
                <w:szCs w:val="21"/>
                <w:highlight w:val="none"/>
                <w:u w:val="single"/>
                <w:lang w:eastAsia="zh-CN"/>
              </w:rPr>
              <w:t>备案</w:t>
            </w:r>
            <w:r>
              <w:rPr>
                <w:rFonts w:hint="eastAsia" w:ascii="宋体" w:hAnsi="宋体" w:cs="宋体"/>
                <w:color w:val="auto"/>
                <w:szCs w:val="21"/>
                <w:highlight w:val="none"/>
                <w:u w:val="single"/>
                <w:lang w:eastAsia="zh-CN"/>
              </w:rPr>
              <w:t>。</w:t>
            </w:r>
            <w:permEnd w:id="72"/>
          </w:p>
          <w:p w14:paraId="5134D95D">
            <w:pPr>
              <w:pageBreakBefore w:val="0"/>
              <w:kinsoku/>
              <w:wordWrap/>
              <w:overflowPunct/>
              <w:topLinePunct w:val="0"/>
              <w:bidi w:val="0"/>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分包金额要求</w:t>
            </w:r>
            <w:r>
              <w:rPr>
                <w:rFonts w:hint="eastAsia" w:ascii="宋体" w:hAnsi="宋体" w:eastAsia="宋体" w:cs="宋体"/>
                <w:color w:val="auto"/>
                <w:szCs w:val="21"/>
                <w:highlight w:val="none"/>
                <w:lang w:eastAsia="zh-CN"/>
              </w:rPr>
              <w:t>：</w:t>
            </w:r>
            <w:permStart w:id="73"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permEnd w:id="73"/>
          </w:p>
          <w:p w14:paraId="762762C0">
            <w:pPr>
              <w:spacing w:line="360" w:lineRule="auto"/>
              <w:rPr>
                <w:rFonts w:hint="eastAsia" w:ascii="宋体" w:hAnsi="宋体" w:eastAsia="宋体" w:cs="宋体"/>
                <w:color w:val="auto"/>
                <w:highlight w:val="none"/>
                <w:u w:val="single"/>
                <w:lang w:eastAsia="zh-CN"/>
              </w:rPr>
            </w:pPr>
            <w:r>
              <w:rPr>
                <w:rFonts w:hint="eastAsia" w:ascii="宋体" w:hAnsi="宋体" w:eastAsia="宋体" w:cs="宋体"/>
                <w:color w:val="auto"/>
                <w:szCs w:val="21"/>
                <w:highlight w:val="none"/>
              </w:rPr>
              <w:t>接受分包的第三人资质要求</w:t>
            </w:r>
            <w:r>
              <w:rPr>
                <w:rFonts w:hint="eastAsia" w:ascii="宋体" w:hAnsi="宋体" w:eastAsia="宋体" w:cs="宋体"/>
                <w:color w:val="auto"/>
                <w:szCs w:val="21"/>
                <w:highlight w:val="none"/>
                <w:lang w:eastAsia="zh-CN"/>
              </w:rPr>
              <w:t>：</w:t>
            </w:r>
            <w:permStart w:id="74" w:edGrp="everyone"/>
            <w:r>
              <w:rPr>
                <w:rFonts w:hint="eastAsia" w:ascii="宋体" w:hAnsi="宋体" w:eastAsia="宋体" w:cs="宋体"/>
                <w:color w:val="auto"/>
                <w:szCs w:val="21"/>
                <w:highlight w:val="none"/>
                <w:u w:val="single"/>
              </w:rPr>
              <w:t xml:space="preserve"> </w:t>
            </w:r>
            <w:r>
              <w:rPr>
                <w:rFonts w:hint="eastAsia" w:ascii="宋体" w:hAnsi="宋体"/>
                <w:color w:val="auto"/>
                <w:highlight w:val="none"/>
                <w:u w:val="single"/>
              </w:rPr>
              <w:t>按《</w:t>
            </w:r>
            <w:r>
              <w:rPr>
                <w:rFonts w:hint="eastAsia" w:ascii="宋体" w:hAnsi="宋体"/>
                <w:color w:val="auto"/>
                <w:highlight w:val="none"/>
                <w:u w:val="single"/>
                <w:lang w:eastAsia="zh-CN"/>
              </w:rPr>
              <w:t>建筑业企业资质标准</w:t>
            </w:r>
            <w:r>
              <w:rPr>
                <w:rFonts w:hint="eastAsia" w:ascii="宋体" w:hAnsi="宋体"/>
                <w:color w:val="auto"/>
                <w:highlight w:val="none"/>
                <w:u w:val="single"/>
              </w:rPr>
              <w:t>》要求具备分包相应专业</w:t>
            </w:r>
            <w:r>
              <w:rPr>
                <w:rFonts w:hint="eastAsia" w:ascii="宋体" w:hAnsi="宋体"/>
                <w:color w:val="auto"/>
                <w:highlight w:val="none"/>
                <w:u w:val="single"/>
                <w:lang w:eastAsia="zh-CN"/>
              </w:rPr>
              <w:t>的</w:t>
            </w:r>
            <w:r>
              <w:rPr>
                <w:rFonts w:hint="eastAsia" w:ascii="宋体" w:hAnsi="宋体"/>
                <w:color w:val="auto"/>
                <w:highlight w:val="none"/>
                <w:u w:val="single"/>
              </w:rPr>
              <w:t>资质。</w:t>
            </w:r>
            <w:r>
              <w:rPr>
                <w:rFonts w:hint="eastAsia" w:ascii="宋体" w:hAnsi="宋体" w:eastAsia="宋体" w:cs="宋体"/>
                <w:color w:val="auto"/>
                <w:szCs w:val="21"/>
                <w:highlight w:val="none"/>
                <w:u w:val="single"/>
              </w:rPr>
              <w:t xml:space="preserve"> </w:t>
            </w:r>
            <w:permEnd w:id="74"/>
          </w:p>
        </w:tc>
      </w:tr>
      <w:tr w14:paraId="5B40FC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080" w:type="dxa"/>
            <w:tcBorders>
              <w:top w:val="single" w:color="auto" w:sz="4" w:space="0"/>
            </w:tcBorders>
            <w:noWrap w:val="0"/>
            <w:vAlign w:val="center"/>
          </w:tcPr>
          <w:p w14:paraId="588DE3C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w:t>
            </w:r>
          </w:p>
        </w:tc>
        <w:tc>
          <w:tcPr>
            <w:tcW w:w="2181" w:type="dxa"/>
            <w:tcBorders>
              <w:top w:val="single" w:color="auto" w:sz="4" w:space="0"/>
            </w:tcBorders>
            <w:noWrap w:val="0"/>
            <w:vAlign w:val="center"/>
          </w:tcPr>
          <w:p w14:paraId="586E5ED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w:t>
            </w:r>
          </w:p>
        </w:tc>
        <w:tc>
          <w:tcPr>
            <w:tcW w:w="6237" w:type="dxa"/>
            <w:tcBorders>
              <w:top w:val="single" w:color="auto" w:sz="4" w:space="0"/>
            </w:tcBorders>
            <w:noWrap w:val="0"/>
            <w:vAlign w:val="center"/>
          </w:tcPr>
          <w:p w14:paraId="17FAF074">
            <w:pPr>
              <w:spacing w:line="360" w:lineRule="auto"/>
              <w:jc w:val="lef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rPr>
              <w:t>不允许</w:t>
            </w:r>
          </w:p>
        </w:tc>
      </w:tr>
      <w:tr w14:paraId="0EEBBB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1080" w:type="dxa"/>
            <w:tcBorders>
              <w:top w:val="single" w:color="auto" w:sz="4" w:space="0"/>
            </w:tcBorders>
            <w:noWrap w:val="0"/>
            <w:vAlign w:val="center"/>
          </w:tcPr>
          <w:p w14:paraId="760596C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p>
        </w:tc>
        <w:tc>
          <w:tcPr>
            <w:tcW w:w="2181" w:type="dxa"/>
            <w:tcBorders>
              <w:top w:val="single" w:color="auto" w:sz="4" w:space="0"/>
            </w:tcBorders>
            <w:noWrap w:val="0"/>
            <w:vAlign w:val="center"/>
          </w:tcPr>
          <w:p w14:paraId="4E34F05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构成招标文件的其他材料</w:t>
            </w:r>
          </w:p>
        </w:tc>
        <w:tc>
          <w:tcPr>
            <w:tcW w:w="6237" w:type="dxa"/>
            <w:tcBorders>
              <w:top w:val="single" w:color="auto" w:sz="4" w:space="0"/>
            </w:tcBorders>
            <w:noWrap w:val="0"/>
            <w:vAlign w:val="center"/>
          </w:tcPr>
          <w:p w14:paraId="2295E83F">
            <w:pPr>
              <w:spacing w:line="360" w:lineRule="auto"/>
              <w:rPr>
                <w:rFonts w:hint="eastAsia" w:ascii="宋体" w:hAnsi="宋体" w:eastAsia="宋体" w:cs="宋体"/>
                <w:color w:val="auto"/>
                <w:highlight w:val="none"/>
                <w:u w:val="single"/>
              </w:rPr>
            </w:pPr>
            <w:r>
              <w:rPr>
                <w:rFonts w:hint="eastAsia" w:ascii="宋体" w:hAnsi="宋体" w:eastAsia="宋体" w:cs="宋体"/>
                <w:color w:val="auto"/>
                <w:szCs w:val="21"/>
                <w:highlight w:val="none"/>
              </w:rPr>
              <w:t>施工设计图、工程量清单（</w:t>
            </w:r>
            <w:r>
              <w:rPr>
                <w:rFonts w:hint="eastAsia" w:ascii="宋体" w:hAnsi="宋体" w:cs="宋体"/>
                <w:color w:val="auto"/>
                <w:szCs w:val="21"/>
                <w:highlight w:val="none"/>
                <w:lang w:eastAsia="zh-CN"/>
              </w:rPr>
              <w:t>最高投标限价</w:t>
            </w:r>
            <w:r>
              <w:rPr>
                <w:rFonts w:hint="eastAsia" w:ascii="宋体" w:hAnsi="宋体" w:eastAsia="宋体" w:cs="宋体"/>
                <w:color w:val="auto"/>
                <w:szCs w:val="21"/>
                <w:highlight w:val="none"/>
              </w:rPr>
              <w:t>）、招标答疑</w:t>
            </w:r>
            <w:r>
              <w:rPr>
                <w:rFonts w:hint="eastAsia" w:ascii="宋体" w:hAnsi="宋体" w:eastAsia="宋体" w:cs="宋体"/>
                <w:color w:val="auto"/>
                <w:szCs w:val="21"/>
                <w:highlight w:val="none"/>
                <w:lang w:eastAsia="zh-CN"/>
              </w:rPr>
              <w:t>、澄清</w:t>
            </w:r>
            <w:r>
              <w:rPr>
                <w:rFonts w:hint="eastAsia" w:ascii="宋体" w:hAnsi="宋体" w:eastAsia="宋体" w:cs="宋体"/>
                <w:color w:val="auto"/>
                <w:szCs w:val="21"/>
                <w:highlight w:val="none"/>
              </w:rPr>
              <w:t>文件等。</w:t>
            </w:r>
          </w:p>
        </w:tc>
      </w:tr>
      <w:tr w14:paraId="0CC92A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1080" w:type="dxa"/>
            <w:tcBorders>
              <w:top w:val="single" w:color="auto" w:sz="4" w:space="0"/>
            </w:tcBorders>
            <w:noWrap w:val="0"/>
            <w:vAlign w:val="center"/>
          </w:tcPr>
          <w:p w14:paraId="42DA9ED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2.2</w:t>
            </w:r>
          </w:p>
        </w:tc>
        <w:tc>
          <w:tcPr>
            <w:tcW w:w="2181" w:type="dxa"/>
            <w:tcBorders>
              <w:top w:val="single" w:color="auto" w:sz="4" w:space="0"/>
            </w:tcBorders>
            <w:noWrap w:val="0"/>
            <w:vAlign w:val="center"/>
          </w:tcPr>
          <w:p w14:paraId="4A3F8E7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招标人网上澄清的截止时间</w:t>
            </w:r>
          </w:p>
        </w:tc>
        <w:tc>
          <w:tcPr>
            <w:tcW w:w="6237" w:type="dxa"/>
            <w:tcBorders>
              <w:top w:val="single" w:color="auto" w:sz="4" w:space="0"/>
            </w:tcBorders>
            <w:noWrap w:val="0"/>
            <w:vAlign w:val="center"/>
          </w:tcPr>
          <w:p w14:paraId="069EB5F7">
            <w:pPr>
              <w:widowControl/>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具体时间</w:t>
            </w:r>
            <w:r>
              <w:rPr>
                <w:rFonts w:hint="eastAsia" w:ascii="宋体" w:hAnsi="宋体" w:eastAsia="宋体" w:cs="宋体"/>
                <w:color w:val="auto"/>
                <w:szCs w:val="21"/>
                <w:highlight w:val="none"/>
                <w:lang w:eastAsia="zh-CN"/>
              </w:rPr>
              <w:t>以</w:t>
            </w:r>
            <w:r>
              <w:rPr>
                <w:rFonts w:hint="eastAsia" w:ascii="宋体" w:hAnsi="宋体" w:eastAsia="宋体" w:cs="宋体"/>
                <w:color w:val="auto"/>
                <w:szCs w:val="21"/>
                <w:highlight w:val="none"/>
              </w:rPr>
              <w:t>工程建设交易系统上的</w:t>
            </w:r>
            <w:r>
              <w:rPr>
                <w:rFonts w:hint="eastAsia" w:ascii="宋体" w:hAnsi="宋体" w:eastAsia="宋体" w:cs="宋体"/>
                <w:color w:val="auto"/>
                <w:szCs w:val="21"/>
                <w:highlight w:val="none"/>
                <w:lang w:eastAsia="zh-CN"/>
              </w:rPr>
              <w:t>日程</w:t>
            </w:r>
            <w:r>
              <w:rPr>
                <w:rFonts w:hint="eastAsia" w:ascii="宋体" w:hAnsi="宋体" w:eastAsia="宋体" w:cs="宋体"/>
                <w:color w:val="auto"/>
                <w:szCs w:val="21"/>
                <w:highlight w:val="none"/>
              </w:rPr>
              <w:t>安排为准。</w:t>
            </w:r>
          </w:p>
          <w:p w14:paraId="25EE5534">
            <w:pPr>
              <w:spacing w:line="360" w:lineRule="auto"/>
              <w:rPr>
                <w:rFonts w:hint="eastAsia" w:ascii="宋体" w:hAnsi="宋体" w:eastAsia="宋体" w:cs="宋体"/>
                <w:color w:val="auto"/>
                <w:highlight w:val="none"/>
                <w:u w:val="single"/>
                <w:lang w:eastAsia="zh-CN"/>
              </w:rPr>
            </w:pPr>
            <w:r>
              <w:rPr>
                <w:rFonts w:hint="eastAsia" w:ascii="宋体" w:hAnsi="宋体"/>
                <w:color w:val="auto"/>
                <w:szCs w:val="21"/>
                <w:highlight w:val="none"/>
              </w:rPr>
              <w:t>【</w:t>
            </w:r>
            <w:r>
              <w:rPr>
                <w:rFonts w:hint="eastAsia" w:ascii="宋体" w:hAnsi="宋体" w:eastAsia="宋体" w:cs="宋体"/>
                <w:color w:val="auto"/>
                <w:szCs w:val="21"/>
                <w:highlight w:val="none"/>
              </w:rPr>
              <w:t>对投标人编制标书时间造成影响的答疑纪要或补遗书，招标人需于投标截止前15日向投标人发出。</w:t>
            </w:r>
            <w:r>
              <w:rPr>
                <w:rFonts w:hint="eastAsia" w:ascii="宋体" w:hAnsi="宋体"/>
                <w:color w:val="auto"/>
                <w:szCs w:val="21"/>
                <w:highlight w:val="none"/>
              </w:rPr>
              <w:t>】</w:t>
            </w:r>
          </w:p>
        </w:tc>
      </w:tr>
      <w:tr w14:paraId="7A312B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1080" w:type="dxa"/>
            <w:tcBorders>
              <w:top w:val="single" w:color="auto" w:sz="4" w:space="0"/>
            </w:tcBorders>
            <w:noWrap w:val="0"/>
            <w:vAlign w:val="center"/>
          </w:tcPr>
          <w:p w14:paraId="7BEF91CE">
            <w:pPr>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3.1</w:t>
            </w:r>
          </w:p>
        </w:tc>
        <w:tc>
          <w:tcPr>
            <w:tcW w:w="2181" w:type="dxa"/>
            <w:tcBorders>
              <w:top w:val="single" w:color="auto" w:sz="4" w:space="0"/>
            </w:tcBorders>
            <w:noWrap w:val="0"/>
            <w:vAlign w:val="center"/>
          </w:tcPr>
          <w:p w14:paraId="41E600B1">
            <w:pPr>
              <w:spacing w:line="360" w:lineRule="auto"/>
              <w:jc w:val="cente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投标文件的组成</w:t>
            </w:r>
          </w:p>
        </w:tc>
        <w:tc>
          <w:tcPr>
            <w:tcW w:w="6237" w:type="dxa"/>
            <w:tcBorders>
              <w:top w:val="single" w:color="auto" w:sz="4" w:space="0"/>
            </w:tcBorders>
            <w:noWrap w:val="0"/>
            <w:vAlign w:val="center"/>
          </w:tcPr>
          <w:p w14:paraId="5C5C90AB">
            <w:pPr>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）资格标函</w:t>
            </w:r>
          </w:p>
          <w:p w14:paraId="1507C285">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（2）经济标函</w:t>
            </w:r>
          </w:p>
          <w:p w14:paraId="7C5E7674">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（3）技术标函</w:t>
            </w:r>
          </w:p>
          <w:p w14:paraId="09EDEA31">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（4）资信标函</w:t>
            </w:r>
          </w:p>
        </w:tc>
      </w:tr>
      <w:tr w14:paraId="4A77AB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80" w:type="dxa"/>
            <w:tcBorders>
              <w:top w:val="single" w:color="auto" w:sz="4" w:space="0"/>
            </w:tcBorders>
            <w:noWrap w:val="0"/>
            <w:vAlign w:val="center"/>
          </w:tcPr>
          <w:p w14:paraId="574CB95F">
            <w:pPr>
              <w:pageBreakBefore w:val="0"/>
              <w:kinsoku/>
              <w:wordWrap/>
              <w:overflowPunct/>
              <w:topLinePunct w:val="0"/>
              <w:bidi w:val="0"/>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3.2.3</w:t>
            </w:r>
          </w:p>
        </w:tc>
        <w:tc>
          <w:tcPr>
            <w:tcW w:w="2181" w:type="dxa"/>
            <w:tcBorders>
              <w:top w:val="single" w:color="auto" w:sz="4" w:space="0"/>
            </w:tcBorders>
            <w:noWrap w:val="0"/>
            <w:vAlign w:val="center"/>
          </w:tcPr>
          <w:p w14:paraId="6C193D2B">
            <w:pPr>
              <w:pageBreakBefore w:val="0"/>
              <w:widowControl/>
              <w:kinsoku/>
              <w:wordWrap/>
              <w:overflowPunct/>
              <w:topLinePunct w:val="0"/>
              <w:bidi w:val="0"/>
              <w:spacing w:line="360" w:lineRule="auto"/>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i w:val="0"/>
                <w:color w:val="auto"/>
                <w:kern w:val="0"/>
                <w:sz w:val="20"/>
                <w:szCs w:val="20"/>
                <w:highlight w:val="none"/>
                <w:u w:val="none"/>
                <w:lang w:val="en-US" w:eastAsia="zh-CN" w:bidi="ar"/>
              </w:rPr>
              <w:t>最高投标限价</w:t>
            </w:r>
            <w:r>
              <w:rPr>
                <w:rFonts w:hint="eastAsia" w:ascii="宋体" w:hAnsi="宋体" w:eastAsia="宋体" w:cs="宋体"/>
                <w:color w:val="auto"/>
                <w:highlight w:val="none"/>
                <w:u w:val="none"/>
                <w:lang w:val="en-US" w:eastAsia="zh-CN"/>
              </w:rPr>
              <w:t>及</w:t>
            </w:r>
            <w:r>
              <w:rPr>
                <w:rFonts w:hint="eastAsia" w:ascii="宋体" w:hAnsi="宋体"/>
                <w:color w:val="auto"/>
                <w:szCs w:val="21"/>
                <w:highlight w:val="none"/>
              </w:rPr>
              <w:t>安全生产措施费</w:t>
            </w:r>
          </w:p>
        </w:tc>
        <w:tc>
          <w:tcPr>
            <w:tcW w:w="6237" w:type="dxa"/>
            <w:tcBorders>
              <w:top w:val="single" w:color="auto" w:sz="4" w:space="0"/>
            </w:tcBorders>
            <w:noWrap w:val="0"/>
            <w:vAlign w:val="center"/>
          </w:tcPr>
          <w:p w14:paraId="55DB3BE3">
            <w:pPr>
              <w:pageBreakBefore w:val="0"/>
              <w:kinsoku/>
              <w:wordWrap/>
              <w:overflowPunct/>
              <w:topLinePunct w:val="0"/>
              <w:bidi w:val="0"/>
              <w:spacing w:line="360" w:lineRule="auto"/>
              <w:ind w:firstLine="400" w:firstLineChars="200"/>
              <w:textAlignment w:val="auto"/>
              <w:rPr>
                <w:rFonts w:hint="eastAsia" w:ascii="宋体" w:hAnsi="宋体" w:eastAsia="宋体" w:cs="宋体"/>
                <w:color w:val="auto"/>
                <w:szCs w:val="21"/>
                <w:highlight w:val="none"/>
              </w:rPr>
            </w:pPr>
            <w:r>
              <w:rPr>
                <w:rFonts w:hint="eastAsia" w:ascii="宋体" w:hAnsi="宋体" w:eastAsia="宋体" w:cs="宋体"/>
                <w:b w:val="0"/>
                <w:bCs w:val="0"/>
                <w:i w:val="0"/>
                <w:color w:val="auto"/>
                <w:kern w:val="0"/>
                <w:sz w:val="20"/>
                <w:szCs w:val="20"/>
                <w:highlight w:val="none"/>
                <w:u w:val="none"/>
                <w:lang w:val="en-US" w:eastAsia="zh-CN" w:bidi="ar"/>
              </w:rPr>
              <w:t>最高投标限价</w:t>
            </w:r>
            <w:r>
              <w:rPr>
                <w:rFonts w:hint="eastAsia" w:ascii="宋体" w:hAnsi="宋体" w:cs="宋体"/>
                <w:b w:val="0"/>
                <w:bCs w:val="0"/>
                <w:i w:val="0"/>
                <w:color w:val="auto"/>
                <w:kern w:val="0"/>
                <w:sz w:val="20"/>
                <w:szCs w:val="20"/>
                <w:highlight w:val="none"/>
                <w:u w:val="none"/>
                <w:lang w:val="en-US" w:eastAsia="zh-CN" w:bidi="ar"/>
              </w:rPr>
              <w:t>为</w:t>
            </w:r>
            <w:r>
              <w:rPr>
                <w:rFonts w:hint="eastAsia" w:ascii="宋体" w:hAnsi="宋体" w:eastAsia="宋体" w:cs="宋体"/>
                <w:color w:val="auto"/>
                <w:szCs w:val="21"/>
                <w:highlight w:val="none"/>
              </w:rPr>
              <w:t>：</w:t>
            </w:r>
            <w:permStart w:id="75" w:edGrp="everyone"/>
            <w:r>
              <w:rPr>
                <w:rFonts w:hint="eastAsia" w:ascii="宋体" w:hAnsi="宋体" w:eastAsia="宋体" w:cs="宋体"/>
                <w:color w:val="auto"/>
                <w:szCs w:val="21"/>
                <w:highlight w:val="none"/>
                <w:u w:val="single"/>
              </w:rPr>
              <w:t xml:space="preserve"> 26996874.75</w:t>
            </w:r>
            <w:r>
              <w:rPr>
                <w:rFonts w:hint="eastAsia" w:ascii="宋体" w:hAnsi="宋体" w:eastAsia="宋体" w:cs="宋体"/>
                <w:color w:val="auto"/>
                <w:szCs w:val="21"/>
                <w:highlight w:val="none"/>
                <w:u w:val="single"/>
                <w:lang w:val="en-US" w:eastAsia="zh-CN"/>
              </w:rPr>
              <w:t xml:space="preserve"> </w:t>
            </w:r>
            <w:permEnd w:id="75"/>
            <w:r>
              <w:rPr>
                <w:rFonts w:hint="eastAsia" w:ascii="宋体" w:hAnsi="宋体" w:eastAsia="宋体" w:cs="宋体"/>
                <w:color w:val="auto"/>
                <w:szCs w:val="21"/>
                <w:highlight w:val="none"/>
                <w:u w:val="none"/>
                <w:shd w:val="clear" w:color="auto" w:fill="auto"/>
                <w:lang w:val="en-US" w:eastAsia="zh-CN"/>
              </w:rPr>
              <w:t>元</w:t>
            </w:r>
            <w:r>
              <w:rPr>
                <w:rFonts w:hint="eastAsia" w:ascii="宋体" w:hAnsi="宋体" w:eastAsia="宋体" w:cs="宋体"/>
                <w:color w:val="auto"/>
                <w:szCs w:val="21"/>
                <w:highlight w:val="none"/>
                <w:u w:val="none"/>
                <w:shd w:val="clear" w:color="auto" w:fill="auto"/>
                <w:lang w:eastAsia="zh-CN"/>
              </w:rPr>
              <w:t>（</w:t>
            </w:r>
            <w:r>
              <w:rPr>
                <w:rFonts w:hint="eastAsia" w:ascii="宋体" w:hAnsi="宋体" w:eastAsia="宋体" w:cs="宋体"/>
                <w:color w:val="auto"/>
                <w:szCs w:val="21"/>
                <w:highlight w:val="none"/>
                <w:u w:val="none"/>
                <w:shd w:val="clear" w:color="auto" w:fill="auto"/>
                <w:lang w:val="en-US" w:eastAsia="zh-CN"/>
              </w:rPr>
              <w:t>四舍五入，保留两位小数</w:t>
            </w:r>
            <w:r>
              <w:rPr>
                <w:rFonts w:hint="eastAsia" w:ascii="宋体" w:hAnsi="宋体" w:eastAsia="宋体" w:cs="宋体"/>
                <w:color w:val="auto"/>
                <w:szCs w:val="21"/>
                <w:highlight w:val="none"/>
                <w:u w:val="none"/>
                <w:shd w:val="clear" w:color="auto" w:fill="auto"/>
                <w:lang w:eastAsia="zh-CN"/>
              </w:rPr>
              <w:t>）。</w:t>
            </w:r>
          </w:p>
          <w:p w14:paraId="6FDBD6E6">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2"/>
                <w:sz w:val="21"/>
                <w:szCs w:val="24"/>
                <w:highlight w:val="none"/>
                <w:u w:val="single"/>
                <w:lang w:val="en-US" w:eastAsia="zh-CN" w:bidi="ar-SA"/>
              </w:rPr>
            </w:pPr>
            <w:r>
              <w:rPr>
                <w:rFonts w:hint="eastAsia" w:ascii="宋体" w:hAnsi="宋体" w:eastAsia="宋体" w:cs="宋体"/>
                <w:color w:val="auto"/>
                <w:szCs w:val="21"/>
                <w:highlight w:val="none"/>
              </w:rPr>
              <w:t>本工程</w:t>
            </w:r>
            <w:r>
              <w:rPr>
                <w:rFonts w:hint="eastAsia" w:ascii="宋体" w:hAnsi="宋体" w:cs="宋体"/>
                <w:color w:val="auto"/>
                <w:szCs w:val="21"/>
                <w:highlight w:val="none"/>
                <w:lang w:eastAsia="zh-CN"/>
              </w:rPr>
              <w:t>的</w:t>
            </w:r>
            <w:r>
              <w:rPr>
                <w:rFonts w:hint="eastAsia" w:ascii="宋体" w:hAnsi="宋体"/>
                <w:color w:val="auto"/>
                <w:szCs w:val="21"/>
                <w:highlight w:val="none"/>
              </w:rPr>
              <w:t>安全生产措施费</w:t>
            </w:r>
            <w:r>
              <w:rPr>
                <w:rFonts w:hint="eastAsia" w:ascii="宋体" w:hAnsi="宋体" w:eastAsia="宋体" w:cs="宋体"/>
                <w:color w:val="auto"/>
                <w:szCs w:val="21"/>
                <w:highlight w:val="none"/>
              </w:rPr>
              <w:t>为：</w:t>
            </w:r>
            <w:permStart w:id="76" w:edGrp="everyone"/>
            <w:r>
              <w:rPr>
                <w:rFonts w:hint="eastAsia" w:ascii="宋体" w:hAnsi="宋体" w:eastAsia="宋体" w:cs="宋体"/>
                <w:color w:val="auto"/>
                <w:szCs w:val="21"/>
                <w:highlight w:val="none"/>
                <w:u w:val="single"/>
              </w:rPr>
              <w:t xml:space="preserve"> </w:t>
            </w:r>
            <w:r>
              <w:rPr>
                <w:rFonts w:hint="eastAsia" w:ascii="宋体" w:hAnsi="宋体" w:eastAsia="宋体" w:cs="宋体"/>
                <w:color w:val="FF0000"/>
                <w:szCs w:val="21"/>
                <w:highlight w:val="none"/>
                <w:u w:val="single"/>
                <w:lang w:val="en-US" w:eastAsia="zh-CN"/>
              </w:rPr>
              <w:t xml:space="preserve"> </w:t>
            </w:r>
            <w:r>
              <w:rPr>
                <w:rFonts w:hint="eastAsia" w:ascii="宋体" w:hAnsi="宋体" w:cs="宋体"/>
                <w:color w:val="auto"/>
                <w:szCs w:val="21"/>
                <w:highlight w:val="none"/>
                <w:u w:val="single"/>
                <w:lang w:val="en-US" w:eastAsia="zh-CN"/>
              </w:rPr>
              <w:t>738173.82</w:t>
            </w:r>
            <w:r>
              <w:rPr>
                <w:rFonts w:hint="eastAsia" w:ascii="宋体" w:hAnsi="宋体" w:eastAsia="宋体" w:cs="宋体"/>
                <w:color w:val="auto"/>
                <w:szCs w:val="21"/>
                <w:highlight w:val="none"/>
                <w:u w:val="single"/>
              </w:rPr>
              <w:t xml:space="preserve"> </w:t>
            </w:r>
            <w:permEnd w:id="76"/>
            <w:r>
              <w:rPr>
                <w:rFonts w:hint="eastAsia" w:ascii="宋体" w:hAnsi="宋体" w:eastAsia="宋体" w:cs="宋体"/>
                <w:color w:val="auto"/>
                <w:szCs w:val="21"/>
                <w:highlight w:val="none"/>
                <w:lang w:val="en-US" w:eastAsia="zh-CN"/>
              </w:rPr>
              <w:t>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不含税），投标报价超出</w:t>
            </w:r>
            <w:r>
              <w:rPr>
                <w:rFonts w:hint="eastAsia" w:ascii="宋体" w:hAnsi="宋体" w:cs="宋体"/>
                <w:color w:val="auto"/>
                <w:szCs w:val="21"/>
                <w:highlight w:val="none"/>
                <w:lang w:eastAsia="zh-CN"/>
              </w:rPr>
              <w:t>最高投标限价</w:t>
            </w:r>
            <w:r>
              <w:rPr>
                <w:rFonts w:hint="eastAsia" w:ascii="宋体" w:hAnsi="宋体" w:eastAsia="宋体" w:cs="宋体"/>
                <w:color w:val="auto"/>
                <w:szCs w:val="21"/>
                <w:highlight w:val="none"/>
              </w:rPr>
              <w:t>的或</w:t>
            </w:r>
            <w:r>
              <w:rPr>
                <w:rFonts w:hint="eastAsia" w:ascii="宋体" w:hAnsi="宋体"/>
                <w:color w:val="auto"/>
                <w:szCs w:val="21"/>
                <w:highlight w:val="none"/>
              </w:rPr>
              <w:t>安全生产措施费</w:t>
            </w:r>
            <w:r>
              <w:rPr>
                <w:rFonts w:hint="eastAsia" w:ascii="宋体" w:hAnsi="宋体" w:eastAsia="宋体" w:cs="宋体"/>
                <w:color w:val="auto"/>
                <w:szCs w:val="21"/>
                <w:highlight w:val="none"/>
              </w:rPr>
              <w:t>小于本工程</w:t>
            </w:r>
            <w:r>
              <w:rPr>
                <w:rFonts w:hint="eastAsia" w:ascii="宋体" w:hAnsi="宋体" w:cs="宋体"/>
                <w:color w:val="auto"/>
                <w:szCs w:val="21"/>
                <w:highlight w:val="none"/>
              </w:rPr>
              <w:t>最高投标限价</w:t>
            </w:r>
            <w:r>
              <w:rPr>
                <w:rFonts w:hint="eastAsia" w:ascii="宋体" w:hAnsi="宋体" w:eastAsia="宋体" w:cs="宋体"/>
                <w:color w:val="auto"/>
                <w:szCs w:val="21"/>
                <w:highlight w:val="none"/>
              </w:rPr>
              <w:t>中</w:t>
            </w:r>
            <w:r>
              <w:rPr>
                <w:rFonts w:hint="eastAsia" w:ascii="宋体" w:hAnsi="宋体"/>
                <w:color w:val="auto"/>
                <w:szCs w:val="21"/>
                <w:highlight w:val="none"/>
              </w:rPr>
              <w:t>安全生产措施费</w:t>
            </w:r>
            <w:r>
              <w:rPr>
                <w:rFonts w:hint="eastAsia" w:ascii="宋体" w:hAnsi="宋体" w:eastAsia="宋体" w:cs="宋体"/>
                <w:color w:val="auto"/>
                <w:szCs w:val="21"/>
                <w:highlight w:val="none"/>
              </w:rPr>
              <w:t>的作废标处理。</w:t>
            </w:r>
          </w:p>
        </w:tc>
      </w:tr>
      <w:tr w14:paraId="3D1B3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1080" w:type="dxa"/>
            <w:tcBorders>
              <w:top w:val="single" w:color="auto" w:sz="4" w:space="0"/>
            </w:tcBorders>
            <w:noWrap w:val="0"/>
            <w:vAlign w:val="center"/>
          </w:tcPr>
          <w:p w14:paraId="57FFDD9F">
            <w:pPr>
              <w:pageBreakBefore w:val="0"/>
              <w:kinsoku/>
              <w:wordWrap/>
              <w:overflowPunct/>
              <w:topLinePunct w:val="0"/>
              <w:bidi w:val="0"/>
              <w:spacing w:line="360" w:lineRule="auto"/>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3.2.4</w:t>
            </w:r>
          </w:p>
        </w:tc>
        <w:tc>
          <w:tcPr>
            <w:tcW w:w="2181" w:type="dxa"/>
            <w:tcBorders>
              <w:top w:val="single" w:color="auto" w:sz="4" w:space="0"/>
            </w:tcBorders>
            <w:noWrap w:val="0"/>
            <w:vAlign w:val="center"/>
          </w:tcPr>
          <w:p w14:paraId="663FD249">
            <w:pPr>
              <w:pageBreakBefore w:val="0"/>
              <w:kinsoku/>
              <w:wordWrap/>
              <w:overflowPunct/>
              <w:topLinePunct w:val="0"/>
              <w:bidi w:val="0"/>
              <w:spacing w:line="360" w:lineRule="auto"/>
              <w:jc w:val="center"/>
              <w:textAlignment w:val="auto"/>
              <w:rPr>
                <w:rFonts w:hint="eastAsia" w:ascii="宋体" w:hAnsi="宋体" w:eastAsia="宋体" w:cs="宋体"/>
                <w:color w:val="auto"/>
                <w:highlight w:val="none"/>
                <w:u w:val="none"/>
                <w:lang w:val="en-US" w:eastAsia="zh-CN"/>
              </w:rPr>
            </w:pPr>
            <w:r>
              <w:rPr>
                <w:rFonts w:hint="eastAsia" w:ascii="宋体" w:hAnsi="宋体" w:eastAsia="宋体" w:cs="宋体"/>
                <w:b w:val="0"/>
                <w:bCs w:val="0"/>
                <w:color w:val="auto"/>
                <w:szCs w:val="24"/>
                <w:highlight w:val="none"/>
              </w:rPr>
              <w:t>投标报价警戒值</w:t>
            </w:r>
          </w:p>
        </w:tc>
        <w:tc>
          <w:tcPr>
            <w:tcW w:w="6237" w:type="dxa"/>
            <w:tcBorders>
              <w:top w:val="single" w:color="auto" w:sz="4" w:space="0"/>
            </w:tcBorders>
            <w:noWrap w:val="0"/>
            <w:vAlign w:val="center"/>
          </w:tcPr>
          <w:p w14:paraId="410C8AF0">
            <w:pPr>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投标报价警戒值：</w:t>
            </w:r>
            <w:permStart w:id="77" w:edGrp="everyone"/>
            <w:r>
              <w:rPr>
                <w:rFonts w:hint="eastAsia" w:ascii="宋体" w:hAnsi="宋体" w:eastAsia="宋体" w:cs="宋体"/>
                <w:color w:val="auto"/>
                <w:highlight w:val="none"/>
                <w:u w:val="single"/>
              </w:rPr>
              <w:t xml:space="preserve"> </w:t>
            </w:r>
            <w:r>
              <w:rPr>
                <w:rFonts w:hint="eastAsia" w:ascii="宋体" w:hAnsi="宋体" w:eastAsia="宋体" w:cs="宋体"/>
                <w:i w:val="0"/>
                <w:color w:val="auto"/>
                <w:kern w:val="0"/>
                <w:sz w:val="21"/>
                <w:szCs w:val="21"/>
                <w:highlight w:val="none"/>
                <w:u w:val="single"/>
                <w:lang w:val="en-US" w:eastAsia="zh-CN" w:bidi="ar"/>
              </w:rPr>
              <w:t>26996874.75</w:t>
            </w:r>
            <w:r>
              <w:rPr>
                <w:rFonts w:hint="default" w:ascii="宋体" w:hAnsi="宋体" w:eastAsia="宋体" w:cs="宋体"/>
                <w:color w:val="auto"/>
                <w:szCs w:val="21"/>
                <w:highlight w:val="none"/>
                <w:u w:val="single"/>
                <w:lang w:val="en-US" w:eastAsia="zh-CN"/>
              </w:rPr>
              <w:t>×（1-</w:t>
            </w:r>
            <w:r>
              <w:rPr>
                <w:rFonts w:hint="eastAsia" w:ascii="宋体" w:hAnsi="宋体" w:eastAsia="宋体" w:cs="宋体"/>
                <w:color w:val="auto"/>
                <w:szCs w:val="21"/>
                <w:highlight w:val="none"/>
                <w:u w:val="single"/>
                <w:lang w:val="en-US" w:eastAsia="zh-CN"/>
              </w:rPr>
              <w:t>13</w:t>
            </w:r>
            <w:r>
              <w:rPr>
                <w:rFonts w:hint="default" w:ascii="宋体" w:hAnsi="宋体" w:eastAsia="宋体" w:cs="宋体"/>
                <w:color w:val="auto"/>
                <w:szCs w:val="21"/>
                <w:highlight w:val="none"/>
                <w:u w:val="single"/>
                <w:lang w:val="en-US" w:eastAsia="zh-CN"/>
              </w:rPr>
              <w:t>%）</w:t>
            </w:r>
            <w:r>
              <w:rPr>
                <w:rFonts w:hint="eastAsia" w:ascii="宋体" w:hAnsi="宋体" w:cs="宋体"/>
                <w:color w:val="auto"/>
                <w:szCs w:val="21"/>
                <w:highlight w:val="none"/>
                <w:u w:val="single"/>
                <w:lang w:val="en-US" w:eastAsia="zh-CN"/>
              </w:rPr>
              <w:t>=23487281.03</w:t>
            </w:r>
            <w:r>
              <w:rPr>
                <w:rFonts w:hint="eastAsia" w:ascii="宋体" w:hAnsi="宋体" w:eastAsia="宋体" w:cs="宋体"/>
                <w:color w:val="auto"/>
                <w:highlight w:val="none"/>
                <w:u w:val="single"/>
                <w:lang w:val="en-US" w:eastAsia="zh-CN"/>
              </w:rPr>
              <w:t>元</w:t>
            </w:r>
            <w:permEnd w:id="77"/>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四舍五入，保留两位小数</w:t>
            </w:r>
            <w:r>
              <w:rPr>
                <w:rFonts w:hint="eastAsia" w:ascii="宋体" w:hAnsi="宋体" w:eastAsia="宋体" w:cs="宋体"/>
                <w:color w:val="auto"/>
                <w:highlight w:val="none"/>
                <w:lang w:eastAsia="zh-CN"/>
              </w:rPr>
              <w:t>）。</w:t>
            </w:r>
          </w:p>
        </w:tc>
      </w:tr>
      <w:tr w14:paraId="6BECEB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3" w:hRule="atLeast"/>
        </w:trPr>
        <w:tc>
          <w:tcPr>
            <w:tcW w:w="1080" w:type="dxa"/>
            <w:tcBorders>
              <w:top w:val="single" w:color="auto" w:sz="4" w:space="0"/>
            </w:tcBorders>
            <w:noWrap w:val="0"/>
            <w:vAlign w:val="bottom"/>
          </w:tcPr>
          <w:p w14:paraId="72420B28">
            <w:pPr>
              <w:pageBreakBefore w:val="0"/>
              <w:kinsoku/>
              <w:wordWrap/>
              <w:overflowPunct/>
              <w:topLinePunct w:val="0"/>
              <w:bidi w:val="0"/>
              <w:spacing w:line="360" w:lineRule="auto"/>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3.2.</w:t>
            </w:r>
            <w:r>
              <w:rPr>
                <w:rFonts w:hint="default" w:ascii="宋体" w:hAnsi="宋体" w:eastAsia="宋体" w:cs="宋体"/>
                <w:color w:val="auto"/>
                <w:szCs w:val="21"/>
                <w:highlight w:val="none"/>
                <w:lang w:val="en-US" w:eastAsia="zh-CN"/>
              </w:rPr>
              <w:t>5</w:t>
            </w:r>
          </w:p>
        </w:tc>
        <w:tc>
          <w:tcPr>
            <w:tcW w:w="2181" w:type="dxa"/>
            <w:tcBorders>
              <w:top w:val="single" w:color="auto" w:sz="4" w:space="0"/>
            </w:tcBorders>
            <w:noWrap w:val="0"/>
            <w:vAlign w:val="bottom"/>
          </w:tcPr>
          <w:p w14:paraId="158790E5">
            <w:pPr>
              <w:pageBreakBefore w:val="0"/>
              <w:kinsoku/>
              <w:wordWrap/>
              <w:overflowPunct/>
              <w:topLinePunct w:val="0"/>
              <w:bidi w:val="0"/>
              <w:spacing w:line="360" w:lineRule="auto"/>
              <w:jc w:val="center"/>
              <w:textAlignment w:val="auto"/>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u w:val="none"/>
                <w:lang w:val="en-US" w:eastAsia="zh-CN"/>
              </w:rPr>
              <w:t>投标报价的其他要求</w:t>
            </w:r>
          </w:p>
        </w:tc>
        <w:tc>
          <w:tcPr>
            <w:tcW w:w="6237" w:type="dxa"/>
            <w:tcBorders>
              <w:top w:val="single" w:color="auto" w:sz="4" w:space="0"/>
            </w:tcBorders>
            <w:noWrap w:val="0"/>
            <w:vAlign w:val="bottom"/>
          </w:tcPr>
          <w:p w14:paraId="71B89E99">
            <w:pPr>
              <w:pageBreakBefore w:val="0"/>
              <w:kinsoku/>
              <w:wordWrap/>
              <w:overflowPunct/>
              <w:topLinePunct w:val="0"/>
              <w:bidi w:val="0"/>
              <w:spacing w:line="360" w:lineRule="auto"/>
              <w:ind w:firstLine="0" w:firstLineChars="0"/>
              <w:jc w:val="left"/>
              <w:textAlignment w:val="auto"/>
              <w:rPr>
                <w:rFonts w:hint="eastAsia" w:ascii="宋体" w:hAnsi="宋体" w:eastAsia="宋体" w:cs="宋体"/>
                <w:color w:val="auto"/>
                <w:szCs w:val="21"/>
                <w:highlight w:val="none"/>
              </w:rPr>
            </w:pPr>
            <w:permStart w:id="78" w:edGrp="everyone"/>
            <w:r>
              <w:rPr>
                <w:rFonts w:hint="eastAsia" w:ascii="宋体" w:hAnsi="宋体" w:eastAsia="宋体" w:cs="宋体"/>
                <w:color w:val="auto"/>
                <w:szCs w:val="21"/>
                <w:highlight w:val="none"/>
                <w:u w:val="none"/>
                <w:lang w:val="en-US" w:eastAsia="zh-CN"/>
              </w:rPr>
              <w:t xml:space="preserve"> </w:t>
            </w:r>
            <w:r>
              <w:rPr>
                <w:rFonts w:hint="eastAsia" w:ascii="宋体" w:hAnsi="宋体" w:cs="宋体"/>
                <w:color w:val="auto"/>
                <w:szCs w:val="21"/>
                <w:highlight w:val="none"/>
                <w:u w:val="none"/>
                <w:lang w:val="en-US" w:eastAsia="zh-CN"/>
              </w:rPr>
              <w:t>/</w:t>
            </w:r>
            <w:r>
              <w:rPr>
                <w:rFonts w:hint="eastAsia" w:ascii="宋体" w:hAnsi="宋体" w:eastAsia="宋体" w:cs="宋体"/>
                <w:color w:val="auto"/>
                <w:szCs w:val="21"/>
                <w:highlight w:val="none"/>
                <w:u w:val="none"/>
                <w:lang w:val="en-US" w:eastAsia="zh-CN"/>
              </w:rPr>
              <w:t xml:space="preserve"> </w:t>
            </w:r>
            <w:permEnd w:id="78"/>
          </w:p>
        </w:tc>
      </w:tr>
      <w:tr w14:paraId="66C955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1080" w:type="dxa"/>
            <w:tcBorders>
              <w:top w:val="single" w:color="auto" w:sz="4" w:space="0"/>
            </w:tcBorders>
            <w:noWrap w:val="0"/>
            <w:vAlign w:val="center"/>
          </w:tcPr>
          <w:p w14:paraId="17FB5CB7">
            <w:pPr>
              <w:spacing w:line="360" w:lineRule="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3</w:t>
            </w:r>
          </w:p>
        </w:tc>
        <w:tc>
          <w:tcPr>
            <w:tcW w:w="2181" w:type="dxa"/>
            <w:tcBorders>
              <w:top w:val="single" w:color="auto" w:sz="4" w:space="0"/>
            </w:tcBorders>
            <w:noWrap w:val="0"/>
            <w:vAlign w:val="bottom"/>
          </w:tcPr>
          <w:p w14:paraId="2B91370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投标有效期</w:t>
            </w:r>
          </w:p>
        </w:tc>
        <w:tc>
          <w:tcPr>
            <w:tcW w:w="6237" w:type="dxa"/>
            <w:tcBorders>
              <w:top w:val="single" w:color="auto" w:sz="4" w:space="0"/>
            </w:tcBorders>
            <w:noWrap w:val="0"/>
            <w:vAlign w:val="bottom"/>
          </w:tcPr>
          <w:p w14:paraId="6F02F317">
            <w:pPr>
              <w:spacing w:line="360" w:lineRule="auto"/>
              <w:jc w:val="left"/>
              <w:rPr>
                <w:rFonts w:hint="eastAsia" w:ascii="宋体" w:hAnsi="宋体" w:eastAsia="宋体" w:cs="宋体"/>
                <w:color w:val="auto"/>
                <w:szCs w:val="21"/>
                <w:highlight w:val="none"/>
                <w:u w:val="none"/>
              </w:rPr>
            </w:pPr>
            <w:permStart w:id="79" w:edGrp="everyone"/>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180</w:t>
            </w:r>
            <w:r>
              <w:rPr>
                <w:rFonts w:hint="eastAsia" w:ascii="宋体" w:hAnsi="宋体"/>
                <w:color w:val="auto"/>
                <w:highlight w:val="none"/>
                <w:u w:val="single"/>
              </w:rPr>
              <w:t xml:space="preserve">  </w:t>
            </w:r>
            <w:permEnd w:id="79"/>
            <w:r>
              <w:rPr>
                <w:rFonts w:hint="eastAsia" w:ascii="宋体" w:hAnsi="宋体" w:eastAsia="宋体" w:cs="宋体"/>
                <w:color w:val="auto"/>
                <w:szCs w:val="21"/>
                <w:highlight w:val="none"/>
              </w:rPr>
              <w:t>日历天（</w:t>
            </w:r>
            <w:r>
              <w:rPr>
                <w:rFonts w:hint="eastAsia" w:ascii="宋体" w:hAnsi="宋体" w:eastAsia="宋体" w:cs="宋体"/>
                <w:color w:val="auto"/>
                <w:kern w:val="2"/>
                <w:sz w:val="21"/>
                <w:szCs w:val="21"/>
                <w:highlight w:val="none"/>
              </w:rPr>
              <w:t>从提交投标文件截止之日起</w:t>
            </w:r>
            <w:r>
              <w:rPr>
                <w:rFonts w:hint="eastAsia" w:ascii="宋体" w:hAnsi="宋体" w:eastAsia="宋体" w:cs="宋体"/>
                <w:color w:val="auto"/>
                <w:szCs w:val="21"/>
                <w:highlight w:val="none"/>
              </w:rPr>
              <w:t>）</w:t>
            </w:r>
          </w:p>
        </w:tc>
      </w:tr>
      <w:tr w14:paraId="670CFC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2" w:hRule="atLeast"/>
        </w:trPr>
        <w:tc>
          <w:tcPr>
            <w:tcW w:w="1080" w:type="dxa"/>
            <w:noWrap w:val="0"/>
            <w:vAlign w:val="center"/>
          </w:tcPr>
          <w:p w14:paraId="024A57B2">
            <w:pPr>
              <w:spacing w:line="360" w:lineRule="auto"/>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4</w:t>
            </w:r>
            <w:r>
              <w:rPr>
                <w:rFonts w:hint="eastAsia" w:ascii="宋体" w:hAnsi="宋体" w:cs="宋体"/>
                <w:color w:val="auto"/>
                <w:szCs w:val="21"/>
                <w:highlight w:val="none"/>
                <w:lang w:val="en-US" w:eastAsia="zh-CN"/>
              </w:rPr>
              <w:t>.1</w:t>
            </w:r>
          </w:p>
        </w:tc>
        <w:tc>
          <w:tcPr>
            <w:tcW w:w="2181" w:type="dxa"/>
            <w:noWrap w:val="0"/>
            <w:vAlign w:val="center"/>
          </w:tcPr>
          <w:p w14:paraId="7354BBA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投标保证金</w:t>
            </w:r>
          </w:p>
        </w:tc>
        <w:tc>
          <w:tcPr>
            <w:tcW w:w="6237" w:type="dxa"/>
            <w:noWrap w:val="0"/>
            <w:vAlign w:val="center"/>
          </w:tcPr>
          <w:p w14:paraId="1451246F">
            <w:pPr>
              <w:widowControl/>
              <w:tabs>
                <w:tab w:val="left" w:pos="12596"/>
              </w:tabs>
              <w:spacing w:line="360" w:lineRule="auto"/>
              <w:ind w:firstLine="0" w:firstLineChars="0"/>
              <w:jc w:val="both"/>
              <w:rPr>
                <w:rFonts w:hint="eastAsia" w:ascii="宋体" w:hAnsi="宋体" w:eastAsia="宋体" w:cs="宋体"/>
                <w:color w:val="auto"/>
                <w:kern w:val="0"/>
                <w:szCs w:val="21"/>
                <w:highlight w:val="none"/>
                <w:lang w:eastAsia="zh-CN"/>
              </w:rPr>
            </w:pPr>
            <w:r>
              <w:rPr>
                <w:rFonts w:hint="eastAsia" w:ascii="宋体" w:hAnsi="宋体" w:eastAsia="宋体" w:cs="宋体"/>
                <w:bCs/>
                <w:color w:val="auto"/>
                <w:highlight w:val="none"/>
              </w:rPr>
              <w:t>金额：</w:t>
            </w:r>
            <w:permStart w:id="80" w:edGrp="everyone"/>
            <w:r>
              <w:rPr>
                <w:rFonts w:hint="eastAsia" w:ascii="宋体" w:hAnsi="宋体" w:eastAsia="宋体" w:cs="宋体"/>
                <w:b w:val="0"/>
                <w:bCs w:val="0"/>
                <w:color w:val="auto"/>
                <w:highlight w:val="none"/>
                <w:u w:val="single"/>
              </w:rPr>
              <w:t xml:space="preserve"> </w:t>
            </w:r>
            <w:r>
              <w:rPr>
                <w:rFonts w:hint="eastAsia" w:ascii="宋体" w:hAnsi="宋体" w:cs="宋体"/>
                <w:b w:val="0"/>
                <w:bCs w:val="0"/>
                <w:color w:val="auto"/>
                <w:highlight w:val="none"/>
                <w:u w:val="single"/>
                <w:lang w:val="en-US" w:eastAsia="zh-CN"/>
              </w:rPr>
              <w:t>500,000.00</w:t>
            </w:r>
            <w:r>
              <w:rPr>
                <w:rFonts w:hint="eastAsia" w:ascii="宋体" w:hAnsi="宋体" w:eastAsia="宋体" w:cs="宋体"/>
                <w:b w:val="0"/>
                <w:bCs w:val="0"/>
                <w:color w:val="auto"/>
                <w:highlight w:val="none"/>
                <w:u w:val="single"/>
              </w:rPr>
              <w:t xml:space="preserve"> 元（大写：人民币</w:t>
            </w:r>
            <w:r>
              <w:rPr>
                <w:rFonts w:hint="eastAsia" w:ascii="宋体" w:hAnsi="宋体" w:cs="宋体"/>
                <w:b w:val="0"/>
                <w:bCs w:val="0"/>
                <w:color w:val="auto"/>
                <w:highlight w:val="none"/>
                <w:u w:val="single"/>
                <w:lang w:val="en-US" w:eastAsia="zh-CN"/>
              </w:rPr>
              <w:t>伍</w:t>
            </w:r>
            <w:r>
              <w:rPr>
                <w:rFonts w:hint="eastAsia" w:ascii="宋体" w:hAnsi="宋体" w:eastAsia="宋体" w:cs="宋体"/>
                <w:b w:val="0"/>
                <w:bCs w:val="0"/>
                <w:color w:val="auto"/>
                <w:highlight w:val="none"/>
                <w:u w:val="single"/>
              </w:rPr>
              <w:t>拾万元整</w:t>
            </w:r>
            <w:r>
              <w:rPr>
                <w:rFonts w:hint="eastAsia" w:ascii="宋体" w:hAnsi="宋体" w:eastAsia="宋体" w:cs="宋体"/>
                <w:b w:val="0"/>
                <w:bCs w:val="0"/>
                <w:color w:val="auto"/>
                <w:highlight w:val="none"/>
                <w:u w:val="single"/>
                <w:lang w:eastAsia="zh-CN"/>
              </w:rPr>
              <w:t>）</w:t>
            </w:r>
            <w:r>
              <w:rPr>
                <w:rFonts w:hint="eastAsia" w:ascii="宋体" w:hAnsi="宋体" w:eastAsia="宋体" w:cs="宋体"/>
                <w:b w:val="0"/>
                <w:bCs w:val="0"/>
                <w:color w:val="auto"/>
                <w:highlight w:val="none"/>
                <w:u w:val="single"/>
              </w:rPr>
              <w:t xml:space="preserve"> </w:t>
            </w:r>
            <w:permEnd w:id="80"/>
            <w:r>
              <w:rPr>
                <w:rFonts w:hint="eastAsia" w:ascii="宋体" w:hAnsi="宋体"/>
                <w:color w:val="auto"/>
                <w:szCs w:val="21"/>
                <w:highlight w:val="none"/>
              </w:rPr>
              <w:t>【</w:t>
            </w:r>
            <w:r>
              <w:rPr>
                <w:rFonts w:hint="eastAsia" w:ascii="宋体" w:hAnsi="宋体" w:eastAsia="宋体" w:cs="宋体"/>
                <w:color w:val="auto"/>
                <w:szCs w:val="21"/>
                <w:highlight w:val="none"/>
                <w:lang w:eastAsia="zh-CN"/>
              </w:rPr>
              <w:t>不超过</w:t>
            </w:r>
            <w:r>
              <w:rPr>
                <w:rFonts w:hint="eastAsia" w:ascii="宋体" w:hAnsi="宋体" w:eastAsia="宋体" w:cs="宋体"/>
                <w:color w:val="auto"/>
                <w:szCs w:val="21"/>
                <w:highlight w:val="none"/>
              </w:rPr>
              <w:t>工程造价的2%，最高不超过50万元。</w:t>
            </w:r>
            <w:r>
              <w:rPr>
                <w:rFonts w:hint="eastAsia" w:ascii="宋体" w:hAnsi="宋体"/>
                <w:color w:val="auto"/>
                <w:szCs w:val="21"/>
                <w:highlight w:val="none"/>
              </w:rPr>
              <w:t>】</w:t>
            </w:r>
          </w:p>
          <w:p w14:paraId="64F2D3C0">
            <w:pPr>
              <w:widowControl/>
              <w:tabs>
                <w:tab w:val="left" w:pos="12596"/>
              </w:tabs>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本项目适用：</w:t>
            </w:r>
          </w:p>
          <w:p w14:paraId="32725EB1">
            <w:pPr>
              <w:widowControl/>
              <w:tabs>
                <w:tab w:val="left" w:pos="12596"/>
              </w:tabs>
              <w:spacing w:line="360" w:lineRule="auto"/>
              <w:ind w:firstLine="420" w:firstLineChars="200"/>
              <w:jc w:val="left"/>
              <w:rPr>
                <w:rFonts w:hint="eastAsia" w:ascii="宋体" w:hAnsi="宋体" w:cs="宋体"/>
                <w:color w:val="auto"/>
                <w:kern w:val="0"/>
                <w:szCs w:val="21"/>
                <w:highlight w:val="none"/>
              </w:rPr>
            </w:pPr>
            <w:permStart w:id="81" w:edGrp="everyone"/>
            <w:r>
              <w:rPr>
                <w:rFonts w:hint="eastAsia" w:ascii="宋体" w:hAnsi="宋体" w:cs="宋体"/>
                <w:color w:val="auto"/>
                <w:kern w:val="0"/>
                <w:szCs w:val="21"/>
                <w:highlight w:val="none"/>
              </w:rPr>
              <w:t>□</w:t>
            </w:r>
            <w:permEnd w:id="81"/>
            <w:r>
              <w:rPr>
                <w:rFonts w:hint="eastAsia" w:ascii="宋体" w:hAnsi="宋体" w:cs="宋体"/>
                <w:color w:val="auto"/>
                <w:kern w:val="0"/>
                <w:szCs w:val="21"/>
                <w:highlight w:val="none"/>
                <w:lang w:val="en-US" w:eastAsia="zh-CN"/>
              </w:rPr>
              <w:t xml:space="preserve"> </w:t>
            </w:r>
            <w:r>
              <w:rPr>
                <w:rFonts w:hint="eastAsia" w:ascii="宋体" w:hAnsi="宋体" w:cs="宋体"/>
                <w:color w:val="auto"/>
                <w:kern w:val="0"/>
                <w:szCs w:val="21"/>
                <w:highlight w:val="none"/>
              </w:rPr>
              <w:t>免收投标保证金，提交《投标保证金承诺书》。（免收投标保证金的，投标人需在资格标函中提交《投标保证金承诺书》，《投标保证金承诺书》的内容、格式由招标人拟定。）</w:t>
            </w:r>
          </w:p>
          <w:p w14:paraId="03AF1C83">
            <w:pPr>
              <w:widowControl/>
              <w:tabs>
                <w:tab w:val="left" w:pos="12596"/>
              </w:tabs>
              <w:spacing w:line="360" w:lineRule="auto"/>
              <w:ind w:firstLine="420" w:firstLineChars="200"/>
              <w:jc w:val="left"/>
              <w:rPr>
                <w:rFonts w:hint="eastAsia" w:ascii="宋体" w:hAnsi="宋体" w:cs="宋体"/>
                <w:color w:val="auto"/>
                <w:kern w:val="0"/>
                <w:szCs w:val="21"/>
                <w:highlight w:val="none"/>
              </w:rPr>
            </w:pPr>
            <w:permStart w:id="82" w:edGrp="everyone"/>
            <w:r>
              <w:rPr>
                <w:rFonts w:hint="eastAsia" w:ascii="宋体" w:hAnsi="宋体" w:cs="宋体"/>
                <w:color w:val="auto"/>
                <w:kern w:val="0"/>
                <w:szCs w:val="21"/>
                <w:highlight w:val="none"/>
              </w:rPr>
              <w:t>□</w:t>
            </w:r>
            <w:permEnd w:id="82"/>
            <w:r>
              <w:rPr>
                <w:rFonts w:hint="eastAsia" w:ascii="宋体" w:hAnsi="宋体" w:cs="宋体"/>
                <w:color w:val="auto"/>
                <w:kern w:val="0"/>
                <w:szCs w:val="21"/>
                <w:highlight w:val="none"/>
              </w:rPr>
              <w:t xml:space="preserve"> 部分免收投标保证金，适用范围：</w:t>
            </w:r>
            <w:permStart w:id="83" w:edGrp="everyone"/>
            <w:r>
              <w:rPr>
                <w:rFonts w:hint="eastAsia" w:ascii="宋体" w:hAnsi="宋体" w:cs="宋体"/>
                <w:color w:val="auto"/>
                <w:kern w:val="0"/>
                <w:szCs w:val="21"/>
                <w:highlight w:val="none"/>
                <w:u w:val="single"/>
              </w:rPr>
              <w:t xml:space="preserve">         </w:t>
            </w:r>
            <w:permEnd w:id="83"/>
            <w:r>
              <w:rPr>
                <w:rFonts w:hint="eastAsia" w:ascii="宋体" w:hAnsi="宋体" w:cs="宋体"/>
                <w:color w:val="auto"/>
                <w:kern w:val="0"/>
                <w:szCs w:val="21"/>
                <w:highlight w:val="none"/>
              </w:rPr>
              <w:t>。（符合免交投标保证金条件的投标人需在资格标函中提交《投标保证金承诺书》，同时，需在投标保证金截止时间之前在工程建设交易系统上传《投标保证金承诺书》。《投标保证金承诺书》的内容、格式由招标人拟定。）</w:t>
            </w:r>
          </w:p>
          <w:p w14:paraId="1138A32D">
            <w:pPr>
              <w:widowControl/>
              <w:tabs>
                <w:tab w:val="left" w:pos="12596"/>
              </w:tabs>
              <w:spacing w:line="360" w:lineRule="auto"/>
              <w:ind w:firstLine="420" w:firstLineChars="200"/>
              <w:jc w:val="left"/>
              <w:rPr>
                <w:rFonts w:ascii="宋体" w:hAnsi="宋体"/>
                <w:color w:val="auto"/>
                <w:kern w:val="0"/>
                <w:szCs w:val="21"/>
                <w:highlight w:val="none"/>
              </w:rPr>
            </w:pPr>
            <w:permStart w:id="84" w:edGrp="everyone"/>
            <w:r>
              <w:rPr>
                <w:rFonts w:hint="eastAsia" w:ascii="宋体" w:hAnsi="宋体" w:cs="宋体"/>
                <w:color w:val="auto"/>
                <w:kern w:val="0"/>
                <w:szCs w:val="21"/>
                <w:highlight w:val="none"/>
                <w:lang w:eastAsia="zh-CN"/>
              </w:rPr>
              <w:t>☑</w:t>
            </w:r>
            <w:permEnd w:id="84"/>
            <w:r>
              <w:rPr>
                <w:rFonts w:hint="eastAsia" w:ascii="宋体" w:hAnsi="宋体" w:cs="宋体"/>
                <w:color w:val="auto"/>
                <w:kern w:val="0"/>
                <w:szCs w:val="21"/>
                <w:highlight w:val="none"/>
                <w:lang w:val="en-US" w:eastAsia="zh-CN"/>
              </w:rPr>
              <w:t xml:space="preserve"> </w:t>
            </w:r>
            <w:r>
              <w:rPr>
                <w:rFonts w:hint="eastAsia" w:ascii="宋体" w:hAnsi="宋体" w:cs="宋体"/>
                <w:color w:val="auto"/>
                <w:kern w:val="0"/>
                <w:szCs w:val="21"/>
                <w:highlight w:val="none"/>
              </w:rPr>
              <w:t>收取投标保证金。投标保证金的形式：电子保函（银行保函、保证保险、担保保函） 或 银行转账。</w:t>
            </w:r>
          </w:p>
          <w:p w14:paraId="76C3F269">
            <w:pPr>
              <w:widowControl/>
              <w:tabs>
                <w:tab w:val="left" w:pos="12596"/>
              </w:tabs>
              <w:spacing w:line="360" w:lineRule="auto"/>
              <w:ind w:firstLine="420" w:firstLineChars="200"/>
              <w:jc w:val="left"/>
              <w:rPr>
                <w:rFonts w:hint="eastAsia" w:ascii="宋体" w:cs="宋体"/>
                <w:color w:val="auto"/>
                <w:kern w:val="0"/>
                <w:szCs w:val="21"/>
                <w:highlight w:val="none"/>
              </w:rPr>
            </w:pPr>
            <w:r>
              <w:rPr>
                <w:rFonts w:hint="eastAsia" w:ascii="宋体" w:hAnsi="宋体"/>
                <w:color w:val="auto"/>
                <w:szCs w:val="21"/>
                <w:highlight w:val="none"/>
              </w:rPr>
              <w:t>提交截止时间：</w:t>
            </w:r>
            <w:r>
              <w:rPr>
                <w:rFonts w:hint="eastAsia" w:ascii="宋体" w:cs="宋体"/>
                <w:color w:val="auto"/>
                <w:kern w:val="0"/>
                <w:szCs w:val="21"/>
                <w:highlight w:val="none"/>
              </w:rPr>
              <w:t>具体时间以</w:t>
            </w:r>
            <w:r>
              <w:rPr>
                <w:rFonts w:hint="eastAsia" w:ascii="宋体" w:cs="宋体"/>
                <w:color w:val="auto"/>
                <w:kern w:val="0"/>
                <w:szCs w:val="21"/>
                <w:highlight w:val="none"/>
                <w:lang w:eastAsia="zh-CN"/>
              </w:rPr>
              <w:t>工程建设交易系统</w:t>
            </w:r>
            <w:r>
              <w:rPr>
                <w:rFonts w:hint="eastAsia" w:ascii="宋体" w:cs="宋体"/>
                <w:color w:val="auto"/>
                <w:kern w:val="0"/>
                <w:szCs w:val="21"/>
                <w:highlight w:val="none"/>
              </w:rPr>
              <w:t>上的</w:t>
            </w:r>
            <w:r>
              <w:rPr>
                <w:rFonts w:hint="eastAsia" w:ascii="宋体" w:cs="宋体"/>
                <w:color w:val="auto"/>
                <w:kern w:val="0"/>
                <w:szCs w:val="21"/>
                <w:highlight w:val="none"/>
                <w:lang w:eastAsia="zh-CN"/>
              </w:rPr>
              <w:t>日程</w:t>
            </w:r>
            <w:r>
              <w:rPr>
                <w:rFonts w:hint="eastAsia" w:ascii="宋体" w:cs="宋体"/>
                <w:color w:val="auto"/>
                <w:kern w:val="0"/>
                <w:szCs w:val="21"/>
                <w:highlight w:val="none"/>
              </w:rPr>
              <w:t>安排为准。</w:t>
            </w:r>
          </w:p>
          <w:p w14:paraId="526CBC2F">
            <w:pPr>
              <w:widowControl/>
              <w:tabs>
                <w:tab w:val="left" w:pos="12596"/>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投标人</w:t>
            </w:r>
            <w:r>
              <w:rPr>
                <w:rFonts w:hint="eastAsia" w:ascii="宋体" w:hAnsi="宋体"/>
                <w:bCs/>
                <w:color w:val="auto"/>
                <w:szCs w:val="21"/>
                <w:highlight w:val="none"/>
              </w:rPr>
              <w:t>应在</w:t>
            </w:r>
            <w:r>
              <w:rPr>
                <w:rFonts w:hint="eastAsia" w:ascii="宋体" w:hAnsi="宋体"/>
                <w:color w:val="auto"/>
                <w:szCs w:val="21"/>
                <w:highlight w:val="none"/>
              </w:rPr>
              <w:t>招标文件发售期间</w:t>
            </w:r>
            <w:r>
              <w:rPr>
                <w:rFonts w:hint="eastAsia" w:ascii="宋体" w:hAnsi="宋体"/>
                <w:bCs/>
                <w:color w:val="auto"/>
                <w:szCs w:val="21"/>
                <w:highlight w:val="none"/>
              </w:rPr>
              <w:t>通过</w:t>
            </w:r>
            <w:r>
              <w:rPr>
                <w:rFonts w:hint="eastAsia" w:ascii="宋体" w:hAnsi="宋体"/>
                <w:bCs/>
                <w:color w:val="auto"/>
                <w:szCs w:val="21"/>
                <w:highlight w:val="none"/>
                <w:lang w:eastAsia="zh-CN"/>
              </w:rPr>
              <w:t>工程建设交易系统</w:t>
            </w:r>
            <w:r>
              <w:rPr>
                <w:rFonts w:hint="eastAsia" w:ascii="宋体" w:hAnsi="宋体"/>
                <w:bCs/>
                <w:color w:val="auto"/>
                <w:szCs w:val="21"/>
                <w:highlight w:val="none"/>
              </w:rPr>
              <w:t>下载招标文件及相关文件</w:t>
            </w:r>
            <w:r>
              <w:rPr>
                <w:rFonts w:hint="eastAsia" w:ascii="宋体" w:hAnsi="宋体"/>
                <w:bCs/>
                <w:color w:val="auto"/>
                <w:szCs w:val="21"/>
                <w:highlight w:val="none"/>
                <w:lang w:eastAsia="zh-CN"/>
              </w:rPr>
              <w:t>，</w:t>
            </w:r>
            <w:r>
              <w:rPr>
                <w:rFonts w:hint="eastAsia" w:ascii="宋体" w:hAnsi="宋体"/>
                <w:bCs/>
                <w:color w:val="auto"/>
                <w:szCs w:val="21"/>
                <w:highlight w:val="none"/>
              </w:rPr>
              <w:t>在</w:t>
            </w:r>
            <w:r>
              <w:rPr>
                <w:rFonts w:hint="eastAsia" w:ascii="宋体" w:hAnsi="宋体"/>
                <w:bCs/>
                <w:color w:val="auto"/>
                <w:szCs w:val="21"/>
                <w:highlight w:val="none"/>
                <w:lang w:eastAsia="zh-CN"/>
              </w:rPr>
              <w:t>投标</w:t>
            </w:r>
            <w:r>
              <w:rPr>
                <w:rFonts w:hint="eastAsia" w:ascii="宋体" w:hAnsi="宋体"/>
                <w:color w:val="auto"/>
                <w:szCs w:val="21"/>
                <w:highlight w:val="none"/>
              </w:rPr>
              <w:t>保证金提交截止时间前提交</w:t>
            </w:r>
            <w:r>
              <w:rPr>
                <w:rFonts w:hint="eastAsia" w:ascii="宋体" w:hAnsi="宋体" w:cs="宋体"/>
                <w:color w:val="auto"/>
                <w:kern w:val="0"/>
                <w:szCs w:val="21"/>
                <w:highlight w:val="none"/>
              </w:rPr>
              <w:t>投标保证金，未按时提交投标保证金的，其投标不予受理。投标人在提交投标保证金后应及时查询投标保证金到账或电子保函的出具情况。如有问题请及早向市公共资源交易中心及有关金融机构查询解决。投标保证金以开标系统显示的记录为准。</w:t>
            </w:r>
          </w:p>
          <w:p w14:paraId="6B8B4773">
            <w:pPr>
              <w:widowControl/>
              <w:tabs>
                <w:tab w:val="left" w:pos="12596"/>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银行转账的投标保证金必须通过投标人已在</w:t>
            </w:r>
            <w:r>
              <w:rPr>
                <w:rFonts w:hint="eastAsia" w:ascii="宋体" w:hAnsi="宋体" w:cs="宋体"/>
                <w:color w:val="auto"/>
                <w:kern w:val="0"/>
                <w:szCs w:val="21"/>
                <w:highlight w:val="none"/>
                <w:lang w:eastAsia="zh-CN"/>
              </w:rPr>
              <w:t>“中山市公共资源交易中心-基础应用支撑平台”</w:t>
            </w:r>
            <w:r>
              <w:rPr>
                <w:rFonts w:hint="eastAsia" w:ascii="宋体" w:hAnsi="宋体" w:cs="宋体"/>
                <w:color w:val="auto"/>
                <w:kern w:val="0"/>
                <w:szCs w:val="21"/>
                <w:highlight w:val="none"/>
              </w:rPr>
              <w:t>中登记的基本账户（基本账户的企业名称须与投标人名称一致）转入相关账户</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详见“缴纳投标保证金通知书”</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：投标人凭电子招投标数字证书</w:t>
            </w:r>
            <w:r>
              <w:rPr>
                <w:rFonts w:hint="eastAsia" w:ascii="宋体" w:hAnsi="宋体" w:cs="宋体"/>
                <w:color w:val="auto"/>
                <w:kern w:val="0"/>
                <w:szCs w:val="21"/>
                <w:highlight w:val="none"/>
                <w:lang w:eastAsia="zh-CN"/>
              </w:rPr>
              <w:t>登录工程建设交易系统</w:t>
            </w:r>
            <w:r>
              <w:rPr>
                <w:rFonts w:hint="eastAsia" w:ascii="宋体" w:hAnsi="宋体" w:cs="宋体"/>
                <w:color w:val="auto"/>
                <w:kern w:val="0"/>
                <w:szCs w:val="21"/>
                <w:highlight w:val="none"/>
              </w:rPr>
              <w:t>，在“投标管理--参与项目”栏目页面，选择参与投标的项目获取保证金</w:t>
            </w:r>
            <w:r>
              <w:rPr>
                <w:rFonts w:hint="eastAsia" w:ascii="宋体" w:hAnsi="宋体"/>
                <w:color w:val="auto"/>
                <w:kern w:val="0"/>
                <w:szCs w:val="21"/>
                <w:highlight w:val="none"/>
              </w:rPr>
              <w:t>提交</w:t>
            </w:r>
            <w:r>
              <w:rPr>
                <w:rFonts w:hint="eastAsia" w:ascii="宋体" w:hAnsi="宋体" w:cs="宋体"/>
                <w:color w:val="auto"/>
                <w:kern w:val="0"/>
                <w:szCs w:val="21"/>
                <w:highlight w:val="none"/>
              </w:rPr>
              <w:t>子账号，并严格按照“缴纳投标保证金通知书”的要求足额</w:t>
            </w:r>
            <w:r>
              <w:rPr>
                <w:rFonts w:hint="eastAsia" w:ascii="宋体" w:hAnsi="宋体"/>
                <w:color w:val="auto"/>
                <w:kern w:val="0"/>
                <w:szCs w:val="21"/>
                <w:highlight w:val="none"/>
              </w:rPr>
              <w:t>提交</w:t>
            </w:r>
            <w:r>
              <w:rPr>
                <w:rFonts w:hint="eastAsia" w:ascii="宋体" w:hAnsi="宋体" w:cs="宋体"/>
                <w:color w:val="auto"/>
                <w:kern w:val="0"/>
                <w:szCs w:val="21"/>
                <w:highlight w:val="none"/>
              </w:rPr>
              <w:t>投标保证金。</w:t>
            </w:r>
          </w:p>
          <w:p w14:paraId="7433C999">
            <w:pPr>
              <w:widowControl/>
              <w:tabs>
                <w:tab w:val="left" w:pos="12596"/>
              </w:tabs>
              <w:spacing w:line="360" w:lineRule="auto"/>
              <w:ind w:firstLine="420" w:firstLineChars="200"/>
              <w:jc w:val="left"/>
              <w:rPr>
                <w:rFonts w:ascii="宋体" w:hAnsi="宋体"/>
                <w:color w:val="auto"/>
                <w:kern w:val="0"/>
                <w:szCs w:val="21"/>
                <w:highlight w:val="none"/>
              </w:rPr>
            </w:pPr>
            <w:r>
              <w:rPr>
                <w:rFonts w:hint="eastAsia" w:ascii="宋体" w:hAnsi="宋体" w:cs="宋体"/>
                <w:color w:val="auto"/>
                <w:kern w:val="0"/>
                <w:szCs w:val="21"/>
                <w:highlight w:val="none"/>
              </w:rPr>
              <w:t>以电子保函方式提交投标保证金的，投标人凭电子招投标数字证书</w:t>
            </w:r>
            <w:r>
              <w:rPr>
                <w:rFonts w:hint="eastAsia" w:ascii="宋体" w:hAnsi="宋体" w:cs="宋体"/>
                <w:color w:val="auto"/>
                <w:kern w:val="0"/>
                <w:szCs w:val="21"/>
                <w:highlight w:val="none"/>
                <w:lang w:eastAsia="zh-CN"/>
              </w:rPr>
              <w:t>登录工程建设交易系统</w:t>
            </w:r>
            <w:r>
              <w:rPr>
                <w:rFonts w:hint="eastAsia" w:ascii="宋体" w:hAnsi="宋体" w:cs="宋体"/>
                <w:color w:val="auto"/>
                <w:kern w:val="0"/>
                <w:szCs w:val="21"/>
                <w:highlight w:val="none"/>
              </w:rPr>
              <w:t>，在“投标管理--参与项目”栏目页面，选择参与投标的项目，选择相关金融机构办理电子保函。电子保函的出具时间视同于</w:t>
            </w:r>
            <w:r>
              <w:rPr>
                <w:rFonts w:hint="eastAsia" w:ascii="宋体" w:hAnsi="宋体" w:cs="宋体"/>
                <w:color w:val="auto"/>
                <w:kern w:val="0"/>
                <w:szCs w:val="21"/>
                <w:highlight w:val="none"/>
                <w:lang w:eastAsia="zh-CN"/>
              </w:rPr>
              <w:t>投标</w:t>
            </w:r>
            <w:r>
              <w:rPr>
                <w:rFonts w:hint="eastAsia" w:ascii="宋体" w:hAnsi="宋体" w:cs="宋体"/>
                <w:color w:val="auto"/>
                <w:kern w:val="0"/>
                <w:szCs w:val="21"/>
                <w:highlight w:val="none"/>
              </w:rPr>
              <w:t>保证金提交时间。电子保函有效期限到期后自动失效，若在有效期间内办理注销的，则在注销之日起失效。电子保函办理的申请流程及操作指引详见广东省公共资源交易平台（中山市）-“服务指南”。</w:t>
            </w:r>
          </w:p>
          <w:p w14:paraId="7214A39C">
            <w:pPr>
              <w:spacing w:line="360" w:lineRule="auto"/>
              <w:rPr>
                <w:rFonts w:hint="eastAsia" w:ascii="宋体" w:hAnsi="宋体" w:eastAsia="宋体" w:cs="宋体"/>
                <w:color w:val="auto"/>
                <w:szCs w:val="21"/>
                <w:highlight w:val="none"/>
              </w:rPr>
            </w:pPr>
            <w:r>
              <w:rPr>
                <w:rFonts w:hint="eastAsia" w:ascii="宋体" w:hAnsi="宋体" w:cs="宋体"/>
                <w:color w:val="auto"/>
                <w:kern w:val="0"/>
                <w:szCs w:val="21"/>
                <w:highlight w:val="none"/>
              </w:rPr>
              <w:t>（</w:t>
            </w:r>
            <w:r>
              <w:rPr>
                <w:rFonts w:hint="eastAsia" w:ascii="宋体" w:hAnsi="宋体" w:cs="宋体"/>
                <w:b/>
                <w:bCs/>
                <w:color w:val="auto"/>
                <w:kern w:val="0"/>
                <w:szCs w:val="21"/>
                <w:highlight w:val="none"/>
              </w:rPr>
              <w:t>如联合体投标，则由牵头单位提交投标保证金</w:t>
            </w:r>
            <w:r>
              <w:rPr>
                <w:rFonts w:hint="eastAsia" w:ascii="宋体" w:hAnsi="宋体" w:cs="宋体"/>
                <w:color w:val="auto"/>
                <w:kern w:val="0"/>
                <w:szCs w:val="21"/>
                <w:highlight w:val="none"/>
              </w:rPr>
              <w:t>）</w:t>
            </w:r>
          </w:p>
        </w:tc>
      </w:tr>
      <w:tr w14:paraId="5DA4EE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2" w:hRule="atLeast"/>
        </w:trPr>
        <w:tc>
          <w:tcPr>
            <w:tcW w:w="1080" w:type="dxa"/>
            <w:noWrap w:val="0"/>
            <w:vAlign w:val="center"/>
          </w:tcPr>
          <w:p w14:paraId="2FA99244">
            <w:pPr>
              <w:spacing w:line="360" w:lineRule="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6</w:t>
            </w:r>
          </w:p>
        </w:tc>
        <w:tc>
          <w:tcPr>
            <w:tcW w:w="2181" w:type="dxa"/>
            <w:noWrap w:val="0"/>
            <w:vAlign w:val="center"/>
          </w:tcPr>
          <w:p w14:paraId="6812FE3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是否允许递交备选投标方案</w:t>
            </w:r>
          </w:p>
        </w:tc>
        <w:tc>
          <w:tcPr>
            <w:tcW w:w="6237" w:type="dxa"/>
            <w:noWrap w:val="0"/>
            <w:vAlign w:val="center"/>
          </w:tcPr>
          <w:p w14:paraId="28135DC1">
            <w:pPr>
              <w:spacing w:line="360" w:lineRule="auto"/>
              <w:rPr>
                <w:rFonts w:hint="eastAsia" w:ascii="宋体" w:hAnsi="宋体"/>
                <w:color w:val="auto"/>
                <w:szCs w:val="21"/>
                <w:highlight w:val="none"/>
              </w:rPr>
            </w:pPr>
            <w:permStart w:id="85" w:edGrp="everyone"/>
            <w:r>
              <w:rPr>
                <w:rFonts w:hint="eastAsia" w:ascii="宋体" w:hAnsi="宋体"/>
                <w:color w:val="auto"/>
                <w:szCs w:val="21"/>
                <w:highlight w:val="none"/>
                <w:lang w:eastAsia="zh-CN"/>
              </w:rPr>
              <w:t>☑</w:t>
            </w:r>
            <w:permEnd w:id="85"/>
            <w:r>
              <w:rPr>
                <w:rFonts w:hint="eastAsia" w:ascii="宋体" w:hAnsi="宋体"/>
                <w:color w:val="auto"/>
                <w:szCs w:val="21"/>
                <w:highlight w:val="none"/>
              </w:rPr>
              <w:t>不允许</w:t>
            </w:r>
          </w:p>
          <w:p w14:paraId="0DD9E49A">
            <w:pPr>
              <w:spacing w:line="360" w:lineRule="auto"/>
              <w:ind w:left="0"/>
              <w:rPr>
                <w:rFonts w:hint="eastAsia" w:ascii="宋体" w:hAnsi="宋体" w:eastAsia="宋体" w:cs="宋体"/>
                <w:color w:val="auto"/>
                <w:szCs w:val="21"/>
                <w:highlight w:val="none"/>
              </w:rPr>
            </w:pPr>
            <w:permStart w:id="86" w:edGrp="everyone"/>
            <w:r>
              <w:rPr>
                <w:rFonts w:hint="eastAsia" w:ascii="宋体" w:hAnsi="宋体"/>
                <w:color w:val="auto"/>
                <w:szCs w:val="21"/>
                <w:highlight w:val="none"/>
              </w:rPr>
              <w:t>□</w:t>
            </w:r>
            <w:permEnd w:id="86"/>
            <w:r>
              <w:rPr>
                <w:rFonts w:hint="eastAsia" w:ascii="宋体" w:hAnsi="宋体"/>
                <w:color w:val="auto"/>
                <w:szCs w:val="21"/>
                <w:highlight w:val="none"/>
              </w:rPr>
              <w:t>允许</w:t>
            </w:r>
          </w:p>
        </w:tc>
      </w:tr>
      <w:tr w14:paraId="3D291E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2" w:hRule="atLeast"/>
        </w:trPr>
        <w:tc>
          <w:tcPr>
            <w:tcW w:w="1080" w:type="dxa"/>
            <w:noWrap w:val="0"/>
            <w:vAlign w:val="center"/>
          </w:tcPr>
          <w:p w14:paraId="1D29971D">
            <w:pPr>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3.7.3</w:t>
            </w:r>
          </w:p>
        </w:tc>
        <w:tc>
          <w:tcPr>
            <w:tcW w:w="2181" w:type="dxa"/>
            <w:noWrap w:val="0"/>
            <w:vAlign w:val="center"/>
          </w:tcPr>
          <w:p w14:paraId="5FB7F8D4">
            <w:pPr>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签</w:t>
            </w:r>
            <w:r>
              <w:rPr>
                <w:rFonts w:hint="eastAsia" w:ascii="宋体" w:hAnsi="宋体" w:cs="宋体"/>
                <w:color w:val="auto"/>
                <w:szCs w:val="21"/>
                <w:highlight w:val="none"/>
                <w:lang w:eastAsia="zh-CN"/>
              </w:rPr>
              <w:t>名</w:t>
            </w:r>
            <w:r>
              <w:rPr>
                <w:rFonts w:hint="eastAsia" w:ascii="宋体" w:hAnsi="宋体" w:eastAsia="宋体" w:cs="宋体"/>
                <w:color w:val="auto"/>
                <w:szCs w:val="21"/>
                <w:highlight w:val="none"/>
              </w:rPr>
              <w:t>或盖章要求</w:t>
            </w:r>
          </w:p>
        </w:tc>
        <w:tc>
          <w:tcPr>
            <w:tcW w:w="6237" w:type="dxa"/>
            <w:noWrap w:val="0"/>
            <w:vAlign w:val="center"/>
          </w:tcPr>
          <w:p w14:paraId="19521B8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 xml:space="preserve"> 资格标、技术标、资信标</w:t>
            </w:r>
            <w:r>
              <w:rPr>
                <w:rFonts w:hint="eastAsia" w:ascii="宋体" w:hAnsi="宋体" w:eastAsia="宋体" w:cs="宋体"/>
                <w:color w:val="auto"/>
                <w:szCs w:val="21"/>
                <w:highlight w:val="none"/>
                <w:lang w:val="en-US" w:eastAsia="zh-CN"/>
              </w:rPr>
              <w:t>投标文件</w:t>
            </w:r>
            <w:r>
              <w:rPr>
                <w:rFonts w:hint="eastAsia" w:ascii="宋体" w:hAnsi="宋体" w:eastAsia="宋体" w:cs="宋体"/>
                <w:color w:val="auto"/>
                <w:szCs w:val="21"/>
                <w:highlight w:val="none"/>
              </w:rPr>
              <w:t>须按招标文件要求在注明要电子签名、加盖电子印章的位置由规定人员完成个人电子签名、加盖企业电子印章。投标人采用数字证书对经济标进行加密上传，即视为对经济标进行签名和加盖单位公章。</w:t>
            </w:r>
          </w:p>
          <w:p w14:paraId="004B2282">
            <w:pPr>
              <w:spacing w:line="360" w:lineRule="auto"/>
              <w:ind w:firstLine="420" w:firstLineChars="200"/>
              <w:rPr>
                <w:rFonts w:hint="eastAsia" w:ascii="宋体" w:hAnsi="宋体" w:eastAsia="宋体" w:cs="宋体"/>
                <w:color w:val="auto"/>
                <w:highlight w:val="none"/>
              </w:rPr>
            </w:pPr>
            <w:r>
              <w:rPr>
                <w:rFonts w:hint="default" w:ascii="宋体" w:hAnsi="宋体" w:cs="宋体"/>
                <w:color w:val="auto"/>
                <w:highlight w:val="none"/>
                <w:lang w:val="en-US" w:eastAsia="zh-CN"/>
              </w:rPr>
              <w:t>2</w:t>
            </w:r>
            <w:r>
              <w:rPr>
                <w:rFonts w:hint="eastAsia" w:ascii="宋体" w:hAnsi="宋体" w:eastAsia="宋体" w:cs="宋体"/>
                <w:color w:val="auto"/>
                <w:highlight w:val="none"/>
              </w:rPr>
              <w:t>.</w:t>
            </w:r>
            <w:r>
              <w:rPr>
                <w:rFonts w:hint="eastAsia" w:ascii="宋体" w:hAnsi="宋体" w:cs="宋体"/>
                <w:color w:val="auto"/>
                <w:highlight w:val="none"/>
                <w:lang w:val="en-US" w:eastAsia="zh-CN"/>
              </w:rPr>
              <w:t xml:space="preserve"> </w:t>
            </w:r>
            <w:r>
              <w:rPr>
                <w:rFonts w:hint="eastAsia" w:ascii="宋体" w:hAnsi="宋体" w:eastAsia="宋体" w:cs="宋体"/>
                <w:color w:val="auto"/>
                <w:highlight w:val="none"/>
              </w:rPr>
              <w:t>投标文件采用个人电子签名、企业电子印章需按《关于在我市房屋市政工程招标投标领域进一步启用企业电子签章、个人电子签名等事项的通知》（中建通〔2024〕38号）执行。</w:t>
            </w:r>
          </w:p>
          <w:p w14:paraId="47B74731">
            <w:pPr>
              <w:keepNext w:val="0"/>
              <w:keepLines w:val="0"/>
              <w:pageBreakBefore w:val="0"/>
              <w:widowControl w:val="0"/>
              <w:kinsoku/>
              <w:wordWrap/>
              <w:overflowPunct/>
              <w:topLinePunct w:val="0"/>
              <w:autoSpaceDE w:val="0"/>
              <w:autoSpaceDN w:val="0"/>
              <w:bidi w:val="0"/>
              <w:adjustRightInd w:val="0"/>
              <w:snapToGrid/>
              <w:spacing w:line="360" w:lineRule="auto"/>
              <w:ind w:right="181" w:firstLine="420" w:firstLineChars="200"/>
              <w:jc w:val="both"/>
              <w:textAlignment w:val="auto"/>
              <w:rPr>
                <w:rFonts w:hint="eastAsia" w:ascii="宋体" w:hAnsi="宋体" w:eastAsia="宋体" w:cs="宋体"/>
                <w:color w:val="auto"/>
                <w:highlight w:val="none"/>
              </w:rPr>
            </w:pPr>
            <w:r>
              <w:rPr>
                <w:rFonts w:hint="default"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highlight w:val="none"/>
              </w:rPr>
              <w:t>如联合体投标，除联合体协议书外，法定代表人或代理人签名由牵头单位完成。投标文件中投标人名称写联合体所有成员单位名称或牵头单位名称均可，盖章只需盖牵头单位公章。</w:t>
            </w:r>
          </w:p>
          <w:p w14:paraId="12C85D5A">
            <w:pPr>
              <w:keepNext w:val="0"/>
              <w:keepLines w:val="0"/>
              <w:autoSpaceDE w:val="0"/>
              <w:autoSpaceDN w:val="0"/>
              <w:adjustRightInd w:val="0"/>
              <w:spacing w:line="360" w:lineRule="auto"/>
              <w:ind w:right="181" w:rightChars="0" w:firstLine="420" w:firstLineChars="200"/>
              <w:jc w:val="both"/>
              <w:rPr>
                <w:rFonts w:hint="eastAsia" w:ascii="宋体" w:hAnsi="宋体" w:eastAsia="宋体" w:cs="宋体"/>
                <w:b w:val="0"/>
                <w:bCs w:val="0"/>
                <w:color w:val="auto"/>
                <w:kern w:val="2"/>
                <w:sz w:val="21"/>
                <w:szCs w:val="24"/>
                <w:highlight w:val="none"/>
                <w:lang w:val="en-US" w:eastAsia="zh-CN" w:bidi="ar-SA"/>
              </w:rPr>
            </w:pPr>
            <w:r>
              <w:rPr>
                <w:rFonts w:hint="default" w:ascii="宋体" w:hAnsi="宋体" w:cs="宋体"/>
                <w:b w:val="0"/>
                <w:bCs w:val="0"/>
                <w:color w:val="auto"/>
                <w:kern w:val="2"/>
                <w:sz w:val="21"/>
                <w:szCs w:val="21"/>
                <w:highlight w:val="none"/>
                <w:lang w:val="en-US" w:eastAsia="zh-CN" w:bidi="ar-SA"/>
              </w:rPr>
              <w:t>4</w:t>
            </w: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cs="宋体"/>
                <w:b w:val="0"/>
                <w:bCs w:val="0"/>
                <w:color w:val="auto"/>
                <w:kern w:val="2"/>
                <w:sz w:val="21"/>
                <w:szCs w:val="21"/>
                <w:highlight w:val="none"/>
                <w:lang w:val="en-US" w:eastAsia="zh-CN" w:bidi="ar-SA"/>
              </w:rPr>
              <w:t xml:space="preserve"> </w:t>
            </w:r>
            <w:r>
              <w:rPr>
                <w:rFonts w:hint="eastAsia" w:ascii="宋体" w:hAnsi="宋体" w:eastAsia="宋体" w:cs="Times New Roman"/>
                <w:color w:val="auto"/>
                <w:szCs w:val="21"/>
                <w:highlight w:val="none"/>
              </w:rPr>
              <w:t>不接受投标单位在投标文件中加盖分公司章。</w:t>
            </w:r>
          </w:p>
        </w:tc>
      </w:tr>
      <w:tr w14:paraId="3AA5E2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02" w:hRule="atLeast"/>
        </w:trPr>
        <w:tc>
          <w:tcPr>
            <w:tcW w:w="1080" w:type="dxa"/>
            <w:noWrap w:val="0"/>
            <w:vAlign w:val="center"/>
          </w:tcPr>
          <w:p w14:paraId="006ADF24">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3.7.4</w:t>
            </w:r>
          </w:p>
        </w:tc>
        <w:tc>
          <w:tcPr>
            <w:tcW w:w="2181" w:type="dxa"/>
            <w:noWrap w:val="0"/>
            <w:vAlign w:val="center"/>
          </w:tcPr>
          <w:p w14:paraId="1A5BE7E0">
            <w:pPr>
              <w:spacing w:line="360" w:lineRule="auto"/>
              <w:jc w:val="center"/>
              <w:rPr>
                <w:rFonts w:hint="eastAsia" w:ascii="宋体" w:hAnsi="宋体" w:eastAsia="宋体" w:cs="宋体"/>
                <w:color w:val="auto"/>
                <w:szCs w:val="21"/>
                <w:highlight w:val="none"/>
                <w:lang w:val="en-US" w:eastAsia="zh-CN"/>
              </w:rPr>
            </w:pPr>
            <w:r>
              <w:rPr>
                <w:rFonts w:hint="eastAsia" w:ascii="宋体" w:hAnsi="宋体"/>
                <w:color w:val="auto"/>
                <w:szCs w:val="21"/>
                <w:highlight w:val="none"/>
                <w:lang w:val="en-US" w:eastAsia="zh-CN"/>
              </w:rPr>
              <w:t>电子投标文件编制要求</w:t>
            </w:r>
          </w:p>
        </w:tc>
        <w:tc>
          <w:tcPr>
            <w:tcW w:w="6237" w:type="dxa"/>
            <w:noWrap w:val="0"/>
            <w:vAlign w:val="center"/>
          </w:tcPr>
          <w:p w14:paraId="6038D4B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全部投标文件均应制作成电子文件</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文件</w:t>
            </w:r>
            <w:r>
              <w:rPr>
                <w:rFonts w:hint="eastAsia" w:ascii="宋体" w:hAnsi="宋体" w:eastAsia="宋体" w:cs="宋体"/>
                <w:color w:val="auto"/>
                <w:highlight w:val="none"/>
                <w:lang w:val="en-US" w:eastAsia="zh-CN"/>
              </w:rPr>
              <w:t>类型、</w:t>
            </w:r>
            <w:r>
              <w:rPr>
                <w:rFonts w:hint="eastAsia" w:ascii="宋体" w:hAnsi="宋体" w:eastAsia="宋体" w:cs="宋体"/>
                <w:color w:val="auto"/>
                <w:highlight w:val="none"/>
              </w:rPr>
              <w:t>大小应</w:t>
            </w:r>
            <w:r>
              <w:rPr>
                <w:rFonts w:hint="eastAsia" w:ascii="宋体" w:hAnsi="宋体" w:eastAsia="宋体" w:cs="宋体"/>
                <w:color w:val="auto"/>
                <w:highlight w:val="none"/>
                <w:lang w:eastAsia="zh-CN"/>
              </w:rPr>
              <w:t>符合</w:t>
            </w:r>
            <w:r>
              <w:rPr>
                <w:rFonts w:hint="eastAsia" w:ascii="宋体" w:hAnsi="宋体" w:eastAsia="宋体" w:cs="宋体"/>
                <w:color w:val="auto"/>
                <w:highlight w:val="none"/>
              </w:rPr>
              <w:t>交易平台的要求。投标文件各标函应分别单独编制，其中：</w:t>
            </w:r>
          </w:p>
          <w:p w14:paraId="46479E38">
            <w:pPr>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highlight w:val="none"/>
              </w:rPr>
              <w:t>资格标电子标书</w:t>
            </w:r>
            <w:r>
              <w:rPr>
                <w:rFonts w:hint="eastAsia" w:ascii="宋体" w:hAnsi="宋体" w:eastAsia="宋体" w:cs="宋体"/>
                <w:color w:val="auto"/>
                <w:szCs w:val="21"/>
                <w:highlight w:val="none"/>
                <w:lang w:val="en-US" w:eastAsia="zh-CN"/>
              </w:rPr>
              <w:t>1</w:t>
            </w:r>
            <w:r>
              <w:rPr>
                <w:rFonts w:hint="eastAsia" w:ascii="宋体" w:hAnsi="宋体" w:eastAsia="宋体" w:cs="宋体"/>
                <w:color w:val="auto"/>
                <w:highlight w:val="none"/>
                <w:lang w:val="en-US" w:eastAsia="zh-CN"/>
              </w:rPr>
              <w:t>份</w:t>
            </w:r>
          </w:p>
          <w:p w14:paraId="41E6EBC0">
            <w:pPr>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highlight w:val="none"/>
                <w:lang w:val="en-US" w:eastAsia="zh-CN"/>
              </w:rPr>
              <w:t>经济标电子标书</w:t>
            </w:r>
            <w:r>
              <w:rPr>
                <w:rFonts w:hint="eastAsia" w:ascii="宋体" w:hAnsi="宋体" w:eastAsia="宋体" w:cs="宋体"/>
                <w:color w:val="auto"/>
                <w:szCs w:val="21"/>
                <w:highlight w:val="none"/>
                <w:lang w:val="en-US" w:eastAsia="zh-CN"/>
              </w:rPr>
              <w:t>1</w:t>
            </w:r>
            <w:r>
              <w:rPr>
                <w:rFonts w:hint="eastAsia" w:ascii="宋体" w:hAnsi="宋体" w:eastAsia="宋体" w:cs="宋体"/>
                <w:color w:val="auto"/>
                <w:highlight w:val="none"/>
                <w:lang w:val="en-US" w:eastAsia="zh-CN"/>
              </w:rPr>
              <w:t>份</w:t>
            </w:r>
          </w:p>
          <w:p w14:paraId="6777482D">
            <w:pPr>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highlight w:val="none"/>
                <w:lang w:val="en-US" w:eastAsia="zh-CN"/>
              </w:rPr>
              <w:t>技术标电子标书</w:t>
            </w:r>
            <w:r>
              <w:rPr>
                <w:rFonts w:hint="eastAsia" w:ascii="宋体" w:hAnsi="宋体" w:eastAsia="宋体" w:cs="宋体"/>
                <w:color w:val="auto"/>
                <w:szCs w:val="21"/>
                <w:highlight w:val="none"/>
                <w:lang w:val="en-US" w:eastAsia="zh-CN"/>
              </w:rPr>
              <w:t>1</w:t>
            </w:r>
            <w:r>
              <w:rPr>
                <w:rFonts w:hint="eastAsia" w:ascii="宋体" w:hAnsi="宋体" w:eastAsia="宋体" w:cs="宋体"/>
                <w:color w:val="auto"/>
                <w:highlight w:val="none"/>
                <w:lang w:val="en-US" w:eastAsia="zh-CN"/>
              </w:rPr>
              <w:t>份</w:t>
            </w:r>
          </w:p>
          <w:p w14:paraId="16B04866">
            <w:pPr>
              <w:autoSpaceDE/>
              <w:autoSpaceDN/>
              <w:adjustRightInd/>
              <w:spacing w:line="360" w:lineRule="auto"/>
              <w:ind w:right="0" w:firstLine="420" w:firstLineChars="200"/>
              <w:jc w:val="both"/>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highlight w:val="none"/>
                <w:lang w:val="en-US" w:eastAsia="zh-CN"/>
              </w:rPr>
              <w:t>资信标电子标书</w:t>
            </w:r>
            <w:r>
              <w:rPr>
                <w:rFonts w:hint="eastAsia" w:ascii="宋体" w:hAnsi="宋体" w:eastAsia="宋体" w:cs="宋体"/>
                <w:color w:val="auto"/>
                <w:szCs w:val="21"/>
                <w:highlight w:val="none"/>
                <w:lang w:val="en-US" w:eastAsia="zh-CN"/>
              </w:rPr>
              <w:t>1份</w:t>
            </w:r>
          </w:p>
          <w:p w14:paraId="55318D72">
            <w:pPr>
              <w:autoSpaceDE w:val="0"/>
              <w:autoSpaceDN w:val="0"/>
              <w:adjustRightInd w:val="0"/>
              <w:spacing w:line="360" w:lineRule="auto"/>
              <w:ind w:right="180" w:firstLine="420" w:firstLineChars="200"/>
              <w:jc w:val="both"/>
              <w:rPr>
                <w:rFonts w:hint="eastAsia" w:ascii="宋体" w:hAnsi="宋体" w:eastAsia="宋体" w:cs="宋体"/>
                <w:color w:val="auto"/>
                <w:highlight w:val="none"/>
              </w:rPr>
            </w:pPr>
            <w:r>
              <w:rPr>
                <w:rFonts w:hint="eastAsia" w:ascii="宋体" w:hAnsi="宋体" w:eastAsia="宋体" w:cs="宋体"/>
                <w:color w:val="auto"/>
                <w:highlight w:val="none"/>
              </w:rPr>
              <w:t>相关操作手册请自行登录</w:t>
            </w:r>
            <w:r>
              <w:rPr>
                <w:rFonts w:hint="eastAsia" w:ascii="宋体" w:hAnsi="宋体"/>
                <w:color w:val="auto"/>
                <w:szCs w:val="21"/>
                <w:highlight w:val="none"/>
              </w:rPr>
              <w:t>广东省公共资源交易平台（中山市）</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服务指南</w:t>
            </w:r>
            <w:r>
              <w:rPr>
                <w:rFonts w:hint="eastAsia" w:ascii="宋体" w:hAnsi="宋体" w:eastAsia="宋体" w:cs="宋体"/>
                <w:color w:val="auto"/>
                <w:highlight w:val="none"/>
              </w:rPr>
              <w:t>”栏目下载。</w:t>
            </w:r>
          </w:p>
        </w:tc>
      </w:tr>
      <w:tr w14:paraId="48B224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9" w:hRule="atLeast"/>
        </w:trPr>
        <w:tc>
          <w:tcPr>
            <w:tcW w:w="1080" w:type="dxa"/>
            <w:noWrap w:val="0"/>
            <w:vAlign w:val="center"/>
          </w:tcPr>
          <w:p w14:paraId="4CAAFA21">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4.1.1</w:t>
            </w:r>
          </w:p>
        </w:tc>
        <w:tc>
          <w:tcPr>
            <w:tcW w:w="2181" w:type="dxa"/>
            <w:noWrap w:val="0"/>
            <w:vAlign w:val="center"/>
          </w:tcPr>
          <w:p w14:paraId="220BA0E2">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投标文件的密封和标记</w:t>
            </w:r>
          </w:p>
        </w:tc>
        <w:tc>
          <w:tcPr>
            <w:tcW w:w="6237" w:type="dxa"/>
            <w:noWrap w:val="0"/>
            <w:vAlign w:val="center"/>
          </w:tcPr>
          <w:p w14:paraId="31A891C1">
            <w:pPr>
              <w:numPr>
                <w:ilvl w:val="0"/>
                <w:numId w:val="0"/>
              </w:numPr>
              <w:autoSpaceDE/>
              <w:autoSpaceDN/>
              <w:adjustRightInd/>
              <w:spacing w:line="360" w:lineRule="auto"/>
              <w:ind w:right="0"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投标文件全部电子文档必须采用</w:t>
            </w:r>
            <w:r>
              <w:rPr>
                <w:rFonts w:hint="eastAsia" w:ascii="宋体" w:hAnsi="宋体" w:eastAsia="宋体" w:cs="宋体"/>
                <w:color w:val="auto"/>
                <w:szCs w:val="21"/>
                <w:highlight w:val="none"/>
                <w:lang w:eastAsia="zh-CN"/>
              </w:rPr>
              <w:t>数字证书</w:t>
            </w:r>
            <w:r>
              <w:rPr>
                <w:rFonts w:hint="eastAsia" w:ascii="宋体" w:hAnsi="宋体" w:eastAsia="宋体" w:cs="宋体"/>
                <w:color w:val="auto"/>
                <w:szCs w:val="21"/>
                <w:highlight w:val="none"/>
              </w:rPr>
              <w:t>进行上传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投标人应当按照招标文件和电子招标投标交易平台的要求加密投标文件，</w:t>
            </w:r>
            <w:r>
              <w:rPr>
                <w:rFonts w:hint="eastAsia" w:ascii="宋体" w:hAnsi="宋体" w:eastAsia="宋体" w:cs="宋体"/>
                <w:color w:val="auto"/>
                <w:szCs w:val="21"/>
                <w:highlight w:val="none"/>
              </w:rPr>
              <w:t>相关操作手册请自行登录</w:t>
            </w:r>
            <w:r>
              <w:rPr>
                <w:rFonts w:hint="eastAsia" w:ascii="宋体" w:hAnsi="宋体"/>
                <w:color w:val="auto"/>
                <w:szCs w:val="21"/>
                <w:highlight w:val="none"/>
              </w:rPr>
              <w:t>广东省公共资源交易平台（中山市）</w:t>
            </w:r>
            <w:r>
              <w:rPr>
                <w:rFonts w:hint="eastAsia" w:ascii="宋体" w:hAnsi="宋体"/>
                <w:color w:val="auto"/>
                <w:szCs w:val="21"/>
                <w:highlight w:val="none"/>
                <w:lang w:val="en-US" w:eastAsia="zh-CN"/>
              </w:rPr>
              <w:t>-</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服务指南</w:t>
            </w:r>
            <w:r>
              <w:rPr>
                <w:rFonts w:hint="eastAsia" w:ascii="宋体" w:hAnsi="宋体" w:eastAsia="宋体" w:cs="宋体"/>
                <w:color w:val="auto"/>
                <w:szCs w:val="21"/>
                <w:highlight w:val="none"/>
              </w:rPr>
              <w:t>”栏目下载。</w:t>
            </w:r>
          </w:p>
        </w:tc>
      </w:tr>
      <w:tr w14:paraId="72E253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7" w:hRule="atLeast"/>
        </w:trPr>
        <w:tc>
          <w:tcPr>
            <w:tcW w:w="1080" w:type="dxa"/>
            <w:noWrap w:val="0"/>
            <w:vAlign w:val="center"/>
          </w:tcPr>
          <w:p w14:paraId="5B0EA6D8">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4.2.1</w:t>
            </w:r>
          </w:p>
        </w:tc>
        <w:tc>
          <w:tcPr>
            <w:tcW w:w="2181" w:type="dxa"/>
            <w:noWrap w:val="0"/>
            <w:vAlign w:val="center"/>
          </w:tcPr>
          <w:p w14:paraId="3FC0426B">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投标截止时间</w:t>
            </w:r>
          </w:p>
        </w:tc>
        <w:tc>
          <w:tcPr>
            <w:tcW w:w="6237" w:type="dxa"/>
            <w:noWrap w:val="0"/>
            <w:vAlign w:val="center"/>
          </w:tcPr>
          <w:p w14:paraId="38C841E5">
            <w:pPr>
              <w:spacing w:line="360" w:lineRule="auto"/>
              <w:jc w:val="left"/>
              <w:rPr>
                <w:rFonts w:hint="eastAsia" w:ascii="宋体" w:hAnsi="宋体" w:eastAsia="宋体" w:cs="宋体"/>
                <w:color w:val="auto"/>
                <w:szCs w:val="21"/>
                <w:highlight w:val="none"/>
              </w:rPr>
            </w:pPr>
            <w:r>
              <w:rPr>
                <w:rFonts w:hint="eastAsia"/>
                <w:color w:val="auto"/>
                <w:highlight w:val="none"/>
              </w:rPr>
              <w:t>具体时间以工程建设交易系统上的日程安排为准。</w:t>
            </w:r>
          </w:p>
        </w:tc>
      </w:tr>
      <w:tr w14:paraId="27C179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551D741E">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4.2</w:t>
            </w:r>
            <w:r>
              <w:rPr>
                <w:rFonts w:hint="eastAsia" w:ascii="宋体" w:hAnsi="宋体" w:eastAsia="宋体" w:cs="宋体"/>
                <w:color w:val="auto"/>
                <w:szCs w:val="21"/>
                <w:highlight w:val="none"/>
                <w:lang w:val="en-US" w:eastAsia="zh-CN"/>
              </w:rPr>
              <w:t>.2</w:t>
            </w:r>
          </w:p>
        </w:tc>
        <w:tc>
          <w:tcPr>
            <w:tcW w:w="2181" w:type="dxa"/>
            <w:noWrap w:val="0"/>
            <w:vAlign w:val="center"/>
          </w:tcPr>
          <w:p w14:paraId="4535A4D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递交投标文件地点</w:t>
            </w:r>
          </w:p>
        </w:tc>
        <w:tc>
          <w:tcPr>
            <w:tcW w:w="6237" w:type="dxa"/>
            <w:noWrap w:val="0"/>
            <w:vAlign w:val="center"/>
          </w:tcPr>
          <w:p w14:paraId="3A10822F">
            <w:pPr>
              <w:spacing w:line="360" w:lineRule="auto"/>
              <w:jc w:val="both"/>
              <w:rPr>
                <w:rFonts w:hint="eastAsia" w:ascii="宋体" w:hAnsi="宋体" w:eastAsia="宋体" w:cs="宋体"/>
                <w:color w:val="auto"/>
                <w:kern w:val="0"/>
                <w:szCs w:val="21"/>
                <w:highlight w:val="none"/>
              </w:rPr>
            </w:pPr>
            <w:r>
              <w:rPr>
                <w:rFonts w:hint="eastAsia"/>
                <w:color w:val="auto"/>
                <w:szCs w:val="21"/>
                <w:highlight w:val="none"/>
                <w:lang w:val="en-US" w:eastAsia="zh-CN"/>
              </w:rPr>
              <w:t>工程建设交易系统</w:t>
            </w:r>
          </w:p>
        </w:tc>
      </w:tr>
      <w:tr w14:paraId="5F4946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04F5654E">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4.2.3</w:t>
            </w:r>
          </w:p>
        </w:tc>
        <w:tc>
          <w:tcPr>
            <w:tcW w:w="2181" w:type="dxa"/>
            <w:noWrap w:val="0"/>
            <w:vAlign w:val="center"/>
          </w:tcPr>
          <w:p w14:paraId="0037B11F">
            <w:pPr>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是否退还投标文件</w:t>
            </w:r>
          </w:p>
        </w:tc>
        <w:tc>
          <w:tcPr>
            <w:tcW w:w="6237" w:type="dxa"/>
            <w:noWrap w:val="0"/>
            <w:vAlign w:val="center"/>
          </w:tcPr>
          <w:p w14:paraId="4BC926AB">
            <w:pPr>
              <w:spacing w:line="360" w:lineRule="auto"/>
              <w:ind w:firstLine="0" w:firstLineChars="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投标文件不退还。</w:t>
            </w:r>
          </w:p>
        </w:tc>
      </w:tr>
      <w:tr w14:paraId="6CB7B4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trPr>
        <w:tc>
          <w:tcPr>
            <w:tcW w:w="1080" w:type="dxa"/>
            <w:noWrap w:val="0"/>
            <w:vAlign w:val="center"/>
          </w:tcPr>
          <w:p w14:paraId="0E08A201">
            <w:pPr>
              <w:spacing w:line="360" w:lineRule="auto"/>
              <w:jc w:val="center"/>
              <w:rPr>
                <w:rFonts w:hint="eastAsia" w:ascii="宋体" w:hAnsi="宋体" w:eastAsia="宋体" w:cs="宋体"/>
                <w:color w:val="auto"/>
                <w:szCs w:val="21"/>
                <w:highlight w:val="none"/>
                <w:lang w:val="en-US"/>
              </w:rPr>
            </w:pPr>
            <w:r>
              <w:rPr>
                <w:rFonts w:hint="eastAsia" w:ascii="宋体" w:hAnsi="宋体" w:eastAsia="宋体" w:cs="宋体"/>
                <w:color w:val="auto"/>
                <w:szCs w:val="21"/>
                <w:highlight w:val="none"/>
                <w:lang w:val="en-US" w:eastAsia="zh-CN"/>
              </w:rPr>
              <w:t>5.1</w:t>
            </w:r>
          </w:p>
        </w:tc>
        <w:tc>
          <w:tcPr>
            <w:tcW w:w="2181" w:type="dxa"/>
            <w:noWrap w:val="0"/>
            <w:vAlign w:val="center"/>
          </w:tcPr>
          <w:p w14:paraId="3368283D">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highlight w:val="none"/>
              </w:rPr>
              <w:t>开标</w:t>
            </w:r>
            <w:r>
              <w:rPr>
                <w:rFonts w:hint="eastAsia" w:ascii="宋体" w:hAnsi="宋体" w:eastAsia="宋体" w:cs="宋体"/>
                <w:color w:val="auto"/>
                <w:highlight w:val="none"/>
                <w:lang w:val="en-US" w:eastAsia="zh-CN"/>
              </w:rPr>
              <w:t>时间和地点</w:t>
            </w:r>
          </w:p>
        </w:tc>
        <w:tc>
          <w:tcPr>
            <w:tcW w:w="6237" w:type="dxa"/>
            <w:noWrap w:val="0"/>
            <w:vAlign w:val="center"/>
          </w:tcPr>
          <w:p w14:paraId="0E817CA8">
            <w:pPr>
              <w:spacing w:line="360" w:lineRule="auto"/>
              <w:ind w:firstLine="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开标时间</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具体时间以工程建设交易系统上的</w:t>
            </w:r>
            <w:r>
              <w:rPr>
                <w:rFonts w:hint="eastAsia" w:ascii="宋体" w:hAnsi="宋体" w:eastAsia="宋体" w:cs="宋体"/>
                <w:color w:val="auto"/>
                <w:szCs w:val="21"/>
                <w:highlight w:val="none"/>
                <w:lang w:eastAsia="zh-CN"/>
              </w:rPr>
              <w:t>日程</w:t>
            </w:r>
            <w:r>
              <w:rPr>
                <w:rFonts w:hint="eastAsia" w:ascii="宋体" w:hAnsi="宋体" w:eastAsia="宋体" w:cs="宋体"/>
                <w:color w:val="auto"/>
                <w:szCs w:val="21"/>
                <w:highlight w:val="none"/>
              </w:rPr>
              <w:t>安排为准。</w:t>
            </w:r>
          </w:p>
          <w:p w14:paraId="5CEF1BCB">
            <w:pPr>
              <w:spacing w:line="360" w:lineRule="auto"/>
              <w:ind w:firstLine="0" w:firstLineChars="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开标地点</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中山市公共资源交易中心（博爱六路22号）</w:t>
            </w:r>
            <w:r>
              <w:rPr>
                <w:rFonts w:hint="eastAsia" w:ascii="宋体" w:hAnsi="宋体" w:eastAsia="宋体" w:cs="宋体"/>
                <w:color w:val="auto"/>
                <w:szCs w:val="21"/>
                <w:highlight w:val="none"/>
                <w:lang w:eastAsia="zh-CN"/>
              </w:rPr>
              <w:t>。本项目在</w:t>
            </w:r>
            <w:r>
              <w:rPr>
                <w:rFonts w:hint="eastAsia" w:ascii="宋体" w:hAnsi="宋体" w:cs="宋体"/>
                <w:color w:val="auto"/>
                <w:szCs w:val="21"/>
                <w:highlight w:val="none"/>
              </w:rPr>
              <w:t>中山市公共资源交易中心现场组织网上开标，投标人无需抵达开标现场。投标人可</w:t>
            </w:r>
            <w:r>
              <w:rPr>
                <w:rFonts w:hint="eastAsia" w:ascii="宋体" w:hAnsi="宋体" w:cs="宋体"/>
                <w:color w:val="auto"/>
                <w:szCs w:val="21"/>
                <w:highlight w:val="none"/>
                <w:lang w:eastAsia="zh-CN"/>
              </w:rPr>
              <w:t>登录</w:t>
            </w:r>
            <w:r>
              <w:rPr>
                <w:rFonts w:hint="eastAsia" w:ascii="宋体" w:hAnsi="宋体" w:cs="宋体"/>
                <w:color w:val="auto"/>
                <w:szCs w:val="21"/>
                <w:highlight w:val="none"/>
              </w:rPr>
              <w:t>工程建设交易系统→“参与项目”→“网上开标”栏目查看项目开标过程，依法提出开标异议。</w:t>
            </w:r>
          </w:p>
        </w:tc>
      </w:tr>
      <w:tr w14:paraId="186232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trPr>
        <w:tc>
          <w:tcPr>
            <w:tcW w:w="1080" w:type="dxa"/>
            <w:noWrap w:val="0"/>
            <w:vAlign w:val="center"/>
          </w:tcPr>
          <w:p w14:paraId="1E859DBE">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5.2</w:t>
            </w:r>
          </w:p>
        </w:tc>
        <w:tc>
          <w:tcPr>
            <w:tcW w:w="2181" w:type="dxa"/>
            <w:noWrap w:val="0"/>
            <w:vAlign w:val="center"/>
          </w:tcPr>
          <w:p w14:paraId="2F1ACBDB">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投标文件解密时间</w:t>
            </w:r>
          </w:p>
        </w:tc>
        <w:tc>
          <w:tcPr>
            <w:tcW w:w="6237" w:type="dxa"/>
            <w:noWrap w:val="0"/>
            <w:vAlign w:val="center"/>
          </w:tcPr>
          <w:p w14:paraId="4F35729D">
            <w:pPr>
              <w:spacing w:line="360" w:lineRule="auto"/>
              <w:ind w:firstLine="0" w:firstLineChars="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具体时间以工程建设交易系统上的日程安排为准。</w:t>
            </w:r>
          </w:p>
        </w:tc>
      </w:tr>
      <w:tr w14:paraId="07BCCF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trPr>
        <w:tc>
          <w:tcPr>
            <w:tcW w:w="1080" w:type="dxa"/>
            <w:noWrap w:val="0"/>
            <w:vAlign w:val="center"/>
          </w:tcPr>
          <w:p w14:paraId="05A0C751">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6.1.1</w:t>
            </w:r>
          </w:p>
        </w:tc>
        <w:tc>
          <w:tcPr>
            <w:tcW w:w="2181" w:type="dxa"/>
            <w:noWrap w:val="0"/>
            <w:vAlign w:val="center"/>
          </w:tcPr>
          <w:p w14:paraId="2D963F5B">
            <w:pPr>
              <w:spacing w:line="360" w:lineRule="auto"/>
              <w:jc w:val="center"/>
              <w:rPr>
                <w:rFonts w:hint="eastAsia" w:ascii="宋体" w:hAnsi="宋体" w:eastAsia="宋体" w:cs="宋体"/>
                <w:color w:val="auto"/>
                <w:highlight w:val="none"/>
                <w:lang w:val="en-US" w:eastAsia="zh-CN"/>
              </w:rPr>
            </w:pPr>
            <w:r>
              <w:rPr>
                <w:rFonts w:hint="eastAsia"/>
                <w:color w:val="auto"/>
                <w:highlight w:val="none"/>
                <w:lang w:val="en-US" w:eastAsia="zh-CN"/>
              </w:rPr>
              <w:t>资格审查工作小组的组建</w:t>
            </w:r>
          </w:p>
        </w:tc>
        <w:tc>
          <w:tcPr>
            <w:tcW w:w="6237" w:type="dxa"/>
            <w:noWrap w:val="0"/>
            <w:vAlign w:val="center"/>
          </w:tcPr>
          <w:p w14:paraId="1D33FFA4">
            <w:pPr>
              <w:spacing w:line="360" w:lineRule="auto"/>
              <w:ind w:firstLine="0" w:firstLineChars="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共</w:t>
            </w:r>
            <w:permStart w:id="87"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3 </w:t>
            </w:r>
            <w:r>
              <w:rPr>
                <w:rFonts w:hint="eastAsia" w:ascii="宋体" w:hAnsi="宋体" w:eastAsia="宋体" w:cs="宋体"/>
                <w:color w:val="auto"/>
                <w:szCs w:val="21"/>
                <w:highlight w:val="none"/>
                <w:u w:val="single"/>
              </w:rPr>
              <w:t xml:space="preserve"> </w:t>
            </w:r>
            <w:permEnd w:id="87"/>
            <w:r>
              <w:rPr>
                <w:rFonts w:hint="eastAsia" w:ascii="宋体" w:hAnsi="宋体" w:eastAsia="宋体" w:cs="宋体"/>
                <w:color w:val="auto"/>
                <w:szCs w:val="21"/>
                <w:highlight w:val="none"/>
              </w:rPr>
              <w:t>人。【备注：</w:t>
            </w:r>
            <w:r>
              <w:rPr>
                <w:rFonts w:hint="eastAsia" w:ascii="宋体" w:hAnsi="宋体" w:eastAsia="宋体" w:cs="宋体"/>
                <w:color w:val="auto"/>
                <w:szCs w:val="21"/>
                <w:highlight w:val="none"/>
                <w:lang w:val="en-US" w:eastAsia="zh-CN"/>
              </w:rPr>
              <w:t>数量应为单数。</w:t>
            </w:r>
            <w:r>
              <w:rPr>
                <w:rFonts w:hint="eastAsia" w:ascii="宋体" w:hAnsi="宋体" w:eastAsia="宋体" w:cs="宋体"/>
                <w:color w:val="auto"/>
                <w:szCs w:val="21"/>
                <w:highlight w:val="none"/>
              </w:rPr>
              <w:t>】</w:t>
            </w:r>
          </w:p>
        </w:tc>
      </w:tr>
      <w:tr w14:paraId="594039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trPr>
        <w:tc>
          <w:tcPr>
            <w:tcW w:w="1080" w:type="dxa"/>
            <w:vMerge w:val="restart"/>
            <w:noWrap w:val="0"/>
            <w:vAlign w:val="center"/>
          </w:tcPr>
          <w:p w14:paraId="02BBB869">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6.2</w:t>
            </w:r>
          </w:p>
        </w:tc>
        <w:tc>
          <w:tcPr>
            <w:tcW w:w="2181" w:type="dxa"/>
            <w:vMerge w:val="restart"/>
            <w:noWrap w:val="0"/>
            <w:vAlign w:val="center"/>
          </w:tcPr>
          <w:p w14:paraId="79D93FB5">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入围筛选方法和规则</w:t>
            </w:r>
          </w:p>
        </w:tc>
        <w:tc>
          <w:tcPr>
            <w:tcW w:w="6237" w:type="dxa"/>
            <w:noWrap w:val="0"/>
            <w:vAlign w:val="center"/>
          </w:tcPr>
          <w:p w14:paraId="325857AA">
            <w:pPr>
              <w:spacing w:line="360" w:lineRule="auto"/>
              <w:rPr>
                <w:rFonts w:hint="eastAsia" w:ascii="宋体" w:hAnsi="宋体" w:eastAsia="宋体"/>
                <w:color w:val="auto"/>
                <w:szCs w:val="21"/>
                <w:highlight w:val="none"/>
                <w:lang w:eastAsia="zh-CN"/>
              </w:rPr>
            </w:pPr>
            <w:r>
              <w:rPr>
                <w:rFonts w:hint="eastAsia"/>
                <w:color w:val="auto"/>
                <w:highlight w:val="none"/>
                <w:lang w:val="en-US" w:eastAsia="zh-CN"/>
              </w:rPr>
              <w:t>入围筛选方法：</w:t>
            </w:r>
            <w:permStart w:id="88" w:edGrp="everyone"/>
            <w:r>
              <w:rPr>
                <w:rFonts w:hint="eastAsia" w:ascii="宋体" w:hAnsi="宋体"/>
                <w:color w:val="auto"/>
                <w:szCs w:val="21"/>
                <w:highlight w:val="none"/>
                <w:lang w:eastAsia="zh-CN"/>
              </w:rPr>
              <w:t>☑</w:t>
            </w:r>
            <w:permEnd w:id="88"/>
            <w:r>
              <w:rPr>
                <w:rFonts w:hint="eastAsia" w:ascii="宋体" w:hAnsi="宋体"/>
                <w:color w:val="auto"/>
                <w:szCs w:val="21"/>
                <w:highlight w:val="none"/>
                <w:lang w:val="en-US" w:eastAsia="zh-CN"/>
              </w:rPr>
              <w:t xml:space="preserve"> </w:t>
            </w:r>
            <w:r>
              <w:rPr>
                <w:rFonts w:hint="eastAsia" w:ascii="宋体" w:hAnsi="宋体"/>
                <w:color w:val="auto"/>
                <w:szCs w:val="21"/>
                <w:highlight w:val="none"/>
                <w:lang w:eastAsia="zh-CN"/>
              </w:rPr>
              <w:t>票决法</w:t>
            </w:r>
          </w:p>
          <w:p w14:paraId="78354336">
            <w:pPr>
              <w:spacing w:line="360" w:lineRule="auto"/>
              <w:ind w:firstLine="1470" w:firstLineChars="700"/>
              <w:jc w:val="left"/>
              <w:rPr>
                <w:rFonts w:hint="eastAsia"/>
                <w:color w:val="auto"/>
                <w:highlight w:val="none"/>
                <w:lang w:val="en-US" w:eastAsia="zh-CN"/>
              </w:rPr>
            </w:pPr>
            <w:permStart w:id="89" w:edGrp="everyone"/>
            <w:r>
              <w:rPr>
                <w:rFonts w:hint="eastAsia" w:ascii="宋体" w:hAnsi="宋体"/>
                <w:color w:val="auto"/>
                <w:szCs w:val="21"/>
                <w:highlight w:val="none"/>
                <w:lang w:eastAsia="zh-CN"/>
              </w:rPr>
              <w:t>□</w:t>
            </w:r>
            <w:permEnd w:id="89"/>
            <w:r>
              <w:rPr>
                <w:rFonts w:hint="eastAsia" w:ascii="宋体" w:hAnsi="宋体"/>
                <w:color w:val="auto"/>
                <w:szCs w:val="21"/>
                <w:highlight w:val="none"/>
                <w:lang w:val="en-US" w:eastAsia="zh-CN"/>
              </w:rPr>
              <w:t xml:space="preserve"> </w:t>
            </w:r>
            <w:r>
              <w:rPr>
                <w:rFonts w:hint="eastAsia" w:ascii="宋体" w:hAnsi="宋体"/>
                <w:color w:val="auto"/>
                <w:szCs w:val="21"/>
                <w:highlight w:val="none"/>
                <w:lang w:eastAsia="zh-CN"/>
              </w:rPr>
              <w:t>集体议事法</w:t>
            </w:r>
          </w:p>
          <w:p w14:paraId="3DFD9F68">
            <w:pPr>
              <w:spacing w:line="360" w:lineRule="auto"/>
              <w:jc w:val="left"/>
              <w:rPr>
                <w:rFonts w:hint="eastAsia" w:ascii="宋体" w:hAnsi="宋体" w:eastAsia="宋体" w:cs="宋体"/>
                <w:color w:val="auto"/>
                <w:szCs w:val="21"/>
                <w:highlight w:val="none"/>
                <w:lang w:val="en-US" w:eastAsia="zh-CN"/>
              </w:rPr>
            </w:pPr>
            <w:r>
              <w:rPr>
                <w:rFonts w:hint="eastAsia" w:ascii="宋体" w:hAnsi="宋体"/>
                <w:b w:val="0"/>
                <w:bCs w:val="0"/>
                <w:color w:val="auto"/>
                <w:szCs w:val="21"/>
                <w:highlight w:val="none"/>
                <w:lang w:val="en-US" w:eastAsia="zh-CN"/>
              </w:rPr>
              <w:t>进入评标程序的投标人数量：</w:t>
            </w:r>
            <w:permStart w:id="90" w:edGrp="everyone"/>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20 </w:t>
            </w:r>
            <w:permEnd w:id="90"/>
            <w:r>
              <w:rPr>
                <w:rFonts w:hint="eastAsia" w:ascii="宋体" w:hAnsi="宋体"/>
                <w:color w:val="auto"/>
                <w:szCs w:val="21"/>
                <w:highlight w:val="none"/>
              </w:rPr>
              <w:t>【备注：</w:t>
            </w:r>
            <w:r>
              <w:rPr>
                <w:rFonts w:hint="eastAsia" w:ascii="宋体" w:hAnsi="宋体"/>
                <w:b w:val="0"/>
                <w:bCs w:val="0"/>
                <w:color w:val="auto"/>
                <w:szCs w:val="21"/>
                <w:highlight w:val="none"/>
                <w:u w:val="none"/>
                <w:lang w:val="en-US" w:eastAsia="zh-CN"/>
              </w:rPr>
              <w:t>15~20</w:t>
            </w:r>
            <w:r>
              <w:rPr>
                <w:rFonts w:hint="eastAsia" w:ascii="宋体" w:hAnsi="宋体"/>
                <w:color w:val="auto"/>
                <w:szCs w:val="21"/>
                <w:highlight w:val="none"/>
                <w:u w:val="none"/>
              </w:rPr>
              <w:t>（含本数）</w:t>
            </w:r>
            <w:r>
              <w:rPr>
                <w:rFonts w:hint="eastAsia" w:ascii="宋体" w:hAnsi="宋体"/>
                <w:color w:val="auto"/>
                <w:szCs w:val="21"/>
                <w:highlight w:val="none"/>
                <w:u w:val="none"/>
                <w:lang w:eastAsia="zh-CN"/>
              </w:rPr>
              <w:t>。</w:t>
            </w:r>
            <w:r>
              <w:rPr>
                <w:rFonts w:hint="eastAsia" w:ascii="宋体" w:hAnsi="宋体"/>
                <w:color w:val="auto"/>
                <w:szCs w:val="21"/>
                <w:highlight w:val="none"/>
              </w:rPr>
              <w:t>】</w:t>
            </w:r>
          </w:p>
        </w:tc>
      </w:tr>
      <w:tr w14:paraId="5C0771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trPr>
        <w:tc>
          <w:tcPr>
            <w:tcW w:w="1080" w:type="dxa"/>
            <w:vMerge w:val="continue"/>
            <w:noWrap w:val="0"/>
            <w:vAlign w:val="center"/>
          </w:tcPr>
          <w:p w14:paraId="2FD0A199">
            <w:pPr>
              <w:spacing w:line="360" w:lineRule="auto"/>
              <w:jc w:val="center"/>
              <w:rPr>
                <w:rFonts w:hint="eastAsia" w:ascii="宋体" w:hAnsi="宋体" w:eastAsia="宋体" w:cs="宋体"/>
                <w:color w:val="auto"/>
                <w:szCs w:val="21"/>
                <w:highlight w:val="none"/>
                <w:lang w:val="en-US" w:eastAsia="zh-CN"/>
              </w:rPr>
            </w:pPr>
          </w:p>
        </w:tc>
        <w:tc>
          <w:tcPr>
            <w:tcW w:w="2181" w:type="dxa"/>
            <w:vMerge w:val="continue"/>
            <w:noWrap w:val="0"/>
            <w:vAlign w:val="center"/>
          </w:tcPr>
          <w:p w14:paraId="2AA994B5">
            <w:pPr>
              <w:spacing w:line="360" w:lineRule="auto"/>
              <w:jc w:val="center"/>
              <w:rPr>
                <w:rFonts w:hint="eastAsia" w:ascii="宋体" w:hAnsi="宋体" w:eastAsia="宋体" w:cs="宋体"/>
                <w:color w:val="auto"/>
                <w:highlight w:val="none"/>
                <w:lang w:val="en-US" w:eastAsia="zh-CN"/>
              </w:rPr>
            </w:pPr>
          </w:p>
        </w:tc>
        <w:tc>
          <w:tcPr>
            <w:tcW w:w="6237" w:type="dxa"/>
            <w:noWrap w:val="0"/>
            <w:vAlign w:val="center"/>
          </w:tcPr>
          <w:p w14:paraId="6E1DE8E7">
            <w:pPr>
              <w:spacing w:line="360" w:lineRule="auto"/>
              <w:rPr>
                <w:rFonts w:hint="eastAsia" w:ascii="宋体" w:hAnsi="宋体" w:eastAsia="宋体" w:cs="宋体"/>
                <w:color w:val="auto"/>
                <w:highlight w:val="none"/>
                <w:u w:val="single"/>
              </w:rPr>
            </w:pPr>
            <w:r>
              <w:rPr>
                <w:rFonts w:hint="eastAsia"/>
                <w:color w:val="auto"/>
                <w:highlight w:val="none"/>
                <w:lang w:val="en-US" w:eastAsia="zh-CN"/>
              </w:rPr>
              <w:t>具体筛选规则：</w:t>
            </w:r>
            <w:permStart w:id="91" w:edGrp="everyone"/>
            <w:r>
              <w:rPr>
                <w:rFonts w:hint="eastAsia"/>
                <w:color w:val="auto"/>
                <w:highlight w:val="none"/>
                <w:u w:val="single"/>
              </w:rPr>
              <w:t xml:space="preserve"> </w:t>
            </w:r>
            <w:r>
              <w:rPr>
                <w:rFonts w:hint="eastAsia" w:ascii="宋体" w:hAnsi="宋体" w:eastAsia="宋体" w:cs="宋体"/>
                <w:color w:val="auto"/>
                <w:highlight w:val="none"/>
                <w:u w:val="single"/>
              </w:rPr>
              <w:t>1）当合格投标人数量不足 3 名的，重新招标。</w:t>
            </w:r>
          </w:p>
          <w:p w14:paraId="0B35B34A">
            <w:pPr>
              <w:spacing w:line="360" w:lineRule="auto"/>
              <w:rPr>
                <w:rFonts w:hint="eastAsia" w:ascii="宋体" w:hAnsi="宋体" w:eastAsia="宋体" w:cs="宋体"/>
                <w:color w:val="auto"/>
                <w:highlight w:val="none"/>
                <w:u w:val="single"/>
              </w:rPr>
            </w:pPr>
            <w:r>
              <w:rPr>
                <w:rFonts w:hint="eastAsia" w:ascii="宋体" w:hAnsi="宋体" w:eastAsia="宋体" w:cs="宋体"/>
                <w:color w:val="auto"/>
                <w:highlight w:val="none"/>
                <w:u w:val="single"/>
              </w:rPr>
              <w:t>2）当合格投标人数量多于 3 名（含 3 名）少于 20 名（含 20 名）的，所有资格审查合格投标人均进入评标环节。</w:t>
            </w:r>
          </w:p>
          <w:p w14:paraId="0351179F">
            <w:pPr>
              <w:spacing w:line="360" w:lineRule="auto"/>
              <w:rPr>
                <w:rFonts w:hint="eastAsia" w:ascii="宋体" w:hAnsi="宋体" w:eastAsia="宋体" w:cs="宋体"/>
                <w:color w:val="auto"/>
                <w:highlight w:val="none"/>
                <w:u w:val="single"/>
                <w:lang w:eastAsia="zh-CN"/>
              </w:rPr>
            </w:pPr>
            <w:r>
              <w:rPr>
                <w:rFonts w:hint="eastAsia" w:ascii="宋体" w:hAnsi="宋体" w:eastAsia="宋体" w:cs="宋体"/>
                <w:color w:val="auto"/>
                <w:highlight w:val="none"/>
                <w:u w:val="single"/>
              </w:rPr>
              <w:t>3）当合格投标人超过 20 名的，则进行入围筛选，资审筛选小组将采用票决法选出 20名投标人进入评标环节</w:t>
            </w:r>
            <w:r>
              <w:rPr>
                <w:rFonts w:hint="eastAsia" w:ascii="宋体" w:hAnsi="宋体" w:cs="宋体"/>
                <w:color w:val="auto"/>
                <w:highlight w:val="none"/>
                <w:u w:val="single"/>
                <w:lang w:eastAsia="zh-CN"/>
              </w:rPr>
              <w:t>：</w:t>
            </w:r>
          </w:p>
          <w:p w14:paraId="3BC42DF7">
            <w:pPr>
              <w:spacing w:line="360" w:lineRule="auto"/>
              <w:rPr>
                <w:rFonts w:hint="eastAsia" w:ascii="宋体" w:hAnsi="宋体" w:eastAsia="宋体" w:cs="宋体"/>
                <w:color w:val="auto"/>
                <w:highlight w:val="none"/>
                <w:u w:val="single"/>
                <w:lang w:eastAsia="zh-CN"/>
              </w:rPr>
            </w:pPr>
            <w:r>
              <w:rPr>
                <w:rFonts w:hint="eastAsia" w:ascii="微软雅黑" w:hAnsi="微软雅黑" w:eastAsia="微软雅黑" w:cs="微软雅黑"/>
                <w:color w:val="auto"/>
                <w:highlight w:val="none"/>
                <w:u w:val="single"/>
              </w:rPr>
              <w:t>①</w:t>
            </w:r>
            <w:r>
              <w:rPr>
                <w:rFonts w:hint="eastAsia" w:ascii="宋体" w:hAnsi="宋体" w:eastAsia="宋体" w:cs="宋体"/>
                <w:color w:val="auto"/>
                <w:highlight w:val="none"/>
                <w:u w:val="single"/>
              </w:rPr>
              <w:t>近三年</w:t>
            </w:r>
            <w:r>
              <w:rPr>
                <w:rFonts w:hint="eastAsia" w:ascii="宋体" w:hAnsi="宋体" w:cs="宋体"/>
                <w:color w:val="auto"/>
                <w:highlight w:val="none"/>
                <w:u w:val="single"/>
                <w:lang w:eastAsia="zh-CN"/>
              </w:rPr>
              <w:t>（</w:t>
            </w:r>
            <w:r>
              <w:rPr>
                <w:rFonts w:hint="eastAsia" w:ascii="宋体" w:hAnsi="宋体" w:cs="宋体"/>
                <w:color w:val="auto"/>
                <w:highlight w:val="none"/>
                <w:u w:val="single"/>
                <w:lang w:val="en-US" w:eastAsia="zh-CN"/>
              </w:rPr>
              <w:t>2023年10月1日至投标截止之日）房屋建筑施工</w:t>
            </w:r>
            <w:r>
              <w:rPr>
                <w:rFonts w:hint="eastAsia" w:ascii="宋体" w:hAnsi="宋体" w:eastAsia="宋体" w:cs="宋体"/>
                <w:color w:val="auto"/>
                <w:highlight w:val="none"/>
                <w:u w:val="single"/>
              </w:rPr>
              <w:t>业绩技术复杂、实施难度大、合同金额规模大的投标人优于同类业绩稀少、项目简单、合同金额小的投标人</w:t>
            </w:r>
            <w:r>
              <w:rPr>
                <w:rFonts w:hint="eastAsia" w:ascii="宋体" w:hAnsi="宋体" w:cs="宋体"/>
                <w:color w:val="auto"/>
                <w:highlight w:val="none"/>
                <w:u w:val="single"/>
                <w:lang w:val="en-US" w:eastAsia="zh-CN"/>
              </w:rPr>
              <w:t>；</w:t>
            </w:r>
          </w:p>
          <w:p w14:paraId="04F75E1A">
            <w:pPr>
              <w:spacing w:line="360" w:lineRule="auto"/>
              <w:rPr>
                <w:rFonts w:hint="eastAsia" w:ascii="宋体" w:hAnsi="宋体" w:eastAsia="宋体" w:cs="宋体"/>
                <w:color w:val="auto"/>
                <w:highlight w:val="none"/>
                <w:u w:val="single"/>
                <w:lang w:eastAsia="zh-CN"/>
              </w:rPr>
            </w:pPr>
            <w:r>
              <w:rPr>
                <w:rFonts w:hint="eastAsia" w:ascii="宋体" w:hAnsi="宋体" w:eastAsia="宋体" w:cs="宋体"/>
                <w:color w:val="auto"/>
                <w:highlight w:val="none"/>
                <w:u w:val="single"/>
              </w:rPr>
              <w:t>②拟投入项目管理团队人员水平高的投标人优于水平低的投标人（注册证书、职称及人员业绩等）</w:t>
            </w:r>
            <w:r>
              <w:rPr>
                <w:rFonts w:hint="eastAsia" w:ascii="宋体" w:hAnsi="宋体" w:eastAsia="宋体" w:cs="宋体"/>
                <w:color w:val="auto"/>
                <w:highlight w:val="none"/>
                <w:u w:val="single"/>
                <w:lang w:eastAsia="zh-CN"/>
              </w:rPr>
              <w:t>。</w:t>
            </w:r>
          </w:p>
          <w:p w14:paraId="6B0BA925">
            <w:pPr>
              <w:spacing w:line="360" w:lineRule="auto"/>
              <w:rPr>
                <w:rFonts w:hint="eastAsia" w:ascii="宋体" w:hAnsi="宋体" w:eastAsia="宋体" w:cs="宋体"/>
                <w:color w:val="auto"/>
                <w:highlight w:val="none"/>
                <w:u w:val="single"/>
              </w:rPr>
            </w:pPr>
            <w:r>
              <w:rPr>
                <w:rFonts w:hint="eastAsia" w:ascii="宋体" w:hAnsi="宋体" w:eastAsia="宋体" w:cs="宋体"/>
                <w:color w:val="auto"/>
                <w:highlight w:val="none"/>
                <w:u w:val="single"/>
              </w:rPr>
              <w:t>资审筛选小组成员以记名方式对所有合格的投标单位进行票决，每人选20名投标人，汇总得票数高的前20名投标人进入评标环节。若出现两名或两名以上投标人得票数相同并导致进入评标环节的投标人超过20名时，则对上述得票数相同的投标人进行新一轮的票决，直至确定20名投标人进入评标环节。</w:t>
            </w:r>
          </w:p>
          <w:p w14:paraId="54B3A601">
            <w:p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u w:val="single"/>
              </w:rPr>
              <w:t>注：资格审查和入围筛选工作结束后，资审筛选小组应向招标人提交书面的资格审查和入围筛选报告，并签字确认。报告内容应包括资格审查合格名单、筛选方式、入围筛选环节名单、筛选结果等全过程情况。</w:t>
            </w:r>
            <w:r>
              <w:rPr>
                <w:rFonts w:hint="eastAsia"/>
                <w:color w:val="auto"/>
                <w:highlight w:val="none"/>
                <w:u w:val="single"/>
              </w:rPr>
              <w:t xml:space="preserve">              </w:t>
            </w:r>
            <w:permEnd w:id="91"/>
          </w:p>
        </w:tc>
      </w:tr>
      <w:tr w14:paraId="1250C8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080" w:type="dxa"/>
            <w:noWrap w:val="0"/>
            <w:vAlign w:val="center"/>
          </w:tcPr>
          <w:p w14:paraId="73518ACC">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.1</w:t>
            </w:r>
          </w:p>
        </w:tc>
        <w:tc>
          <w:tcPr>
            <w:tcW w:w="2181" w:type="dxa"/>
            <w:noWrap w:val="0"/>
            <w:vAlign w:val="center"/>
          </w:tcPr>
          <w:p w14:paraId="3AFCE64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评标委员会的组建</w:t>
            </w:r>
          </w:p>
        </w:tc>
        <w:tc>
          <w:tcPr>
            <w:tcW w:w="6237" w:type="dxa"/>
            <w:noWrap w:val="0"/>
            <w:vAlign w:val="center"/>
          </w:tcPr>
          <w:p w14:paraId="0CC3C2AB">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评标委员会构成</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评标委员会共</w:t>
            </w:r>
            <w:permStart w:id="92"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5</w:t>
            </w:r>
            <w:r>
              <w:rPr>
                <w:rFonts w:hint="eastAsia" w:ascii="宋体" w:hAnsi="宋体" w:eastAsia="宋体" w:cs="宋体"/>
                <w:color w:val="auto"/>
                <w:szCs w:val="21"/>
                <w:highlight w:val="none"/>
                <w:u w:val="single"/>
              </w:rPr>
              <w:t xml:space="preserve"> </w:t>
            </w:r>
            <w:permEnd w:id="92"/>
            <w:r>
              <w:rPr>
                <w:rFonts w:hint="eastAsia" w:ascii="宋体" w:hAnsi="宋体" w:eastAsia="宋体" w:cs="宋体"/>
                <w:color w:val="auto"/>
                <w:szCs w:val="21"/>
                <w:highlight w:val="none"/>
              </w:rPr>
              <w:t>人。【备注：</w:t>
            </w:r>
            <w:r>
              <w:rPr>
                <w:rFonts w:hint="eastAsia" w:ascii="宋体" w:hAnsi="宋体" w:eastAsia="宋体" w:cs="宋体"/>
                <w:color w:val="auto"/>
                <w:szCs w:val="21"/>
                <w:highlight w:val="none"/>
                <w:lang w:val="en-US" w:eastAsia="zh-CN"/>
              </w:rPr>
              <w:t>5人或以上单数。</w:t>
            </w:r>
            <w:r>
              <w:rPr>
                <w:rFonts w:hint="eastAsia" w:ascii="宋体" w:hAnsi="宋体" w:eastAsia="宋体" w:cs="宋体"/>
                <w:color w:val="auto"/>
                <w:szCs w:val="21"/>
                <w:highlight w:val="none"/>
              </w:rPr>
              <w:t>其中工程造价类专家和工程施工类专家各至少一名。</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园林绿化工程</w:t>
            </w:r>
            <w:r>
              <w:rPr>
                <w:rFonts w:hint="eastAsia" w:ascii="宋体" w:hAnsi="宋体" w:eastAsia="宋体" w:cs="宋体"/>
                <w:color w:val="auto"/>
                <w:szCs w:val="21"/>
                <w:highlight w:val="none"/>
                <w:lang w:eastAsia="zh-CN"/>
              </w:rPr>
              <w:t>的</w:t>
            </w:r>
            <w:r>
              <w:rPr>
                <w:rFonts w:hint="eastAsia" w:ascii="宋体" w:hAnsi="宋体" w:eastAsia="宋体" w:cs="宋体"/>
                <w:color w:val="auto"/>
                <w:szCs w:val="21"/>
                <w:highlight w:val="none"/>
              </w:rPr>
              <w:t>园林专业专家人数不少于委员会专家人数的1/3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649E960A">
            <w:pPr>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评标专家确定方式：</w:t>
            </w:r>
            <w:permStart w:id="93" w:edGrp="everyone"/>
            <w:r>
              <w:rPr>
                <w:rFonts w:hint="eastAsia" w:ascii="宋体" w:hAnsi="宋体" w:eastAsia="宋体" w:cs="宋体"/>
                <w:color w:val="auto"/>
                <w:szCs w:val="21"/>
                <w:highlight w:val="none"/>
                <w:u w:val="single"/>
              </w:rPr>
              <w:t xml:space="preserve"> </w:t>
            </w:r>
            <w:r>
              <w:rPr>
                <w:rFonts w:hint="eastAsia" w:ascii="宋体" w:hAnsi="宋体" w:eastAsia="宋体" w:cs="宋体"/>
                <w:color w:val="000000"/>
                <w:spacing w:val="0"/>
                <w:w w:val="100"/>
                <w:position w:val="0"/>
                <w:sz w:val="21"/>
                <w:szCs w:val="21"/>
                <w:u w:val="single"/>
              </w:rPr>
              <w:t>从广东省综合评标评审专家库中随机抽取</w:t>
            </w:r>
            <w:r>
              <w:rPr>
                <w:rFonts w:hint="eastAsia" w:ascii="宋体" w:hAnsi="宋体" w:eastAsia="宋体" w:cs="宋体"/>
                <w:color w:val="000000"/>
                <w:spacing w:val="0"/>
                <w:w w:val="100"/>
                <w:position w:val="0"/>
                <w:sz w:val="21"/>
                <w:szCs w:val="21"/>
                <w:u w:val="single"/>
                <w:lang w:eastAsia="zh-CN"/>
              </w:rPr>
              <w:t>。</w:t>
            </w:r>
            <w:permEnd w:id="93"/>
          </w:p>
          <w:p w14:paraId="51306C94">
            <w:pPr>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备注：</w:t>
            </w:r>
            <w:r>
              <w:rPr>
                <w:rFonts w:hint="eastAsia" w:ascii="宋体" w:hAnsi="宋体" w:eastAsia="宋体" w:cs="宋体"/>
                <w:color w:val="auto"/>
                <w:szCs w:val="21"/>
                <w:highlight w:val="none"/>
              </w:rPr>
              <w:t>评标专家一般从专家库随机抽取，对于技术复杂、专业性强或者国家有特殊要求的项目，招标人也可以直接邀请相应专业的中国科学院院士、中国工程院院士、全国工程勘察设计大师以及境外具有相应资历的专家参加评标</w:t>
            </w:r>
            <w:r>
              <w:rPr>
                <w:rFonts w:hint="eastAsia" w:ascii="宋体" w:hAnsi="宋体" w:eastAsia="宋体" w:cs="宋体"/>
                <w:color w:val="auto"/>
                <w:szCs w:val="21"/>
                <w:highlight w:val="none"/>
                <w:lang w:eastAsia="zh-CN"/>
              </w:rPr>
              <w:t>。</w:t>
            </w:r>
            <w:r>
              <w:rPr>
                <w:rFonts w:hint="eastAsia" w:ascii="宋体" w:hAnsi="宋体" w:eastAsia="宋体" w:cs="宋体"/>
                <w:color w:val="auto"/>
                <w:highlight w:val="none"/>
              </w:rPr>
              <w:t>】</w:t>
            </w:r>
          </w:p>
        </w:tc>
      </w:tr>
      <w:tr w14:paraId="1CCD8B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080" w:type="dxa"/>
            <w:noWrap w:val="0"/>
            <w:vAlign w:val="center"/>
          </w:tcPr>
          <w:p w14:paraId="34C93126">
            <w:pPr>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7.3</w:t>
            </w:r>
          </w:p>
        </w:tc>
        <w:tc>
          <w:tcPr>
            <w:tcW w:w="2181" w:type="dxa"/>
            <w:noWrap w:val="0"/>
            <w:vAlign w:val="center"/>
          </w:tcPr>
          <w:p w14:paraId="051A409D">
            <w:pPr>
              <w:spacing w:line="360" w:lineRule="auto"/>
              <w:jc w:val="cente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评标办法</w:t>
            </w:r>
          </w:p>
        </w:tc>
        <w:tc>
          <w:tcPr>
            <w:tcW w:w="6237" w:type="dxa"/>
            <w:noWrap w:val="0"/>
            <w:vAlign w:val="center"/>
          </w:tcPr>
          <w:p w14:paraId="00CA57D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US" w:eastAsia="zh-CN"/>
              </w:rPr>
            </w:pPr>
            <w:permStart w:id="94" w:edGrp="everyone"/>
            <w:r>
              <w:rPr>
                <w:rFonts w:hint="eastAsia" w:ascii="宋体" w:hAnsi="宋体" w:cs="宋体"/>
                <w:color w:val="auto"/>
                <w:highlight w:val="none"/>
                <w:lang w:eastAsia="zh-CN"/>
              </w:rPr>
              <w:t>☑</w:t>
            </w:r>
            <w:permEnd w:id="94"/>
            <w:r>
              <w:rPr>
                <w:rFonts w:hint="eastAsia" w:ascii="宋体" w:hAnsi="宋体" w:eastAsia="宋体" w:cs="宋体"/>
                <w:color w:val="auto"/>
                <w:highlight w:val="none"/>
                <w:lang w:val="en-US" w:eastAsia="zh-CN"/>
              </w:rPr>
              <w:t xml:space="preserve"> 定性评审</w:t>
            </w:r>
          </w:p>
          <w:p w14:paraId="28C5DC6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2"/>
                <w:sz w:val="21"/>
                <w:szCs w:val="24"/>
                <w:highlight w:val="none"/>
                <w:lang w:val="en-US" w:eastAsia="zh-CN" w:bidi="ar-SA"/>
              </w:rPr>
            </w:pPr>
            <w:permStart w:id="95" w:edGrp="everyone"/>
            <w:r>
              <w:rPr>
                <w:rFonts w:hint="eastAsia" w:ascii="宋体" w:hAnsi="宋体" w:eastAsia="宋体" w:cs="宋体"/>
                <w:color w:val="auto"/>
                <w:highlight w:val="none"/>
              </w:rPr>
              <w:t>□</w:t>
            </w:r>
            <w:permEnd w:id="95"/>
            <w:r>
              <w:rPr>
                <w:rFonts w:hint="eastAsia" w:ascii="宋体" w:hAnsi="宋体" w:eastAsia="宋体" w:cs="宋体"/>
                <w:color w:val="auto"/>
                <w:highlight w:val="none"/>
                <w:lang w:val="en-US" w:eastAsia="zh-CN"/>
              </w:rPr>
              <w:t xml:space="preserve"> 定量评审，推荐定标候选人数量：</w:t>
            </w:r>
            <w:permStart w:id="96" w:edGrp="everyone"/>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permEnd w:id="96"/>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【备注：</w:t>
            </w:r>
            <w:r>
              <w:rPr>
                <w:rFonts w:hint="eastAsia" w:ascii="宋体" w:hAnsi="宋体" w:eastAsia="宋体" w:cs="宋体"/>
                <w:color w:val="auto"/>
                <w:szCs w:val="21"/>
                <w:highlight w:val="none"/>
                <w:lang w:val="en-US" w:eastAsia="zh-CN"/>
              </w:rPr>
              <w:t>不少于5</w:t>
            </w:r>
            <w:r>
              <w:rPr>
                <w:rFonts w:hint="eastAsia" w:ascii="宋体" w:hAnsi="宋体" w:eastAsia="宋体" w:cs="宋体"/>
                <w:color w:val="auto"/>
                <w:highlight w:val="none"/>
                <w:lang w:val="en-US" w:eastAsia="zh-CN"/>
              </w:rPr>
              <w:t>名（含本数）。</w:t>
            </w:r>
            <w:r>
              <w:rPr>
                <w:rFonts w:hint="eastAsia" w:ascii="宋体" w:hAnsi="宋体" w:eastAsia="宋体" w:cs="宋体"/>
                <w:color w:val="auto"/>
                <w:highlight w:val="none"/>
              </w:rPr>
              <w:t>当通过评标委员会评审的有效投标人数量已低于（或等于）规定的推荐定标候选人数量时，除投标文件出现无效投标情形外，所有投标</w:t>
            </w:r>
            <w:r>
              <w:rPr>
                <w:rFonts w:hint="eastAsia" w:ascii="宋体" w:hAnsi="宋体" w:eastAsia="宋体" w:cs="宋体"/>
                <w:color w:val="auto"/>
                <w:highlight w:val="none"/>
                <w:lang w:val="en-US" w:eastAsia="zh-CN"/>
              </w:rPr>
              <w:t>人</w:t>
            </w:r>
            <w:r>
              <w:rPr>
                <w:rFonts w:hint="eastAsia" w:ascii="宋体" w:hAnsi="宋体" w:eastAsia="宋体" w:cs="宋体"/>
                <w:color w:val="auto"/>
                <w:highlight w:val="none"/>
              </w:rPr>
              <w:t>均推荐为定标候选人。】</w:t>
            </w:r>
          </w:p>
        </w:tc>
      </w:tr>
      <w:tr w14:paraId="6E08C1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080" w:type="dxa"/>
            <w:noWrap w:val="0"/>
            <w:vAlign w:val="center"/>
          </w:tcPr>
          <w:p w14:paraId="43C0CEC4">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8.2</w:t>
            </w:r>
          </w:p>
        </w:tc>
        <w:tc>
          <w:tcPr>
            <w:tcW w:w="2181" w:type="dxa"/>
            <w:noWrap w:val="0"/>
            <w:vAlign w:val="center"/>
          </w:tcPr>
          <w:p w14:paraId="18504A2D">
            <w:pPr>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szCs w:val="21"/>
                <w:highlight w:val="none"/>
                <w:lang w:val="en-US" w:eastAsia="zh-CN"/>
              </w:rPr>
              <w:t>定</w:t>
            </w:r>
            <w:r>
              <w:rPr>
                <w:rFonts w:hint="eastAsia" w:ascii="宋体" w:hAnsi="宋体" w:eastAsia="宋体" w:cs="宋体"/>
                <w:color w:val="auto"/>
                <w:szCs w:val="21"/>
                <w:highlight w:val="none"/>
              </w:rPr>
              <w:t>标委员会的组建</w:t>
            </w:r>
          </w:p>
        </w:tc>
        <w:tc>
          <w:tcPr>
            <w:tcW w:w="6237" w:type="dxa"/>
            <w:noWrap w:val="0"/>
            <w:vAlign w:val="center"/>
          </w:tcPr>
          <w:p w14:paraId="69FDC0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定</w:t>
            </w:r>
            <w:r>
              <w:rPr>
                <w:rFonts w:hint="eastAsia" w:ascii="宋体" w:hAnsi="宋体" w:eastAsia="宋体" w:cs="宋体"/>
                <w:color w:val="auto"/>
                <w:highlight w:val="none"/>
              </w:rPr>
              <w:t>标委员会构成</w:t>
            </w:r>
            <w:r>
              <w:rPr>
                <w:rFonts w:hint="eastAsia" w:ascii="宋体" w:hAnsi="宋体" w:eastAsia="宋体" w:cs="宋体"/>
                <w:color w:val="auto"/>
                <w:highlight w:val="none"/>
                <w:lang w:eastAsia="zh-CN"/>
              </w:rPr>
              <w:t>：</w:t>
            </w:r>
            <w:r>
              <w:rPr>
                <w:rFonts w:hint="eastAsia" w:ascii="宋体" w:hAnsi="宋体" w:cs="宋体"/>
                <w:color w:val="auto"/>
                <w:highlight w:val="none"/>
                <w:lang w:eastAsia="zh-CN"/>
              </w:rPr>
              <w:t>定</w:t>
            </w:r>
            <w:r>
              <w:rPr>
                <w:rFonts w:hint="eastAsia" w:ascii="宋体" w:hAnsi="宋体" w:eastAsia="宋体" w:cs="宋体"/>
                <w:color w:val="auto"/>
                <w:highlight w:val="none"/>
              </w:rPr>
              <w:t>标委员会共</w:t>
            </w:r>
            <w:permStart w:id="97" w:edGrp="everyone"/>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7</w:t>
            </w:r>
            <w:r>
              <w:rPr>
                <w:rFonts w:hint="eastAsia" w:ascii="宋体" w:hAnsi="宋体" w:eastAsia="宋体" w:cs="宋体"/>
                <w:color w:val="auto"/>
                <w:highlight w:val="none"/>
                <w:u w:val="single"/>
              </w:rPr>
              <w:t xml:space="preserve"> </w:t>
            </w:r>
            <w:permEnd w:id="97"/>
            <w:r>
              <w:rPr>
                <w:rFonts w:hint="eastAsia" w:ascii="宋体" w:hAnsi="宋体" w:eastAsia="宋体" w:cs="宋体"/>
                <w:color w:val="auto"/>
                <w:highlight w:val="none"/>
              </w:rPr>
              <w:t>人。</w:t>
            </w:r>
          </w:p>
          <w:p w14:paraId="6796B0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备注：</w:t>
            </w:r>
            <w:r>
              <w:rPr>
                <w:rFonts w:hint="eastAsia" w:ascii="宋体" w:hAnsi="宋体" w:eastAsia="宋体" w:cs="宋体"/>
                <w:color w:val="auto"/>
                <w:szCs w:val="21"/>
                <w:highlight w:val="none"/>
                <w:lang w:val="en-US" w:eastAsia="zh-CN"/>
              </w:rPr>
              <w:t>7人或以上单数。</w:t>
            </w:r>
            <w:r>
              <w:rPr>
                <w:rFonts w:hint="eastAsia" w:ascii="宋体" w:hAnsi="宋体" w:eastAsia="宋体" w:cs="宋体"/>
                <w:color w:val="auto"/>
                <w:highlight w:val="none"/>
              </w:rPr>
              <w:t>定标委员会由招标人</w:t>
            </w:r>
            <w:r>
              <w:rPr>
                <w:rFonts w:hint="eastAsia" w:ascii="宋体" w:hAnsi="宋体" w:eastAsia="宋体" w:cs="宋体"/>
                <w:color w:val="auto"/>
                <w:highlight w:val="none"/>
                <w:lang w:val="en-US" w:eastAsia="zh-CN"/>
              </w:rPr>
              <w:t>从</w:t>
            </w:r>
            <w:r>
              <w:rPr>
                <w:rFonts w:hint="eastAsia" w:ascii="宋体" w:hAnsi="宋体" w:eastAsia="宋体" w:cs="宋体"/>
                <w:color w:val="auto"/>
                <w:highlight w:val="none"/>
              </w:rPr>
              <w:t>定标成员库中随机抽取确定</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招标人的法定代表人或主要负责人</w:t>
            </w:r>
            <w:r>
              <w:rPr>
                <w:rFonts w:hint="eastAsia" w:ascii="宋体" w:hAnsi="宋体" w:eastAsia="宋体" w:cs="宋体"/>
                <w:color w:val="auto"/>
                <w:highlight w:val="none"/>
                <w:lang w:val="en-US" w:eastAsia="zh-CN"/>
              </w:rPr>
              <w:t>也</w:t>
            </w:r>
            <w:r>
              <w:rPr>
                <w:rFonts w:hint="eastAsia" w:ascii="宋体" w:hAnsi="宋体" w:eastAsia="宋体" w:cs="宋体"/>
                <w:color w:val="auto"/>
                <w:highlight w:val="none"/>
              </w:rPr>
              <w:t>可从本单位直接指定部分定标委员会成员，或邀请符合法律法规规定的专家作为定标委员会成员，但总数不得超过定标委员会成员总数的三分之一。】</w:t>
            </w:r>
          </w:p>
        </w:tc>
      </w:tr>
      <w:tr w14:paraId="14F0A2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080" w:type="dxa"/>
            <w:vMerge w:val="restart"/>
            <w:noWrap w:val="0"/>
            <w:vAlign w:val="center"/>
          </w:tcPr>
          <w:p w14:paraId="184F671A">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8.4.2</w:t>
            </w:r>
          </w:p>
        </w:tc>
        <w:tc>
          <w:tcPr>
            <w:tcW w:w="2181" w:type="dxa"/>
            <w:vMerge w:val="restart"/>
            <w:noWrap w:val="0"/>
            <w:vAlign w:val="center"/>
          </w:tcPr>
          <w:p w14:paraId="24207579">
            <w:pPr>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定标方法</w:t>
            </w:r>
          </w:p>
        </w:tc>
        <w:tc>
          <w:tcPr>
            <w:tcW w:w="6237" w:type="dxa"/>
            <w:noWrap w:val="0"/>
            <w:vAlign w:val="center"/>
          </w:tcPr>
          <w:p w14:paraId="6FD3D0DD">
            <w:pPr>
              <w:bidi w:val="0"/>
              <w:rPr>
                <w:rFonts w:hint="eastAsia"/>
                <w:color w:val="auto"/>
              </w:rPr>
            </w:pPr>
            <w:permStart w:id="98" w:edGrp="everyone"/>
            <w:r>
              <w:rPr>
                <w:rFonts w:hint="eastAsia"/>
                <w:color w:val="auto"/>
                <w:lang w:eastAsia="zh-CN"/>
              </w:rPr>
              <w:t>☑</w:t>
            </w:r>
            <w:permEnd w:id="98"/>
            <w:r>
              <w:rPr>
                <w:rFonts w:hint="eastAsia" w:ascii="宋体" w:hAnsi="宋体" w:eastAsia="宋体" w:cs="宋体"/>
                <w:color w:val="auto"/>
                <w:szCs w:val="21"/>
                <w:highlight w:val="none"/>
                <w:lang w:val="en-US" w:eastAsia="zh-CN"/>
              </w:rPr>
              <w:t xml:space="preserve"> 1. </w:t>
            </w:r>
            <w:r>
              <w:rPr>
                <w:rFonts w:hint="eastAsia"/>
                <w:color w:val="auto"/>
                <w:lang w:val="en-US" w:eastAsia="zh-CN"/>
              </w:rPr>
              <w:t>票</w:t>
            </w:r>
            <w:r>
              <w:rPr>
                <w:rFonts w:hint="eastAsia"/>
                <w:color w:val="auto"/>
              </w:rPr>
              <w:t>决定标法</w:t>
            </w:r>
          </w:p>
          <w:p w14:paraId="2768ECD5">
            <w:pPr>
              <w:bidi w:val="0"/>
              <w:rPr>
                <w:rFonts w:hint="eastAsia"/>
                <w:color w:val="auto"/>
              </w:rPr>
            </w:pPr>
            <w:permStart w:id="99" w:edGrp="everyone"/>
            <w:r>
              <w:rPr>
                <w:rFonts w:hint="eastAsia"/>
                <w:color w:val="auto"/>
                <w:lang w:eastAsia="zh-CN"/>
              </w:rPr>
              <w:t>□</w:t>
            </w:r>
            <w:permEnd w:id="99"/>
            <w:r>
              <w:rPr>
                <w:rFonts w:hint="eastAsia"/>
                <w:color w:val="auto"/>
                <w:lang w:val="en-US" w:eastAsia="zh-CN"/>
              </w:rPr>
              <w:t xml:space="preserve"> </w:t>
            </w:r>
            <w:r>
              <w:rPr>
                <w:rFonts w:hint="eastAsia" w:ascii="宋体" w:hAnsi="宋体" w:eastAsia="宋体" w:cs="宋体"/>
                <w:color w:val="auto"/>
                <w:szCs w:val="21"/>
                <w:highlight w:val="none"/>
                <w:lang w:val="en-US" w:eastAsia="zh-CN"/>
              </w:rPr>
              <w:t xml:space="preserve">2. </w:t>
            </w:r>
            <w:r>
              <w:rPr>
                <w:rFonts w:hint="eastAsia"/>
                <w:color w:val="auto"/>
              </w:rPr>
              <w:t>集体议事定标法</w:t>
            </w:r>
          </w:p>
          <w:p w14:paraId="16E3EE77">
            <w:pPr>
              <w:bidi w:val="0"/>
              <w:rPr>
                <w:rFonts w:hint="eastAsia" w:ascii="宋体" w:hAnsi="宋体" w:eastAsia="宋体" w:cs="宋体"/>
                <w:color w:val="auto"/>
                <w:highlight w:val="none"/>
              </w:rPr>
            </w:pPr>
            <w:permStart w:id="100" w:edGrp="everyone"/>
            <w:r>
              <w:rPr>
                <w:rFonts w:hint="eastAsia"/>
                <w:color w:val="auto"/>
                <w:lang w:val="en-US" w:eastAsia="zh-CN"/>
              </w:rPr>
              <w:t>□</w:t>
            </w:r>
            <w:permEnd w:id="100"/>
            <w:r>
              <w:rPr>
                <w:rFonts w:hint="eastAsia" w:ascii="宋体" w:hAnsi="宋体" w:eastAsia="宋体" w:cs="宋体"/>
                <w:color w:val="auto"/>
                <w:szCs w:val="21"/>
                <w:highlight w:val="none"/>
                <w:lang w:val="en-US" w:eastAsia="zh-CN"/>
              </w:rPr>
              <w:t xml:space="preserve"> 3. </w:t>
            </w:r>
            <w:permStart w:id="101" w:edGrp="everyone"/>
            <w:r>
              <w:rPr>
                <w:rFonts w:hint="eastAsia"/>
                <w:color w:val="auto"/>
                <w:lang w:eastAsia="zh-CN"/>
              </w:rPr>
              <w:t>符合法律法规规定的其它定标方法。</w:t>
            </w:r>
            <w:permEnd w:id="101"/>
          </w:p>
        </w:tc>
      </w:tr>
      <w:tr w14:paraId="33F32E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080" w:type="dxa"/>
            <w:vMerge w:val="continue"/>
            <w:noWrap w:val="0"/>
            <w:vAlign w:val="center"/>
          </w:tcPr>
          <w:p w14:paraId="07199CFB">
            <w:pPr>
              <w:spacing w:line="360" w:lineRule="auto"/>
              <w:jc w:val="center"/>
              <w:rPr>
                <w:rFonts w:hint="eastAsia" w:ascii="宋体" w:hAnsi="宋体" w:eastAsia="宋体" w:cs="宋体"/>
                <w:color w:val="auto"/>
                <w:szCs w:val="21"/>
                <w:highlight w:val="none"/>
                <w:lang w:val="en-US" w:eastAsia="zh-CN"/>
              </w:rPr>
            </w:pPr>
          </w:p>
        </w:tc>
        <w:tc>
          <w:tcPr>
            <w:tcW w:w="2181" w:type="dxa"/>
            <w:vMerge w:val="continue"/>
            <w:noWrap w:val="0"/>
            <w:vAlign w:val="center"/>
          </w:tcPr>
          <w:p w14:paraId="64BEFF07">
            <w:pPr>
              <w:spacing w:line="360" w:lineRule="auto"/>
              <w:jc w:val="center"/>
              <w:rPr>
                <w:rFonts w:hint="eastAsia" w:ascii="宋体" w:hAnsi="宋体" w:eastAsia="宋体" w:cs="宋体"/>
                <w:color w:val="auto"/>
                <w:highlight w:val="none"/>
                <w:lang w:val="en-US" w:eastAsia="zh-CN"/>
              </w:rPr>
            </w:pPr>
          </w:p>
        </w:tc>
        <w:tc>
          <w:tcPr>
            <w:tcW w:w="6237" w:type="dxa"/>
            <w:noWrap w:val="0"/>
            <w:vAlign w:val="center"/>
          </w:tcPr>
          <w:p w14:paraId="28347B21">
            <w:pPr>
              <w:pStyle w:val="5"/>
              <w:adjustRightInd/>
              <w:snapToGrid/>
              <w:rPr>
                <w:rFonts w:hint="eastAsia"/>
                <w:b w:val="0"/>
                <w:bCs w:val="0"/>
                <w:color w:val="auto"/>
                <w:highlight w:val="none"/>
              </w:rPr>
            </w:pPr>
            <w:r>
              <w:rPr>
                <w:rFonts w:hint="eastAsia"/>
                <w:b w:val="0"/>
                <w:bCs w:val="0"/>
                <w:color w:val="auto"/>
                <w:highlight w:val="none"/>
              </w:rPr>
              <w:t>票决定标方式：</w:t>
            </w:r>
          </w:p>
          <w:p w14:paraId="47986BCB">
            <w:pPr>
              <w:numPr>
                <w:ilvl w:val="0"/>
                <w:numId w:val="0"/>
              </w:numPr>
              <w:adjustRightInd w:val="0"/>
              <w:snapToGrid w:val="0"/>
              <w:spacing w:line="360" w:lineRule="auto"/>
              <w:ind w:firstLine="210" w:firstLineChars="100"/>
              <w:rPr>
                <w:rFonts w:hint="eastAsia"/>
                <w:color w:val="auto"/>
                <w:highlight w:val="none"/>
              </w:rPr>
            </w:pPr>
            <w:permStart w:id="102" w:edGrp="everyone"/>
            <w:r>
              <w:rPr>
                <w:rFonts w:hint="eastAsia" w:cs="Times New Roman"/>
                <w:color w:val="auto"/>
                <w:highlight w:val="none"/>
                <w:lang w:eastAsia="zh-CN"/>
              </w:rPr>
              <w:t>☑</w:t>
            </w:r>
            <w:permEnd w:id="102"/>
            <w:r>
              <w:rPr>
                <w:rFonts w:hint="eastAsia" w:ascii="Times New Roman" w:hAnsi="Times New Roman" w:eastAsia="宋体" w:cs="Times New Roman"/>
                <w:color w:val="auto"/>
                <w:highlight w:val="none"/>
                <w:lang w:val="en-US" w:eastAsia="zh-CN"/>
              </w:rPr>
              <w:t xml:space="preserve"> </w:t>
            </w:r>
            <w:r>
              <w:rPr>
                <w:rFonts w:hint="eastAsia"/>
                <w:color w:val="auto"/>
                <w:highlight w:val="none"/>
              </w:rPr>
              <w:t>票决计分法</w:t>
            </w:r>
          </w:p>
          <w:p w14:paraId="3C02EDAC">
            <w:pPr>
              <w:numPr>
                <w:ilvl w:val="0"/>
                <w:numId w:val="0"/>
              </w:numPr>
              <w:adjustRightInd w:val="0"/>
              <w:snapToGrid w:val="0"/>
              <w:spacing w:line="360" w:lineRule="auto"/>
              <w:ind w:firstLine="210" w:firstLineChars="100"/>
              <w:rPr>
                <w:rFonts w:hint="eastAsia" w:ascii="Times New Roman" w:hAnsi="Times New Roman" w:eastAsia="宋体" w:cs="Times New Roman"/>
                <w:color w:val="auto"/>
                <w:highlight w:val="none"/>
              </w:rPr>
            </w:pPr>
            <w:permStart w:id="103" w:edGrp="everyone"/>
            <w:r>
              <w:rPr>
                <w:rFonts w:hint="eastAsia" w:ascii="Times New Roman" w:hAnsi="Times New Roman" w:eastAsia="宋体" w:cs="Times New Roman"/>
                <w:color w:val="auto"/>
                <w:highlight w:val="none"/>
              </w:rPr>
              <w:t>□</w:t>
            </w:r>
            <w:permEnd w:id="103"/>
            <w:r>
              <w:rPr>
                <w:rFonts w:hint="eastAsia" w:ascii="Times New Roman" w:hAnsi="Times New Roman" w:eastAsia="宋体" w:cs="Times New Roman"/>
                <w:color w:val="auto"/>
                <w:highlight w:val="none"/>
                <w:lang w:val="en-US" w:eastAsia="zh-CN"/>
              </w:rPr>
              <w:t xml:space="preserve"> 简单多数计票法</w:t>
            </w:r>
          </w:p>
          <w:p w14:paraId="4114A4AC">
            <w:pPr>
              <w:adjustRightInd w:val="0"/>
              <w:snapToGrid w:val="0"/>
              <w:ind w:firstLine="210" w:firstLineChars="100"/>
              <w:rPr>
                <w:rFonts w:hint="eastAsia" w:ascii="宋体" w:hAnsi="宋体" w:eastAsia="宋体" w:cs="宋体"/>
                <w:color w:val="auto"/>
                <w:szCs w:val="21"/>
                <w:highlight w:val="none"/>
              </w:rPr>
            </w:pPr>
            <w:permStart w:id="104" w:edGrp="everyone"/>
            <w:r>
              <w:rPr>
                <w:rFonts w:hint="eastAsia" w:ascii="Times New Roman" w:hAnsi="Times New Roman" w:eastAsia="宋体" w:cs="Times New Roman"/>
                <w:color w:val="auto"/>
                <w:highlight w:val="none"/>
              </w:rPr>
              <w:t>□</w:t>
            </w:r>
            <w:permEnd w:id="104"/>
            <w:r>
              <w:rPr>
                <w:rFonts w:hint="eastAsia"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rPr>
              <w:t>逐轮票决法</w:t>
            </w:r>
            <w:r>
              <w:rPr>
                <w:rFonts w:hint="eastAsia" w:cs="Times New Roman"/>
                <w:color w:val="auto"/>
                <w:highlight w:val="none"/>
                <w:lang w:eastAsia="zh-CN"/>
              </w:rPr>
              <w:t>。</w:t>
            </w:r>
            <w:r>
              <w:rPr>
                <w:rFonts w:hint="eastAsia" w:ascii="宋体" w:hAnsi="宋体" w:cs="宋体"/>
                <w:color w:val="auto"/>
                <w:kern w:val="0"/>
                <w:sz w:val="21"/>
                <w:szCs w:val="24"/>
                <w:highlight w:val="none"/>
                <w:lang w:val="en-US" w:eastAsia="zh-CN" w:bidi="ar-SA"/>
              </w:rPr>
              <w:t>当</w:t>
            </w:r>
            <w:r>
              <w:rPr>
                <w:rFonts w:hint="eastAsia" w:ascii="宋体" w:hAnsi="宋体" w:eastAsia="宋体" w:cs="宋体"/>
                <w:color w:val="auto"/>
                <w:kern w:val="0"/>
                <w:sz w:val="21"/>
                <w:szCs w:val="24"/>
                <w:highlight w:val="none"/>
                <w:lang w:val="en-US" w:eastAsia="zh-CN" w:bidi="ar-SA"/>
              </w:rPr>
              <w:t>单轮出现得票数最多的投标人不止1名</w:t>
            </w:r>
            <w:r>
              <w:rPr>
                <w:rFonts w:hint="eastAsia" w:ascii="宋体" w:hAnsi="宋体" w:cs="宋体"/>
                <w:color w:val="auto"/>
                <w:kern w:val="0"/>
                <w:sz w:val="21"/>
                <w:szCs w:val="24"/>
                <w:highlight w:val="none"/>
                <w:lang w:val="en-US" w:eastAsia="zh-CN" w:bidi="ar-SA"/>
              </w:rPr>
              <w:t>且</w:t>
            </w:r>
            <w:r>
              <w:rPr>
                <w:rFonts w:hint="eastAsia" w:ascii="宋体" w:hAnsi="宋体" w:eastAsia="宋体" w:cs="宋体"/>
                <w:color w:val="auto"/>
                <w:kern w:val="0"/>
                <w:sz w:val="21"/>
                <w:szCs w:val="24"/>
                <w:highlight w:val="none"/>
                <w:lang w:val="en-US" w:eastAsia="zh-CN" w:bidi="ar-SA"/>
              </w:rPr>
              <w:t>影响中标候选人确定的，</w:t>
            </w:r>
            <w:r>
              <w:rPr>
                <w:rFonts w:hint="eastAsia" w:ascii="宋体" w:hAnsi="宋体" w:eastAsia="宋体" w:cs="宋体"/>
                <w:color w:val="auto"/>
                <w:kern w:val="0"/>
                <w:sz w:val="21"/>
                <w:szCs w:val="21"/>
                <w:highlight w:val="none"/>
              </w:rPr>
              <w:t>对并列投标人采取如下方式确定</w:t>
            </w:r>
            <w:r>
              <w:rPr>
                <w:rFonts w:hint="eastAsia" w:ascii="宋体" w:hAnsi="宋体" w:eastAsia="宋体" w:cs="宋体"/>
                <w:color w:val="auto"/>
                <w:kern w:val="0"/>
                <w:highlight w:val="none"/>
                <w:lang w:eastAsia="zh-CN"/>
              </w:rPr>
              <w:t>该轮淘汰的投标人</w:t>
            </w:r>
            <w:r>
              <w:rPr>
                <w:rFonts w:hint="eastAsia" w:ascii="宋体" w:hAnsi="宋体" w:eastAsia="宋体" w:cs="宋体"/>
                <w:color w:val="auto"/>
                <w:kern w:val="0"/>
                <w:sz w:val="21"/>
                <w:szCs w:val="21"/>
                <w:highlight w:val="none"/>
              </w:rPr>
              <w:t>：</w:t>
            </w:r>
            <w:permStart w:id="105" w:edGrp="everyone"/>
            <w:r>
              <w:rPr>
                <w:rFonts w:hint="eastAsia"/>
                <w:color w:val="auto"/>
                <w:highlight w:val="none"/>
                <w:u w:val="single"/>
                <w:lang w:val="en-US" w:eastAsia="zh-CN"/>
              </w:rPr>
              <w:t xml:space="preserve"> / </w:t>
            </w:r>
            <w:permEnd w:id="105"/>
          </w:p>
        </w:tc>
      </w:tr>
      <w:tr w14:paraId="379E00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080" w:type="dxa"/>
            <w:noWrap w:val="0"/>
            <w:vAlign w:val="center"/>
          </w:tcPr>
          <w:p w14:paraId="4C04C87C">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8.4.3</w:t>
            </w:r>
          </w:p>
        </w:tc>
        <w:tc>
          <w:tcPr>
            <w:tcW w:w="2181" w:type="dxa"/>
            <w:noWrap w:val="0"/>
            <w:vAlign w:val="center"/>
          </w:tcPr>
          <w:p w14:paraId="33FC6BF4">
            <w:pPr>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中标候选人</w:t>
            </w:r>
          </w:p>
        </w:tc>
        <w:tc>
          <w:tcPr>
            <w:tcW w:w="6237" w:type="dxa"/>
            <w:noWrap w:val="0"/>
            <w:vAlign w:val="center"/>
          </w:tcPr>
          <w:p w14:paraId="3B574FD3">
            <w:p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推荐的中标候选人数：</w:t>
            </w:r>
            <w:permStart w:id="106" w:edGrp="everyone"/>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3</w:t>
            </w:r>
            <w:r>
              <w:rPr>
                <w:rFonts w:hint="eastAsia" w:ascii="宋体" w:hAnsi="宋体" w:eastAsia="宋体" w:cs="宋体"/>
                <w:color w:val="auto"/>
                <w:highlight w:val="none"/>
                <w:u w:val="single"/>
                <w:lang w:val="en-US" w:eastAsia="zh-CN"/>
              </w:rPr>
              <w:t xml:space="preserve"> </w:t>
            </w:r>
            <w:permEnd w:id="106"/>
            <w:r>
              <w:rPr>
                <w:rFonts w:hint="eastAsia" w:ascii="宋体" w:hAnsi="宋体" w:eastAsia="宋体" w:cs="宋体"/>
                <w:color w:val="auto"/>
                <w:highlight w:val="none"/>
                <w:lang w:val="en-US" w:eastAsia="zh-CN"/>
              </w:rPr>
              <w:t xml:space="preserve">  </w:t>
            </w:r>
            <w:r>
              <w:rPr>
                <w:rFonts w:hint="eastAsia" w:ascii="宋体" w:hAnsi="宋体" w:eastAsia="宋体" w:cs="宋体"/>
                <w:color w:val="auto"/>
                <w:szCs w:val="21"/>
                <w:highlight w:val="none"/>
              </w:rPr>
              <w:t>【备注：</w:t>
            </w:r>
            <w:r>
              <w:rPr>
                <w:rFonts w:hint="eastAsia" w:ascii="宋体" w:hAnsi="宋体" w:eastAsia="宋体" w:cs="宋体"/>
                <w:color w:val="auto"/>
                <w:szCs w:val="21"/>
                <w:highlight w:val="none"/>
                <w:lang w:val="en-US" w:eastAsia="zh-CN"/>
              </w:rPr>
              <w:t>不超过3名</w:t>
            </w:r>
            <w:r>
              <w:rPr>
                <w:rFonts w:hint="eastAsia" w:ascii="宋体" w:hAnsi="宋体" w:eastAsia="宋体" w:cs="宋体"/>
                <w:color w:val="auto"/>
                <w:szCs w:val="21"/>
                <w:highlight w:val="none"/>
              </w:rPr>
              <w:t>】</w:t>
            </w:r>
          </w:p>
        </w:tc>
      </w:tr>
      <w:tr w14:paraId="0DD272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0" w:hRule="atLeast"/>
        </w:trPr>
        <w:tc>
          <w:tcPr>
            <w:tcW w:w="1080" w:type="dxa"/>
            <w:vMerge w:val="restart"/>
            <w:noWrap w:val="0"/>
            <w:vAlign w:val="center"/>
          </w:tcPr>
          <w:p w14:paraId="67ADFAC4">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2</w:t>
            </w:r>
          </w:p>
        </w:tc>
        <w:tc>
          <w:tcPr>
            <w:tcW w:w="2181" w:type="dxa"/>
            <w:vMerge w:val="restart"/>
            <w:noWrap w:val="0"/>
            <w:vAlign w:val="center"/>
          </w:tcPr>
          <w:p w14:paraId="49736BE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履约担保</w:t>
            </w:r>
          </w:p>
        </w:tc>
        <w:tc>
          <w:tcPr>
            <w:tcW w:w="6237" w:type="dxa"/>
            <w:noWrap w:val="0"/>
            <w:vAlign w:val="center"/>
          </w:tcPr>
          <w:p w14:paraId="2E99D4EC">
            <w:pPr>
              <w:autoSpaceDE w:val="0"/>
              <w:autoSpaceDN w:val="0"/>
              <w:adjustRightInd w:val="0"/>
              <w:spacing w:line="360" w:lineRule="auto"/>
              <w:ind w:left="0"/>
              <w:jc w:val="both"/>
              <w:rPr>
                <w:rFonts w:hint="eastAsia" w:ascii="宋体" w:hAnsi="宋体" w:eastAsia="宋体" w:cs="宋体"/>
                <w:color w:val="auto"/>
                <w:szCs w:val="21"/>
                <w:highlight w:val="none"/>
              </w:rPr>
            </w:pPr>
            <w:permStart w:id="107" w:edGrp="everyone"/>
            <w:r>
              <w:rPr>
                <w:rFonts w:hint="eastAsia" w:ascii="宋体" w:hAnsi="宋体" w:eastAsia="宋体" w:cs="宋体"/>
                <w:color w:val="auto"/>
                <w:szCs w:val="21"/>
                <w:highlight w:val="none"/>
              </w:rPr>
              <w:t>□</w:t>
            </w:r>
            <w:permEnd w:id="107"/>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否</w:t>
            </w:r>
          </w:p>
          <w:p w14:paraId="69169422">
            <w:pPr>
              <w:autoSpaceDE w:val="0"/>
              <w:autoSpaceDN w:val="0"/>
              <w:adjustRightInd w:val="0"/>
              <w:spacing w:line="360" w:lineRule="auto"/>
              <w:ind w:left="0"/>
              <w:jc w:val="both"/>
              <w:rPr>
                <w:rFonts w:hint="eastAsia" w:ascii="宋体" w:hAnsi="宋体" w:eastAsia="宋体" w:cs="宋体"/>
                <w:color w:val="auto"/>
                <w:szCs w:val="21"/>
                <w:highlight w:val="none"/>
              </w:rPr>
            </w:pPr>
            <w:permStart w:id="108" w:edGrp="everyone"/>
            <w:r>
              <w:rPr>
                <w:rFonts w:hint="eastAsia" w:ascii="宋体" w:hAnsi="宋体" w:cs="宋体"/>
                <w:color w:val="auto"/>
                <w:szCs w:val="21"/>
                <w:highlight w:val="none"/>
                <w:lang w:eastAsia="zh-CN"/>
              </w:rPr>
              <w:t>☑</w:t>
            </w:r>
            <w:permEnd w:id="108"/>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是</w:t>
            </w:r>
          </w:p>
          <w:p w14:paraId="520BEFB8">
            <w:pPr>
              <w:spacing w:line="360" w:lineRule="auto"/>
              <w:rPr>
                <w:rFonts w:hint="eastAsia" w:ascii="宋体" w:hAnsi="宋体" w:cs="宋体"/>
                <w:color w:val="auto"/>
                <w:szCs w:val="21"/>
                <w:highlight w:val="none"/>
                <w:u w:val="single"/>
                <w:lang w:val="en-US" w:eastAsia="zh-CN"/>
              </w:rPr>
            </w:pPr>
            <w:r>
              <w:rPr>
                <w:rFonts w:hint="eastAsia" w:ascii="宋体" w:hAnsi="宋体" w:eastAsia="宋体" w:cs="宋体"/>
                <w:color w:val="auto"/>
                <w:szCs w:val="21"/>
                <w:highlight w:val="none"/>
              </w:rPr>
              <w:t>履约担保的形式：</w:t>
            </w:r>
            <w:permStart w:id="109" w:edGrp="everyone"/>
            <w:r>
              <w:rPr>
                <w:rFonts w:hint="eastAsia" w:ascii="宋体" w:hAnsi="宋体" w:eastAsia="宋体" w:cs="宋体"/>
                <w:color w:val="auto"/>
                <w:szCs w:val="21"/>
                <w:highlight w:val="none"/>
                <w:u w:val="single"/>
              </w:rPr>
              <w:t xml:space="preserve"> 转账支票 或 银行保函 或 保证保险</w:t>
            </w:r>
            <w:r>
              <w:rPr>
                <w:rFonts w:hint="eastAsia" w:ascii="宋体" w:hAnsi="宋体" w:cs="宋体"/>
                <w:color w:val="auto"/>
                <w:szCs w:val="21"/>
                <w:highlight w:val="none"/>
                <w:u w:val="single"/>
                <w:lang w:val="en-US" w:eastAsia="zh-CN"/>
              </w:rPr>
              <w:t xml:space="preserve"> 或担保保函</w:t>
            </w:r>
          </w:p>
          <w:p w14:paraId="5F55ACB9">
            <w:pPr>
              <w:spacing w:line="360" w:lineRule="auto"/>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1、履约担保采用银行保函形式的，须委托银行向</w:t>
            </w:r>
            <w:r>
              <w:rPr>
                <w:rFonts w:hint="eastAsia" w:ascii="宋体" w:hAnsi="宋体" w:cs="宋体"/>
                <w:i w:val="0"/>
                <w:color w:val="auto"/>
                <w:kern w:val="0"/>
                <w:sz w:val="21"/>
                <w:szCs w:val="21"/>
                <w:highlight w:val="none"/>
                <w:u w:val="none"/>
                <w:lang w:val="en-US" w:eastAsia="zh-CN" w:bidi="ar"/>
              </w:rPr>
              <w:t>中山市坦能科技有限公司</w:t>
            </w:r>
            <w:r>
              <w:rPr>
                <w:rFonts w:hint="eastAsia" w:ascii="宋体" w:hAnsi="宋体" w:eastAsia="宋体" w:cs="宋体"/>
                <w:bCs/>
                <w:color w:val="auto"/>
                <w:szCs w:val="21"/>
                <w:highlight w:val="none"/>
              </w:rPr>
              <w:t>出具银行保函，</w:t>
            </w:r>
            <w:r>
              <w:rPr>
                <w:rFonts w:hint="eastAsia" w:ascii="宋体" w:hAnsi="宋体" w:eastAsia="宋体" w:cs="宋体"/>
                <w:b/>
                <w:color w:val="auto"/>
                <w:szCs w:val="21"/>
                <w:highlight w:val="none"/>
              </w:rPr>
              <w:t>出具履约担保的银行级别：全国性国有商业银行或股份制商业银行的分支机构。</w:t>
            </w:r>
          </w:p>
          <w:p w14:paraId="20BE9501">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2、以银行保函及其他类似形式提供的履约担保，若在约定的退还条件达成前到期或失效的，招标人有权要求中标人在限期内重新提供足额且符合招标人提供的版本内容的履约担保。</w:t>
            </w:r>
          </w:p>
          <w:p w14:paraId="4765C232">
            <w:pPr>
              <w:spacing w:line="360" w:lineRule="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rPr>
              <w:t>3、</w:t>
            </w:r>
            <w:r>
              <w:rPr>
                <w:rFonts w:hint="eastAsia" w:ascii="宋体" w:hAnsi="宋体" w:cs="宋体"/>
                <w:bCs/>
                <w:color w:val="auto"/>
                <w:szCs w:val="21"/>
                <w:highlight w:val="none"/>
                <w:lang w:val="en-US" w:eastAsia="zh-CN"/>
              </w:rPr>
              <w:t>无论是采用</w:t>
            </w:r>
            <w:r>
              <w:rPr>
                <w:rFonts w:hint="eastAsia" w:ascii="宋体" w:hAnsi="宋体" w:eastAsia="宋体" w:cs="宋体"/>
                <w:bCs/>
                <w:color w:val="auto"/>
                <w:szCs w:val="21"/>
                <w:highlight w:val="none"/>
              </w:rPr>
              <w:t>银</w:t>
            </w:r>
            <w:r>
              <w:rPr>
                <w:rFonts w:hint="eastAsia" w:ascii="宋体" w:hAnsi="宋体" w:eastAsia="宋体" w:cs="宋体"/>
                <w:bCs/>
                <w:color w:val="auto"/>
                <w:szCs w:val="21"/>
                <w:highlight w:val="none"/>
                <w:lang w:eastAsia="zh-CN"/>
              </w:rPr>
              <w:t>行</w:t>
            </w:r>
            <w:r>
              <w:rPr>
                <w:rFonts w:hint="eastAsia" w:ascii="宋体" w:hAnsi="宋体" w:eastAsia="宋体" w:cs="宋体"/>
                <w:bCs/>
                <w:color w:val="auto"/>
                <w:szCs w:val="21"/>
                <w:highlight w:val="none"/>
              </w:rPr>
              <w:t>保函或保证保险或担保保函</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保函格式</w:t>
            </w:r>
            <w:r>
              <w:rPr>
                <w:rFonts w:hint="eastAsia" w:ascii="宋体" w:hAnsi="宋体" w:cs="宋体"/>
                <w:bCs/>
                <w:color w:val="auto"/>
                <w:szCs w:val="21"/>
                <w:highlight w:val="none"/>
                <w:lang w:val="en-US" w:eastAsia="zh-CN"/>
              </w:rPr>
              <w:t>均使用</w:t>
            </w:r>
            <w:r>
              <w:rPr>
                <w:rFonts w:hint="eastAsia" w:ascii="宋体" w:hAnsi="宋体" w:eastAsia="宋体" w:cs="宋体"/>
                <w:bCs/>
                <w:color w:val="auto"/>
                <w:szCs w:val="21"/>
                <w:highlight w:val="none"/>
              </w:rPr>
              <w:t>招标文件提供版本</w:t>
            </w:r>
            <w:r>
              <w:rPr>
                <w:rFonts w:hint="eastAsia" w:ascii="宋体" w:hAnsi="宋体" w:eastAsia="宋体" w:cs="宋体"/>
                <w:bCs/>
                <w:color w:val="auto"/>
                <w:szCs w:val="21"/>
                <w:highlight w:val="none"/>
                <w:lang w:eastAsia="zh-CN"/>
              </w:rPr>
              <w:t>。</w:t>
            </w:r>
          </w:p>
          <w:p w14:paraId="3ADE1D92">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4、履约担保采用</w:t>
            </w:r>
            <w:r>
              <w:rPr>
                <w:rFonts w:hint="eastAsia" w:ascii="宋体" w:hAnsi="宋体" w:eastAsia="宋体" w:cs="宋体"/>
                <w:snapToGrid w:val="0"/>
                <w:color w:val="auto"/>
                <w:kern w:val="0"/>
                <w:szCs w:val="32"/>
                <w:highlight w:val="none"/>
              </w:rPr>
              <w:t>转账支票形式的，须</w:t>
            </w:r>
            <w:r>
              <w:rPr>
                <w:rFonts w:hint="eastAsia" w:ascii="宋体" w:hAnsi="宋体" w:eastAsia="宋体" w:cs="宋体"/>
                <w:bCs/>
                <w:color w:val="auto"/>
                <w:szCs w:val="21"/>
                <w:highlight w:val="none"/>
              </w:rPr>
              <w:t>交到以下账户：</w:t>
            </w:r>
          </w:p>
          <w:p w14:paraId="7022DCF1">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账户名称：</w:t>
            </w:r>
            <w:r>
              <w:rPr>
                <w:rFonts w:hint="eastAsia" w:ascii="宋体" w:hAnsi="宋体" w:eastAsia="宋体" w:cs="宋体"/>
                <w:bCs/>
                <w:color w:val="auto"/>
                <w:szCs w:val="21"/>
                <w:highlight w:val="none"/>
                <w:lang w:eastAsia="zh-CN"/>
              </w:rPr>
              <w:t>中山市坦能科技有限公司</w:t>
            </w:r>
          </w:p>
          <w:p w14:paraId="6D06AA36">
            <w:pPr>
              <w:spacing w:line="360" w:lineRule="auto"/>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rPr>
              <w:t>账号：688645000237</w:t>
            </w:r>
          </w:p>
          <w:p w14:paraId="3C27E0F2">
            <w:pPr>
              <w:spacing w:line="360" w:lineRule="auto"/>
              <w:rPr>
                <w:rFonts w:hint="eastAsia" w:ascii="宋体" w:hAnsi="宋体" w:eastAsia="宋体" w:cs="宋体"/>
                <w:color w:val="auto"/>
                <w:szCs w:val="21"/>
                <w:highlight w:val="none"/>
                <w:u w:val="single"/>
              </w:rPr>
            </w:pPr>
            <w:r>
              <w:rPr>
                <w:rFonts w:hint="eastAsia" w:ascii="宋体" w:hAnsi="宋体" w:eastAsia="宋体" w:cs="宋体"/>
                <w:bCs/>
                <w:color w:val="auto"/>
                <w:szCs w:val="21"/>
                <w:highlight w:val="none"/>
              </w:rPr>
              <w:t>开户行：</w:t>
            </w:r>
            <w:r>
              <w:rPr>
                <w:rFonts w:hint="eastAsia" w:ascii="宋体" w:hAnsi="宋体" w:eastAsia="宋体" w:cs="宋体"/>
                <w:bCs/>
                <w:color w:val="auto"/>
                <w:szCs w:val="21"/>
                <w:highlight w:val="none"/>
                <w:lang w:val="en-US" w:eastAsia="zh-CN"/>
              </w:rPr>
              <w:t>中国银行股份有限公司中山坦洲支行</w:t>
            </w:r>
          </w:p>
          <w:p w14:paraId="703C9144">
            <w:pPr>
              <w:autoSpaceDE w:val="0"/>
              <w:autoSpaceDN w:val="0"/>
              <w:adjustRightInd w:val="0"/>
              <w:spacing w:line="360" w:lineRule="auto"/>
              <w:jc w:val="both"/>
              <w:rPr>
                <w:rFonts w:hint="eastAsia" w:ascii="宋体" w:hAnsi="宋体" w:eastAsia="宋体" w:cs="宋体"/>
                <w:color w:val="auto"/>
                <w:szCs w:val="21"/>
                <w:highlight w:val="none"/>
              </w:rPr>
            </w:pPr>
            <w:r>
              <w:rPr>
                <w:rFonts w:hint="eastAsia" w:ascii="宋体" w:hAnsi="宋体" w:cs="宋体"/>
                <w:color w:val="auto"/>
                <w:szCs w:val="21"/>
                <w:highlight w:val="none"/>
                <w:u w:val="single"/>
                <w:lang w:eastAsia="zh-CN" w:bidi="ar"/>
              </w:rPr>
              <w:t>提交履约担保的时间：广东省公共资源交易平台（中山市）-中标信息公布</w:t>
            </w:r>
            <w:r>
              <w:rPr>
                <w:rFonts w:hint="eastAsia" w:ascii="宋体" w:hAnsi="宋体" w:cs="宋体"/>
                <w:color w:val="auto"/>
                <w:szCs w:val="21"/>
                <w:highlight w:val="none"/>
                <w:u w:val="single"/>
                <w:lang w:val="en-US" w:eastAsia="zh-CN" w:bidi="ar"/>
              </w:rPr>
              <w:t>次</w:t>
            </w:r>
            <w:r>
              <w:rPr>
                <w:rFonts w:hint="eastAsia" w:ascii="宋体" w:hAnsi="宋体" w:cs="宋体"/>
                <w:color w:val="auto"/>
                <w:szCs w:val="21"/>
                <w:highlight w:val="none"/>
                <w:u w:val="single"/>
                <w:lang w:eastAsia="zh-CN" w:bidi="ar"/>
              </w:rPr>
              <w:t>日起</w:t>
            </w:r>
            <w:r>
              <w:rPr>
                <w:rFonts w:hint="eastAsia" w:ascii="宋体" w:hAnsi="宋体" w:cs="宋体"/>
                <w:color w:val="auto"/>
                <w:szCs w:val="21"/>
                <w:highlight w:val="none"/>
                <w:u w:val="single"/>
                <w:lang w:val="en-US" w:eastAsia="zh-CN" w:bidi="ar"/>
              </w:rPr>
              <w:t>15</w:t>
            </w:r>
            <w:r>
              <w:rPr>
                <w:rFonts w:hint="eastAsia" w:ascii="宋体" w:hAnsi="宋体" w:cs="宋体"/>
                <w:color w:val="auto"/>
                <w:szCs w:val="21"/>
                <w:highlight w:val="none"/>
                <w:u w:val="single"/>
                <w:lang w:eastAsia="zh-CN" w:bidi="ar"/>
              </w:rPr>
              <w:t>个日历天内签订合同（如第15个日历天为公休日的，则以公休日后的第一个工作日为截止期限的最后一天），</w:t>
            </w:r>
            <w:r>
              <w:rPr>
                <w:rFonts w:hint="eastAsia" w:ascii="宋体" w:hAnsi="宋体" w:cs="宋体"/>
                <w:color w:val="auto"/>
                <w:szCs w:val="21"/>
                <w:highlight w:val="none"/>
                <w:u w:val="single"/>
                <w:lang w:val="en-US" w:eastAsia="zh-CN" w:bidi="ar"/>
              </w:rPr>
              <w:t>并在签订合同前</w:t>
            </w:r>
            <w:r>
              <w:rPr>
                <w:rFonts w:hint="eastAsia" w:ascii="宋体" w:hAnsi="宋体" w:cs="宋体"/>
                <w:color w:val="auto"/>
                <w:szCs w:val="21"/>
                <w:highlight w:val="none"/>
                <w:u w:val="single"/>
                <w:lang w:eastAsia="zh-CN" w:bidi="ar"/>
              </w:rPr>
              <w:t>必须按要求提交有效的履约担保或缴纳履约保证金。中标人拒绝接受中标通知书，或未按约定期限与招标人签订合同的，或因未在规定期限内提交</w:t>
            </w:r>
            <w:r>
              <w:rPr>
                <w:rFonts w:hint="eastAsia" w:ascii="宋体" w:hAnsi="宋体" w:cs="宋体"/>
                <w:color w:val="auto"/>
                <w:szCs w:val="21"/>
                <w:highlight w:val="none"/>
                <w:u w:val="single"/>
                <w:lang w:val="en-US" w:eastAsia="zh-CN" w:bidi="ar"/>
              </w:rPr>
              <w:t>符合要求的</w:t>
            </w:r>
            <w:r>
              <w:rPr>
                <w:rFonts w:hint="eastAsia" w:ascii="宋体" w:hAnsi="宋体" w:cs="宋体"/>
                <w:color w:val="auto"/>
                <w:szCs w:val="21"/>
                <w:highlight w:val="none"/>
                <w:u w:val="single"/>
                <w:lang w:eastAsia="zh-CN" w:bidi="ar"/>
              </w:rPr>
              <w:t>履约担保或缴纳履约保证金</w:t>
            </w:r>
            <w:r>
              <w:rPr>
                <w:rFonts w:hint="eastAsia" w:ascii="宋体" w:hAnsi="宋体" w:cs="宋体"/>
                <w:color w:val="auto"/>
                <w:szCs w:val="21"/>
                <w:highlight w:val="none"/>
                <w:u w:val="single"/>
                <w:lang w:val="en-US" w:eastAsia="zh-CN" w:bidi="ar"/>
              </w:rPr>
              <w:t>而</w:t>
            </w:r>
            <w:r>
              <w:rPr>
                <w:rFonts w:hint="eastAsia" w:ascii="宋体" w:hAnsi="宋体" w:cs="宋体"/>
                <w:color w:val="auto"/>
                <w:szCs w:val="21"/>
                <w:highlight w:val="none"/>
                <w:u w:val="single"/>
                <w:lang w:eastAsia="zh-CN" w:bidi="ar"/>
              </w:rPr>
              <w:t>导致逾期未与招标人签订合同的，视为放弃中标</w:t>
            </w:r>
            <w:r>
              <w:rPr>
                <w:rFonts w:hint="eastAsia" w:ascii="宋体" w:hAnsi="宋体" w:cs="宋体"/>
                <w:color w:val="auto"/>
                <w:szCs w:val="21"/>
                <w:highlight w:val="none"/>
                <w:u w:val="single"/>
                <w:lang w:val="en-US" w:eastAsia="zh-CN" w:bidi="ar"/>
              </w:rPr>
              <w:t>资格</w:t>
            </w:r>
            <w:r>
              <w:rPr>
                <w:rFonts w:hint="eastAsia" w:ascii="宋体" w:hAnsi="宋体" w:cs="宋体"/>
                <w:color w:val="auto"/>
                <w:szCs w:val="21"/>
                <w:highlight w:val="none"/>
                <w:u w:val="single"/>
                <w:lang w:eastAsia="zh-CN" w:bidi="ar"/>
              </w:rPr>
              <w:t>，其投标保证金不予退还，中标人还应赔偿给招标人造成的损失，并对中标人进行诚信扣分。</w:t>
            </w:r>
            <w:permEnd w:id="109"/>
          </w:p>
          <w:p w14:paraId="248ECA84">
            <w:pPr>
              <w:autoSpaceDE w:val="0"/>
              <w:autoSpaceDN w:val="0"/>
              <w:adjustRightInd w:val="0"/>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履约担保的金额：</w:t>
            </w:r>
            <w:permStart w:id="110" w:edGrp="everyone"/>
            <w:r>
              <w:rPr>
                <w:rFonts w:hint="eastAsia" w:ascii="宋体" w:hAnsi="宋体" w:eastAsia="宋体" w:cs="宋体"/>
                <w:color w:val="auto"/>
                <w:szCs w:val="21"/>
                <w:highlight w:val="none"/>
                <w:u w:val="single"/>
              </w:rPr>
              <w:t xml:space="preserve"> </w:t>
            </w:r>
            <w:r>
              <w:rPr>
                <w:rFonts w:hint="eastAsia" w:ascii="宋体" w:hAnsi="宋体"/>
                <w:color w:val="auto"/>
                <w:szCs w:val="21"/>
                <w:highlight w:val="none"/>
                <w:u w:val="single"/>
                <w:lang w:val="en-US" w:eastAsia="zh-CN"/>
              </w:rPr>
              <w:t xml:space="preserve">中标价的10% </w:t>
            </w:r>
            <w:r>
              <w:rPr>
                <w:rFonts w:hint="eastAsia" w:ascii="宋体" w:hAnsi="宋体" w:eastAsia="宋体" w:cs="宋体"/>
                <w:color w:val="auto"/>
                <w:szCs w:val="21"/>
                <w:highlight w:val="none"/>
                <w:u w:val="single"/>
              </w:rPr>
              <w:t xml:space="preserve"> </w:t>
            </w:r>
            <w:permEnd w:id="110"/>
            <w:r>
              <w:rPr>
                <w:rFonts w:hint="eastAsia"/>
                <w:color w:val="auto"/>
                <w:highlight w:val="none"/>
              </w:rPr>
              <w:t>【</w:t>
            </w:r>
            <w:r>
              <w:rPr>
                <w:rFonts w:hint="eastAsia"/>
                <w:color w:val="auto"/>
                <w:highlight w:val="none"/>
                <w:lang w:eastAsia="zh-CN"/>
              </w:rPr>
              <w:t>备注：</w:t>
            </w:r>
            <w:r>
              <w:rPr>
                <w:rFonts w:hint="eastAsia" w:ascii="宋体" w:hAnsi="宋体" w:eastAsia="宋体" w:cs="宋体"/>
                <w:color w:val="auto"/>
                <w:szCs w:val="21"/>
                <w:highlight w:val="none"/>
              </w:rPr>
              <w:t>不得限定履约保证金只能以现金形式提交。</w:t>
            </w:r>
            <w:r>
              <w:rPr>
                <w:rFonts w:hint="eastAsia" w:ascii="宋体" w:hAnsi="宋体" w:eastAsia="宋体" w:cs="宋体"/>
                <w:color w:val="auto"/>
                <w:kern w:val="0"/>
                <w:szCs w:val="21"/>
                <w:highlight w:val="none"/>
              </w:rPr>
              <w:t>中标人履约担保金额不得超过中标价的10</w:t>
            </w:r>
            <w:r>
              <w:rPr>
                <w:rFonts w:hint="eastAsia" w:ascii="宋体" w:hAnsi="宋体" w:eastAsia="宋体" w:cs="宋体"/>
                <w:color w:val="auto"/>
                <w:szCs w:val="21"/>
                <w:highlight w:val="none"/>
              </w:rPr>
              <w:t>%。</w:t>
            </w:r>
            <w:r>
              <w:rPr>
                <w:rFonts w:hint="eastAsia"/>
                <w:color w:val="auto"/>
                <w:highlight w:val="none"/>
              </w:rPr>
              <w:t>】</w:t>
            </w:r>
          </w:p>
        </w:tc>
      </w:tr>
      <w:tr w14:paraId="2099EF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0" w:hRule="atLeast"/>
        </w:trPr>
        <w:tc>
          <w:tcPr>
            <w:tcW w:w="1080" w:type="dxa"/>
            <w:vMerge w:val="continue"/>
            <w:noWrap w:val="0"/>
            <w:vAlign w:val="center"/>
          </w:tcPr>
          <w:p w14:paraId="313448C3">
            <w:pPr>
              <w:spacing w:line="360" w:lineRule="auto"/>
              <w:jc w:val="center"/>
              <w:rPr>
                <w:rFonts w:hint="eastAsia" w:ascii="宋体" w:hAnsi="宋体" w:eastAsia="宋体" w:cs="宋体"/>
                <w:color w:val="auto"/>
                <w:szCs w:val="21"/>
                <w:highlight w:val="none"/>
                <w:lang w:val="en-US"/>
              </w:rPr>
            </w:pPr>
          </w:p>
        </w:tc>
        <w:tc>
          <w:tcPr>
            <w:tcW w:w="2181" w:type="dxa"/>
            <w:vMerge w:val="continue"/>
            <w:noWrap w:val="0"/>
            <w:vAlign w:val="center"/>
          </w:tcPr>
          <w:p w14:paraId="646B588C">
            <w:pPr>
              <w:spacing w:line="360" w:lineRule="auto"/>
              <w:jc w:val="center"/>
              <w:rPr>
                <w:rFonts w:hint="eastAsia" w:ascii="宋体" w:hAnsi="宋体" w:eastAsia="宋体" w:cs="宋体"/>
                <w:color w:val="auto"/>
                <w:szCs w:val="21"/>
                <w:highlight w:val="none"/>
              </w:rPr>
            </w:pPr>
          </w:p>
        </w:tc>
        <w:tc>
          <w:tcPr>
            <w:tcW w:w="6237" w:type="dxa"/>
            <w:noWrap w:val="0"/>
            <w:vAlign w:val="center"/>
          </w:tcPr>
          <w:p w14:paraId="13060884">
            <w:pPr>
              <w:spacing w:line="360" w:lineRule="auto"/>
              <w:ind w:left="0" w:firstLine="0" w:firstLineChars="0"/>
              <w:jc w:val="both"/>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联合体中标的，履约保证金提交方式：</w:t>
            </w:r>
          </w:p>
          <w:p w14:paraId="7D8C8CD0">
            <w:pPr>
              <w:spacing w:line="360" w:lineRule="auto"/>
              <w:ind w:left="420"/>
              <w:jc w:val="both"/>
              <w:rPr>
                <w:rFonts w:hint="eastAsia" w:ascii="宋体" w:hAnsi="宋体" w:eastAsia="宋体" w:cs="宋体"/>
                <w:color w:val="auto"/>
                <w:szCs w:val="21"/>
                <w:highlight w:val="none"/>
                <w:lang w:val="en-US" w:eastAsia="zh-CN"/>
              </w:rPr>
            </w:pPr>
            <w:permStart w:id="111" w:edGrp="everyone"/>
            <w:r>
              <w:rPr>
                <w:rFonts w:hint="eastAsia" w:ascii="宋体" w:hAnsi="宋体" w:eastAsia="宋体" w:cs="宋体"/>
                <w:color w:val="auto"/>
                <w:szCs w:val="21"/>
                <w:highlight w:val="none"/>
              </w:rPr>
              <w:t>□</w:t>
            </w:r>
            <w:permEnd w:id="111"/>
            <w:r>
              <w:rPr>
                <w:rFonts w:hint="eastAsia" w:ascii="宋体" w:hAnsi="宋体" w:eastAsia="宋体" w:cs="宋体"/>
                <w:color w:val="auto"/>
                <w:szCs w:val="21"/>
                <w:highlight w:val="none"/>
                <w:lang w:val="en-US" w:eastAsia="zh-CN"/>
              </w:rPr>
              <w:t xml:space="preserve"> 联合体各方名义提交，具体要求：</w:t>
            </w:r>
            <w:permStart w:id="112"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permEnd w:id="112"/>
          </w:p>
          <w:p w14:paraId="7F77BB56">
            <w:pPr>
              <w:spacing w:line="360" w:lineRule="auto"/>
              <w:ind w:left="420"/>
              <w:jc w:val="both"/>
              <w:rPr>
                <w:rFonts w:hint="eastAsia" w:ascii="宋体" w:hAnsi="宋体" w:eastAsia="宋体" w:cs="宋体"/>
                <w:color w:val="auto"/>
                <w:highlight w:val="none"/>
              </w:rPr>
            </w:pPr>
            <w:permStart w:id="113" w:edGrp="everyone"/>
            <w:r>
              <w:rPr>
                <w:rFonts w:hint="eastAsia" w:ascii="宋体" w:hAnsi="宋体" w:eastAsia="宋体" w:cs="宋体"/>
                <w:color w:val="auto"/>
                <w:szCs w:val="21"/>
                <w:highlight w:val="none"/>
              </w:rPr>
              <w:t>□</w:t>
            </w:r>
            <w:permEnd w:id="113"/>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highlight w:val="none"/>
                <w:lang w:val="en-US" w:eastAsia="zh-CN"/>
              </w:rPr>
              <w:t>联合体中牵头人的名义提交。</w:t>
            </w:r>
          </w:p>
        </w:tc>
      </w:tr>
      <w:tr w14:paraId="3612FC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080" w:type="dxa"/>
            <w:noWrap w:val="0"/>
            <w:vAlign w:val="center"/>
          </w:tcPr>
          <w:p w14:paraId="6B47AA89">
            <w:pPr>
              <w:spacing w:line="360" w:lineRule="auto"/>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9.4.1</w:t>
            </w:r>
          </w:p>
        </w:tc>
        <w:tc>
          <w:tcPr>
            <w:tcW w:w="2181" w:type="dxa"/>
            <w:noWrap w:val="0"/>
            <w:vAlign w:val="center"/>
          </w:tcPr>
          <w:p w14:paraId="44B8C6FE">
            <w:pPr>
              <w:pageBreakBefore w:val="0"/>
              <w:kinsoku/>
              <w:wordWrap/>
              <w:overflowPunct/>
              <w:topLinePunct w:val="0"/>
              <w:bidi w:val="0"/>
              <w:spacing w:line="360" w:lineRule="auto"/>
              <w:jc w:val="center"/>
              <w:textAlignment w:val="auto"/>
              <w:rPr>
                <w:rFonts w:hint="eastAsia" w:ascii="宋体" w:hAnsi="宋体"/>
                <w:color w:val="auto"/>
                <w:kern w:val="2"/>
                <w:sz w:val="21"/>
                <w:szCs w:val="21"/>
                <w:highlight w:val="none"/>
                <w:lang w:val="en-US" w:eastAsia="zh-CN" w:bidi="ar-SA"/>
              </w:rPr>
            </w:pPr>
            <w:r>
              <w:rPr>
                <w:rFonts w:hint="eastAsia" w:ascii="宋体" w:hAnsi="宋体"/>
                <w:color w:val="auto"/>
                <w:szCs w:val="21"/>
                <w:highlight w:val="none"/>
              </w:rPr>
              <w:t>工程预付款</w:t>
            </w:r>
          </w:p>
        </w:tc>
        <w:tc>
          <w:tcPr>
            <w:tcW w:w="6237" w:type="dxa"/>
            <w:noWrap w:val="0"/>
            <w:vAlign w:val="center"/>
          </w:tcPr>
          <w:p w14:paraId="7360A63D">
            <w:pPr>
              <w:pageBreakBefore w:val="0"/>
              <w:kinsoku/>
              <w:wordWrap/>
              <w:overflowPunct/>
              <w:topLinePunct w:val="0"/>
              <w:bidi w:val="0"/>
              <w:spacing w:line="360" w:lineRule="auto"/>
              <w:textAlignment w:val="auto"/>
              <w:rPr>
                <w:rFonts w:hint="eastAsia" w:ascii="宋体" w:hAnsi="宋体" w:cs="Arial"/>
                <w:color w:val="auto"/>
                <w:kern w:val="0"/>
                <w:szCs w:val="21"/>
                <w:highlight w:val="none"/>
                <w:u w:val="single"/>
                <w:lang w:val="en-US" w:eastAsia="zh-CN"/>
              </w:rPr>
            </w:pPr>
            <w:r>
              <w:rPr>
                <w:rFonts w:hint="eastAsia" w:ascii="宋体" w:hAnsi="宋体" w:cs="Arial"/>
                <w:color w:val="auto"/>
                <w:kern w:val="0"/>
                <w:szCs w:val="21"/>
                <w:highlight w:val="none"/>
              </w:rPr>
              <w:t>1</w:t>
            </w:r>
            <w:r>
              <w:rPr>
                <w:rFonts w:hint="eastAsia" w:ascii="宋体" w:hAnsi="宋体" w:cs="Arial"/>
                <w:color w:val="auto"/>
                <w:kern w:val="0"/>
                <w:szCs w:val="21"/>
                <w:highlight w:val="none"/>
                <w:lang w:val="en-US" w:eastAsia="zh-CN"/>
              </w:rPr>
              <w:t>.</w:t>
            </w:r>
            <w:r>
              <w:rPr>
                <w:rFonts w:hint="eastAsia" w:ascii="宋体" w:hAnsi="宋体" w:cs="Arial"/>
                <w:color w:val="auto"/>
                <w:kern w:val="0"/>
                <w:szCs w:val="21"/>
                <w:highlight w:val="none"/>
              </w:rPr>
              <w:t>工程预付款的额度：</w:t>
            </w:r>
            <w:permStart w:id="114" w:edGrp="everyone"/>
            <w:r>
              <w:rPr>
                <w:rFonts w:hint="eastAsia" w:ascii="宋体" w:hAnsi="宋体" w:cs="Arial"/>
                <w:color w:val="auto"/>
                <w:kern w:val="0"/>
                <w:szCs w:val="21"/>
                <w:highlight w:val="none"/>
                <w:u w:val="none"/>
                <w:lang w:val="en-US" w:eastAsia="zh-CN"/>
              </w:rPr>
              <w:t>本项目预付款额度为合同金额（扣除暂列金额）</w:t>
            </w:r>
            <w:r>
              <w:rPr>
                <w:rFonts w:hint="eastAsia" w:ascii="宋体" w:hAnsi="宋体" w:cs="宋体"/>
                <w:color w:val="auto"/>
                <w:kern w:val="0"/>
                <w:szCs w:val="21"/>
                <w:u w:val="none"/>
              </w:rPr>
              <w:t>的10%</w:t>
            </w:r>
            <w:r>
              <w:rPr>
                <w:rFonts w:hint="eastAsia" w:ascii="宋体" w:hAnsi="宋体" w:cs="Arial"/>
                <w:color w:val="auto"/>
                <w:kern w:val="0"/>
                <w:szCs w:val="21"/>
                <w:highlight w:val="none"/>
                <w:u w:val="none"/>
                <w:lang w:eastAsia="zh-CN"/>
              </w:rPr>
              <w:t>。</w:t>
            </w:r>
            <w:r>
              <w:rPr>
                <w:rFonts w:hint="eastAsia" w:ascii="宋体" w:hAnsi="宋体" w:cs="Arial"/>
                <w:color w:val="auto"/>
                <w:kern w:val="0"/>
                <w:szCs w:val="21"/>
                <w:highlight w:val="none"/>
                <w:u w:val="none"/>
                <w:lang w:val="en-US" w:eastAsia="zh-CN"/>
              </w:rPr>
              <w:t>具体包括如下：</w:t>
            </w:r>
          </w:p>
          <w:p w14:paraId="1DFEE7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Arial"/>
                <w:color w:val="auto"/>
                <w:kern w:val="0"/>
                <w:szCs w:val="21"/>
                <w:highlight w:val="none"/>
                <w:u w:val="none"/>
                <w:lang w:val="en-US" w:eastAsia="zh-CN"/>
              </w:rPr>
            </w:pPr>
            <w:r>
              <w:rPr>
                <w:rFonts w:hint="eastAsia" w:ascii="宋体" w:hAnsi="宋体" w:cs="Arial"/>
                <w:color w:val="auto"/>
                <w:kern w:val="0"/>
                <w:szCs w:val="21"/>
                <w:highlight w:val="none"/>
                <w:u w:val="none"/>
                <w:lang w:val="en-US" w:eastAsia="zh-CN"/>
              </w:rPr>
              <w:t>（1）工人工资预付款：</w:t>
            </w:r>
            <w:r>
              <w:rPr>
                <w:rFonts w:hint="eastAsia"/>
                <w:lang w:val="en-US" w:eastAsia="zh-CN"/>
              </w:rPr>
              <w:t>参照</w:t>
            </w:r>
            <w:r>
              <w:rPr>
                <w:rFonts w:hint="eastAsia" w:ascii="宋体" w:hAnsi="宋体" w:cs="Arial"/>
                <w:color w:val="auto"/>
                <w:kern w:val="0"/>
                <w:szCs w:val="21"/>
                <w:highlight w:val="none"/>
                <w:u w:val="none"/>
                <w:lang w:val="en-US" w:eastAsia="zh-CN"/>
              </w:rPr>
              <w:t>中山市根治拖欠农民工工资工作领导小组办公室发布的《关于落实政府工程预付款的通知》执行，根据施工合同价按照上述文件条款确认该笔预付款金额。</w:t>
            </w:r>
          </w:p>
          <w:p w14:paraId="0EBECA0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Arial"/>
                <w:color w:val="auto"/>
                <w:kern w:val="0"/>
                <w:szCs w:val="21"/>
                <w:highlight w:val="none"/>
                <w:u w:val="none"/>
                <w:lang w:val="en-US" w:eastAsia="zh-CN"/>
              </w:rPr>
            </w:pPr>
            <w:r>
              <w:rPr>
                <w:rFonts w:hint="eastAsia" w:ascii="宋体" w:hAnsi="宋体" w:cs="Arial"/>
                <w:color w:val="auto"/>
                <w:kern w:val="0"/>
                <w:szCs w:val="21"/>
                <w:highlight w:val="none"/>
                <w:u w:val="none"/>
                <w:lang w:val="en-US" w:eastAsia="zh-CN"/>
              </w:rPr>
              <w:t>（2）安全生产措施费预付款：</w:t>
            </w:r>
            <w:r>
              <w:rPr>
                <w:rFonts w:hint="eastAsia"/>
                <w:lang w:val="en-US" w:eastAsia="zh-CN"/>
              </w:rPr>
              <w:t>参照</w:t>
            </w:r>
            <w:r>
              <w:rPr>
                <w:rFonts w:hint="eastAsia" w:ascii="宋体" w:hAnsi="宋体" w:cs="Arial"/>
                <w:color w:val="auto"/>
                <w:kern w:val="0"/>
                <w:szCs w:val="21"/>
                <w:highlight w:val="none"/>
                <w:u w:val="none"/>
                <w:lang w:val="en-US" w:eastAsia="zh-CN"/>
              </w:rPr>
              <w:t>《广东省建设厅建筑工程安全防护、文明施工措施费用管理办法》（粤建管字【2007】39号文）文件规定。</w:t>
            </w:r>
          </w:p>
          <w:p w14:paraId="040FA960">
            <w:pPr>
              <w:pageBreakBefore w:val="0"/>
              <w:kinsoku/>
              <w:wordWrap/>
              <w:overflowPunct/>
              <w:topLinePunct w:val="0"/>
              <w:bidi w:val="0"/>
              <w:spacing w:line="360" w:lineRule="auto"/>
              <w:textAlignment w:val="auto"/>
              <w:rPr>
                <w:rFonts w:hint="eastAsia" w:ascii="宋体" w:hAnsi="宋体" w:cs="Arial"/>
                <w:color w:val="auto"/>
                <w:kern w:val="0"/>
                <w:szCs w:val="21"/>
                <w:highlight w:val="none"/>
                <w:u w:val="single"/>
              </w:rPr>
            </w:pPr>
            <w:r>
              <w:rPr>
                <w:rFonts w:hint="eastAsia" w:ascii="宋体" w:hAnsi="宋体" w:cs="Arial"/>
                <w:color w:val="auto"/>
                <w:kern w:val="0"/>
                <w:szCs w:val="21"/>
                <w:highlight w:val="none"/>
                <w:u w:val="none"/>
                <w:lang w:val="en-US" w:eastAsia="zh-CN"/>
              </w:rPr>
              <w:t>（3）其它预付款：为合同金额（扣除暂列金额）的10%扣除上述工人工资预付款、安全生产措施费预付款后的款项。</w:t>
            </w:r>
            <w:permEnd w:id="114"/>
          </w:p>
          <w:p w14:paraId="2C3F4772">
            <w:pPr>
              <w:pageBreakBefore w:val="0"/>
              <w:kinsoku/>
              <w:wordWrap/>
              <w:overflowPunct/>
              <w:topLinePunct w:val="0"/>
              <w:bidi w:val="0"/>
              <w:spacing w:line="360" w:lineRule="auto"/>
              <w:textAlignment w:val="auto"/>
              <w:rPr>
                <w:rFonts w:hint="eastAsia" w:ascii="宋体" w:hAnsi="宋体" w:cs="Arial"/>
                <w:color w:val="auto"/>
                <w:kern w:val="0"/>
                <w:szCs w:val="21"/>
                <w:highlight w:val="none"/>
                <w:u w:val="none"/>
              </w:rPr>
            </w:pPr>
            <w:r>
              <w:rPr>
                <w:rFonts w:hint="eastAsia" w:ascii="宋体" w:hAnsi="宋体" w:cs="Arial"/>
                <w:color w:val="auto"/>
                <w:kern w:val="0"/>
                <w:szCs w:val="21"/>
                <w:highlight w:val="none"/>
              </w:rPr>
              <w:t>2</w:t>
            </w:r>
            <w:r>
              <w:rPr>
                <w:rFonts w:hint="eastAsia" w:ascii="宋体" w:hAnsi="宋体" w:cs="Arial"/>
                <w:color w:val="auto"/>
                <w:kern w:val="0"/>
                <w:szCs w:val="21"/>
                <w:highlight w:val="none"/>
                <w:lang w:val="en-US" w:eastAsia="zh-CN"/>
              </w:rPr>
              <w:t>.</w:t>
            </w:r>
            <w:r>
              <w:rPr>
                <w:rFonts w:hint="eastAsia" w:ascii="宋体" w:hAnsi="宋体" w:cs="Arial"/>
                <w:color w:val="auto"/>
                <w:kern w:val="0"/>
                <w:szCs w:val="21"/>
                <w:highlight w:val="none"/>
              </w:rPr>
              <w:t>预付办法：</w:t>
            </w:r>
            <w:permStart w:id="115" w:edGrp="everyone"/>
            <w:r>
              <w:rPr>
                <w:rFonts w:hint="eastAsia" w:ascii="宋体" w:hAnsi="宋体" w:cs="Arial"/>
                <w:color w:val="auto"/>
                <w:kern w:val="0"/>
                <w:szCs w:val="21"/>
                <w:highlight w:val="none"/>
                <w:u w:val="single"/>
              </w:rPr>
              <w:t xml:space="preserve"> </w:t>
            </w:r>
            <w:r>
              <w:rPr>
                <w:rFonts w:hint="eastAsia" w:ascii="宋体" w:hAnsi="宋体" w:cs="Arial"/>
                <w:color w:val="auto"/>
                <w:kern w:val="0"/>
                <w:szCs w:val="21"/>
                <w:highlight w:val="none"/>
                <w:u w:val="none"/>
              </w:rPr>
              <w:t>（1）工人工资预付款：在签订本工程施工合同后，由中标人提出申请经监理单位核实，并经代建单位核实确认和招标人同意后，由招标人直接划入中标人工人工资专用账户。</w:t>
            </w:r>
          </w:p>
          <w:p w14:paraId="5E80BEC9">
            <w:pPr>
              <w:pageBreakBefore w:val="0"/>
              <w:kinsoku/>
              <w:wordWrap/>
              <w:overflowPunct/>
              <w:topLinePunct w:val="0"/>
              <w:bidi w:val="0"/>
              <w:spacing w:line="360" w:lineRule="auto"/>
              <w:textAlignment w:val="auto"/>
              <w:rPr>
                <w:rFonts w:hint="eastAsia" w:ascii="宋体" w:hAnsi="宋体" w:cs="Arial"/>
                <w:color w:val="auto"/>
                <w:kern w:val="0"/>
                <w:szCs w:val="21"/>
                <w:highlight w:val="none"/>
                <w:u w:val="none"/>
              </w:rPr>
            </w:pPr>
            <w:r>
              <w:rPr>
                <w:rFonts w:hint="eastAsia" w:ascii="宋体" w:hAnsi="宋体" w:cs="Arial"/>
                <w:color w:val="auto"/>
                <w:kern w:val="0"/>
                <w:szCs w:val="21"/>
                <w:highlight w:val="none"/>
                <w:u w:val="none"/>
              </w:rPr>
              <w:t>（2）</w:t>
            </w:r>
            <w:r>
              <w:rPr>
                <w:rFonts w:hint="eastAsia" w:ascii="宋体" w:hAnsi="宋体" w:cs="Arial"/>
                <w:color w:val="auto"/>
                <w:kern w:val="0"/>
                <w:szCs w:val="21"/>
                <w:highlight w:val="none"/>
                <w:u w:val="none"/>
                <w:lang w:eastAsia="zh-CN"/>
              </w:rPr>
              <w:t>安全生产措施费</w:t>
            </w:r>
            <w:r>
              <w:rPr>
                <w:rFonts w:hint="eastAsia" w:ascii="宋体" w:hAnsi="宋体" w:cs="Arial"/>
                <w:color w:val="auto"/>
                <w:kern w:val="0"/>
                <w:szCs w:val="21"/>
                <w:highlight w:val="none"/>
                <w:u w:val="none"/>
              </w:rPr>
              <w:t>预付款：在签订本工程施工合同后，由中标人提出申请经监理单位核实，并经代建单位核实和招标人同意后支付。</w:t>
            </w:r>
          </w:p>
          <w:p w14:paraId="436FC1EC">
            <w:pPr>
              <w:pageBreakBefore w:val="0"/>
              <w:kinsoku/>
              <w:wordWrap/>
              <w:overflowPunct/>
              <w:topLinePunct w:val="0"/>
              <w:bidi w:val="0"/>
              <w:spacing w:line="360" w:lineRule="auto"/>
              <w:textAlignment w:val="auto"/>
              <w:rPr>
                <w:rFonts w:hint="eastAsia" w:ascii="宋体" w:hAnsi="宋体" w:cs="Arial"/>
                <w:color w:val="auto"/>
                <w:kern w:val="0"/>
                <w:szCs w:val="21"/>
                <w:highlight w:val="none"/>
              </w:rPr>
            </w:pPr>
            <w:r>
              <w:rPr>
                <w:rFonts w:hint="eastAsia" w:ascii="宋体" w:hAnsi="宋体" w:cs="Arial"/>
                <w:color w:val="auto"/>
                <w:kern w:val="0"/>
                <w:szCs w:val="21"/>
                <w:highlight w:val="none"/>
                <w:u w:val="none"/>
              </w:rPr>
              <w:t>（3）其它预付款：</w:t>
            </w:r>
            <w:r>
              <w:rPr>
                <w:rFonts w:hint="eastAsia" w:ascii="宋体" w:hAnsi="宋体" w:eastAsia="宋体" w:cs="宋体"/>
                <w:color w:val="auto"/>
                <w:szCs w:val="21"/>
                <w:highlight w:val="none"/>
                <w:u w:val="none"/>
              </w:rPr>
              <w:t>招标人、中标人需签订三方资金监管协议后支付至双方及监管银行约定的三方监管账户，同时中标人需向招标人提交预付款保函</w:t>
            </w:r>
            <w:r>
              <w:rPr>
                <w:rFonts w:hint="eastAsia" w:ascii="宋体" w:hAnsi="宋体" w:eastAsia="宋体" w:cs="宋体"/>
                <w:color w:val="auto"/>
                <w:szCs w:val="21"/>
                <w:highlight w:val="none"/>
                <w:u w:val="none"/>
                <w:lang w:eastAsia="zh-CN"/>
              </w:rPr>
              <w:t>。</w:t>
            </w:r>
            <w:r>
              <w:rPr>
                <w:rFonts w:hint="eastAsia" w:ascii="宋体" w:hAnsi="宋体" w:cs="Arial"/>
                <w:color w:val="auto"/>
                <w:kern w:val="0"/>
                <w:szCs w:val="21"/>
                <w:highlight w:val="none"/>
                <w:u w:val="single"/>
              </w:rPr>
              <w:t xml:space="preserve">  </w:t>
            </w:r>
            <w:permEnd w:id="115"/>
          </w:p>
          <w:p w14:paraId="6C041FC0">
            <w:pPr>
              <w:pageBreakBefore w:val="0"/>
              <w:kinsoku/>
              <w:wordWrap/>
              <w:overflowPunct/>
              <w:topLinePunct w:val="0"/>
              <w:bidi w:val="0"/>
              <w:spacing w:line="360" w:lineRule="auto"/>
              <w:textAlignment w:val="auto"/>
              <w:rPr>
                <w:rFonts w:hint="eastAsia" w:ascii="宋体" w:hAnsi="宋体" w:cs="Arial"/>
                <w:color w:val="auto"/>
                <w:kern w:val="0"/>
                <w:szCs w:val="21"/>
                <w:highlight w:val="none"/>
                <w:u w:val="none"/>
              </w:rPr>
            </w:pPr>
            <w:r>
              <w:rPr>
                <w:rFonts w:hint="eastAsia" w:ascii="宋体" w:hAnsi="宋体" w:cs="Arial"/>
                <w:color w:val="auto"/>
                <w:kern w:val="0"/>
                <w:szCs w:val="21"/>
                <w:highlight w:val="none"/>
              </w:rPr>
              <w:t>3</w:t>
            </w:r>
            <w:r>
              <w:rPr>
                <w:rFonts w:hint="eastAsia" w:ascii="宋体" w:hAnsi="宋体" w:cs="Arial"/>
                <w:color w:val="auto"/>
                <w:kern w:val="0"/>
                <w:szCs w:val="21"/>
                <w:highlight w:val="none"/>
                <w:lang w:val="en-US" w:eastAsia="zh-CN"/>
              </w:rPr>
              <w:t>.</w:t>
            </w:r>
            <w:r>
              <w:rPr>
                <w:rFonts w:hint="eastAsia" w:ascii="宋体" w:hAnsi="宋体" w:cs="Arial"/>
                <w:color w:val="auto"/>
                <w:kern w:val="0"/>
                <w:szCs w:val="21"/>
                <w:highlight w:val="none"/>
              </w:rPr>
              <w:t>扣回与还清：</w:t>
            </w:r>
            <w:permStart w:id="116" w:edGrp="everyone"/>
            <w:r>
              <w:rPr>
                <w:rFonts w:hint="eastAsia" w:ascii="宋体" w:hAnsi="宋体" w:cs="Arial"/>
                <w:color w:val="auto"/>
                <w:kern w:val="0"/>
                <w:szCs w:val="21"/>
                <w:highlight w:val="none"/>
                <w:u w:val="single"/>
              </w:rPr>
              <w:t xml:space="preserve"> </w:t>
            </w:r>
            <w:r>
              <w:rPr>
                <w:rFonts w:hint="eastAsia" w:ascii="宋体" w:hAnsi="宋体" w:cs="Arial"/>
                <w:color w:val="auto"/>
                <w:kern w:val="0"/>
                <w:szCs w:val="21"/>
                <w:highlight w:val="none"/>
                <w:u w:val="none"/>
              </w:rPr>
              <w:t>（1）工人工资预付款：该笔款项在本工程第一期工程进度款中一次性进行抵扣。</w:t>
            </w:r>
          </w:p>
          <w:p w14:paraId="4455BC10">
            <w:pPr>
              <w:pageBreakBefore w:val="0"/>
              <w:kinsoku/>
              <w:wordWrap/>
              <w:overflowPunct/>
              <w:topLinePunct w:val="0"/>
              <w:bidi w:val="0"/>
              <w:spacing w:line="360" w:lineRule="auto"/>
              <w:textAlignment w:val="auto"/>
              <w:rPr>
                <w:rFonts w:hint="eastAsia" w:ascii="宋体" w:hAnsi="宋体" w:cs="Arial"/>
                <w:color w:val="auto"/>
                <w:kern w:val="0"/>
                <w:szCs w:val="21"/>
                <w:highlight w:val="none"/>
                <w:u w:val="none"/>
              </w:rPr>
            </w:pPr>
            <w:r>
              <w:rPr>
                <w:rFonts w:hint="eastAsia" w:ascii="宋体" w:hAnsi="宋体" w:cs="Arial"/>
                <w:color w:val="auto"/>
                <w:kern w:val="0"/>
                <w:szCs w:val="21"/>
                <w:highlight w:val="none"/>
                <w:u w:val="none"/>
              </w:rPr>
              <w:t>（2）</w:t>
            </w:r>
            <w:r>
              <w:rPr>
                <w:rFonts w:hint="eastAsia" w:ascii="宋体" w:hAnsi="宋体" w:cs="Arial"/>
                <w:color w:val="auto"/>
                <w:kern w:val="0"/>
                <w:szCs w:val="21"/>
                <w:highlight w:val="none"/>
                <w:u w:val="none"/>
                <w:lang w:eastAsia="zh-CN"/>
              </w:rPr>
              <w:t>安全生产措施费</w:t>
            </w:r>
            <w:r>
              <w:rPr>
                <w:rFonts w:hint="eastAsia" w:ascii="宋体" w:hAnsi="宋体" w:cs="Arial"/>
                <w:color w:val="auto"/>
                <w:kern w:val="0"/>
                <w:szCs w:val="21"/>
                <w:highlight w:val="none"/>
                <w:u w:val="none"/>
              </w:rPr>
              <w:t>预付款：该笔款项按</w:t>
            </w:r>
            <w:r>
              <w:rPr>
                <w:rFonts w:hint="eastAsia" w:ascii="宋体" w:hAnsi="宋体" w:cs="Arial"/>
                <w:color w:val="auto"/>
                <w:kern w:val="0"/>
                <w:szCs w:val="21"/>
                <w:highlight w:val="none"/>
                <w:u w:val="none"/>
                <w:lang w:val="en-US" w:eastAsia="zh-CN"/>
              </w:rPr>
              <w:t>招标人及代建单位</w:t>
            </w:r>
            <w:r>
              <w:rPr>
                <w:rFonts w:hint="eastAsia" w:ascii="宋体" w:hAnsi="宋体" w:cs="Arial"/>
                <w:color w:val="auto"/>
                <w:kern w:val="0"/>
                <w:szCs w:val="21"/>
                <w:highlight w:val="none"/>
                <w:u w:val="none"/>
              </w:rPr>
              <w:t>审核后的每期工程进度款中的</w:t>
            </w:r>
            <w:r>
              <w:rPr>
                <w:rFonts w:hint="eastAsia" w:ascii="宋体" w:hAnsi="宋体" w:cs="Arial"/>
                <w:color w:val="auto"/>
                <w:kern w:val="0"/>
                <w:szCs w:val="21"/>
                <w:highlight w:val="none"/>
                <w:u w:val="none"/>
                <w:lang w:eastAsia="zh-CN"/>
              </w:rPr>
              <w:t>安全生产措施费</w:t>
            </w:r>
            <w:r>
              <w:rPr>
                <w:rFonts w:hint="eastAsia" w:ascii="宋体" w:hAnsi="宋体" w:cs="Arial"/>
                <w:color w:val="auto"/>
                <w:kern w:val="0"/>
                <w:szCs w:val="21"/>
                <w:highlight w:val="none"/>
                <w:u w:val="none"/>
              </w:rPr>
              <w:t>进行抵扣，直至抵扣完毕后再支付余下安全生产费。余下的安全生产措施费与工程进度款同期支付，按施工进度以及</w:t>
            </w:r>
            <w:r>
              <w:rPr>
                <w:rFonts w:hint="eastAsia" w:ascii="宋体" w:hAnsi="宋体" w:cs="Arial"/>
                <w:color w:val="auto"/>
                <w:kern w:val="0"/>
                <w:szCs w:val="21"/>
                <w:highlight w:val="none"/>
                <w:u w:val="none"/>
                <w:lang w:val="en-US" w:eastAsia="zh-CN"/>
              </w:rPr>
              <w:t>代建单位</w:t>
            </w:r>
            <w:r>
              <w:rPr>
                <w:rFonts w:hint="eastAsia" w:ascii="宋体" w:hAnsi="宋体" w:cs="Arial"/>
                <w:color w:val="auto"/>
                <w:kern w:val="0"/>
                <w:szCs w:val="21"/>
                <w:highlight w:val="none"/>
                <w:u w:val="none"/>
              </w:rPr>
              <w:t>、监理、</w:t>
            </w:r>
            <w:r>
              <w:rPr>
                <w:rFonts w:hint="eastAsia" w:ascii="宋体" w:hAnsi="宋体" w:cs="Arial"/>
                <w:color w:val="auto"/>
                <w:kern w:val="0"/>
                <w:szCs w:val="21"/>
                <w:highlight w:val="none"/>
                <w:u w:val="none"/>
                <w:lang w:val="en-US" w:eastAsia="zh-CN"/>
              </w:rPr>
              <w:t>中标人</w:t>
            </w:r>
            <w:r>
              <w:rPr>
                <w:rFonts w:hint="eastAsia" w:ascii="宋体" w:hAnsi="宋体" w:cs="Arial"/>
                <w:color w:val="auto"/>
                <w:kern w:val="0"/>
                <w:szCs w:val="21"/>
                <w:highlight w:val="none"/>
                <w:u w:val="none"/>
              </w:rPr>
              <w:t>共同核定的安全生产落实情况支付。</w:t>
            </w:r>
          </w:p>
          <w:p w14:paraId="629F9D9C">
            <w:pPr>
              <w:pageBreakBefore w:val="0"/>
              <w:kinsoku/>
              <w:wordWrap/>
              <w:overflowPunct/>
              <w:topLinePunct w:val="0"/>
              <w:bidi w:val="0"/>
              <w:spacing w:line="360" w:lineRule="auto"/>
              <w:textAlignment w:val="auto"/>
              <w:rPr>
                <w:rFonts w:hint="eastAsia" w:ascii="宋体" w:hAnsi="宋体" w:cs="宋体"/>
                <w:color w:val="FF0000"/>
                <w:kern w:val="0"/>
                <w:szCs w:val="21"/>
                <w:highlight w:val="none"/>
                <w:u w:val="single"/>
                <w:lang w:val="en-US" w:eastAsia="zh-CN"/>
              </w:rPr>
            </w:pPr>
            <w:r>
              <w:rPr>
                <w:rFonts w:hint="eastAsia" w:ascii="宋体" w:hAnsi="宋体" w:cs="Arial"/>
                <w:color w:val="auto"/>
                <w:kern w:val="0"/>
                <w:szCs w:val="21"/>
                <w:highlight w:val="none"/>
                <w:u w:val="none"/>
              </w:rPr>
              <w:t>（3）其它预付款：该笔款项按</w:t>
            </w:r>
            <w:r>
              <w:rPr>
                <w:rFonts w:hint="eastAsia" w:ascii="宋体" w:hAnsi="宋体" w:cs="Arial"/>
                <w:color w:val="auto"/>
                <w:kern w:val="0"/>
                <w:szCs w:val="21"/>
                <w:highlight w:val="none"/>
                <w:u w:val="none"/>
                <w:lang w:val="en-US" w:eastAsia="zh-CN"/>
              </w:rPr>
              <w:t>招标人及代建单位</w:t>
            </w:r>
            <w:r>
              <w:rPr>
                <w:rFonts w:hint="eastAsia" w:ascii="宋体" w:hAnsi="宋体" w:cs="Arial"/>
                <w:color w:val="auto"/>
                <w:kern w:val="0"/>
                <w:szCs w:val="21"/>
                <w:highlight w:val="none"/>
                <w:u w:val="none"/>
              </w:rPr>
              <w:t>审核后的每期工程进度款进行抵扣，直至抵扣完毕后再支付余下工程款</w:t>
            </w:r>
            <w:r>
              <w:rPr>
                <w:rFonts w:hint="eastAsia" w:ascii="宋体" w:hAnsi="宋体" w:cs="Arial"/>
                <w:color w:val="auto"/>
                <w:kern w:val="0"/>
                <w:szCs w:val="21"/>
                <w:highlight w:val="none"/>
                <w:u w:val="none"/>
                <w:lang w:eastAsia="zh-CN"/>
              </w:rPr>
              <w:t>。</w:t>
            </w:r>
          </w:p>
          <w:p w14:paraId="7D05D1AA">
            <w:pPr>
              <w:pageBreakBefore w:val="0"/>
              <w:kinsoku/>
              <w:wordWrap/>
              <w:overflowPunct/>
              <w:topLinePunct w:val="0"/>
              <w:bidi w:val="0"/>
              <w:spacing w:line="360" w:lineRule="auto"/>
              <w:textAlignment w:val="auto"/>
              <w:rPr>
                <w:rFonts w:hint="eastAsia" w:ascii="宋体" w:hAnsi="宋体" w:cs="Arial"/>
                <w:color w:val="auto"/>
                <w:kern w:val="0"/>
                <w:sz w:val="21"/>
                <w:szCs w:val="21"/>
                <w:highlight w:val="none"/>
                <w:lang w:val="en-US" w:eastAsia="zh-CN" w:bidi="ar-SA"/>
              </w:rPr>
            </w:pPr>
            <w:r>
              <w:rPr>
                <w:rFonts w:hint="eastAsia" w:ascii="宋体" w:hAnsi="宋体" w:cs="Arial"/>
                <w:color w:val="auto"/>
                <w:kern w:val="0"/>
                <w:szCs w:val="21"/>
                <w:highlight w:val="none"/>
                <w:u w:val="single"/>
              </w:rPr>
              <w:t xml:space="preserve"> </w:t>
            </w:r>
            <w:permEnd w:id="116"/>
          </w:p>
        </w:tc>
      </w:tr>
      <w:tr w14:paraId="4F0F96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080" w:type="dxa"/>
            <w:noWrap w:val="0"/>
            <w:vAlign w:val="center"/>
          </w:tcPr>
          <w:p w14:paraId="2047E4F5">
            <w:pPr>
              <w:spacing w:line="360" w:lineRule="auto"/>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9.4.2</w:t>
            </w:r>
          </w:p>
        </w:tc>
        <w:tc>
          <w:tcPr>
            <w:tcW w:w="2181" w:type="dxa"/>
            <w:noWrap w:val="0"/>
            <w:vAlign w:val="center"/>
          </w:tcPr>
          <w:p w14:paraId="433BD4E0">
            <w:pPr>
              <w:spacing w:line="360" w:lineRule="auto"/>
              <w:jc w:val="center"/>
              <w:rPr>
                <w:rFonts w:hint="eastAsia" w:ascii="宋体" w:hAnsi="宋体"/>
                <w:color w:val="auto"/>
                <w:szCs w:val="21"/>
                <w:highlight w:val="none"/>
              </w:rPr>
            </w:pPr>
            <w:r>
              <w:rPr>
                <w:rFonts w:hint="eastAsia" w:ascii="宋体" w:hAnsi="宋体" w:eastAsia="宋体" w:cs="宋体"/>
                <w:color w:val="auto"/>
                <w:szCs w:val="21"/>
                <w:highlight w:val="none"/>
                <w:lang w:val="en-US" w:eastAsia="zh-CN"/>
              </w:rPr>
              <w:t>支付</w:t>
            </w:r>
            <w:r>
              <w:rPr>
                <w:rFonts w:hint="eastAsia" w:ascii="宋体" w:hAnsi="宋体" w:eastAsia="宋体" w:cs="宋体"/>
                <w:color w:val="auto"/>
                <w:szCs w:val="21"/>
                <w:highlight w:val="none"/>
              </w:rPr>
              <w:t>方式</w:t>
            </w:r>
          </w:p>
        </w:tc>
        <w:tc>
          <w:tcPr>
            <w:tcW w:w="6237" w:type="dxa"/>
            <w:noWrap w:val="0"/>
            <w:vAlign w:val="center"/>
          </w:tcPr>
          <w:p w14:paraId="5768029C">
            <w:pPr>
              <w:spacing w:line="360" w:lineRule="auto"/>
              <w:rPr>
                <w:rFonts w:hint="eastAsia" w:ascii="宋体" w:hAnsi="宋体" w:cs="Arial"/>
                <w:color w:val="auto"/>
                <w:kern w:val="0"/>
                <w:szCs w:val="21"/>
                <w:highlight w:val="none"/>
              </w:rPr>
            </w:pPr>
            <w:permStart w:id="117" w:edGrp="everyone"/>
            <w:r>
              <w:rPr>
                <w:rFonts w:hint="eastAsia" w:ascii="宋体" w:hAnsi="宋体" w:eastAsia="宋体" w:cs="宋体"/>
                <w:color w:val="auto"/>
                <w:highlight w:val="none"/>
              </w:rPr>
              <w:t>详见第</w:t>
            </w:r>
            <w:r>
              <w:rPr>
                <w:rFonts w:hint="eastAsia" w:ascii="宋体" w:hAnsi="宋体" w:eastAsia="宋体" w:cs="宋体"/>
                <w:color w:val="auto"/>
                <w:highlight w:val="none"/>
                <w:lang w:val="en-US" w:eastAsia="zh-CN"/>
              </w:rPr>
              <w:t>二</w:t>
            </w:r>
            <w:r>
              <w:rPr>
                <w:rFonts w:hint="eastAsia" w:ascii="宋体" w:hAnsi="宋体" w:eastAsia="宋体" w:cs="宋体"/>
                <w:color w:val="auto"/>
                <w:highlight w:val="none"/>
              </w:rPr>
              <w:t>章14.需要补充的其他内容中的</w:t>
            </w:r>
            <w:r>
              <w:rPr>
                <w:rFonts w:hint="eastAsia" w:ascii="宋体" w:hAnsi="宋体" w:eastAsia="宋体" w:cs="宋体"/>
                <w:color w:val="auto"/>
                <w:highlight w:val="none"/>
                <w:lang w:val="en-US" w:eastAsia="zh-CN"/>
              </w:rPr>
              <w:t>14.1.28</w:t>
            </w:r>
            <w:r>
              <w:rPr>
                <w:rFonts w:hint="eastAsia" w:ascii="宋体" w:hAnsi="宋体" w:eastAsia="宋体" w:cs="宋体"/>
                <w:color w:val="auto"/>
                <w:highlight w:val="none"/>
              </w:rPr>
              <w:t>工程价款支付</w:t>
            </w:r>
            <w:permEnd w:id="117"/>
          </w:p>
        </w:tc>
      </w:tr>
      <w:tr w14:paraId="271A5B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81" w:hRule="atLeast"/>
        </w:trPr>
        <w:tc>
          <w:tcPr>
            <w:tcW w:w="1080" w:type="dxa"/>
            <w:noWrap w:val="0"/>
            <w:vAlign w:val="center"/>
          </w:tcPr>
          <w:p w14:paraId="35F12ACD">
            <w:pPr>
              <w:spacing w:line="360" w:lineRule="auto"/>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9.4.3</w:t>
            </w:r>
          </w:p>
        </w:tc>
        <w:tc>
          <w:tcPr>
            <w:tcW w:w="2181" w:type="dxa"/>
            <w:noWrap w:val="0"/>
            <w:vAlign w:val="center"/>
          </w:tcPr>
          <w:p w14:paraId="507B4B01">
            <w:pPr>
              <w:spacing w:line="360" w:lineRule="auto"/>
              <w:jc w:val="center"/>
              <w:rPr>
                <w:rFonts w:hint="eastAsia" w:ascii="宋体" w:hAnsi="宋体"/>
                <w:color w:val="auto"/>
                <w:szCs w:val="21"/>
                <w:highlight w:val="none"/>
              </w:rPr>
            </w:pPr>
            <w:r>
              <w:rPr>
                <w:rFonts w:hint="eastAsia" w:ascii="宋体" w:hAnsi="宋体" w:eastAsia="宋体" w:cs="宋体"/>
                <w:color w:val="auto"/>
                <w:szCs w:val="21"/>
                <w:highlight w:val="none"/>
                <w:lang w:val="en-US" w:eastAsia="zh-CN"/>
              </w:rPr>
              <w:t>结算方式</w:t>
            </w:r>
          </w:p>
        </w:tc>
        <w:tc>
          <w:tcPr>
            <w:tcW w:w="6237" w:type="dxa"/>
            <w:noWrap w:val="0"/>
            <w:vAlign w:val="bottom"/>
          </w:tcPr>
          <w:p w14:paraId="44869C53">
            <w:pPr>
              <w:spacing w:line="360" w:lineRule="auto"/>
              <w:jc w:val="left"/>
              <w:rPr>
                <w:rFonts w:hint="eastAsia" w:ascii="宋体" w:hAnsi="宋体" w:cs="Arial"/>
                <w:color w:val="auto"/>
                <w:kern w:val="0"/>
                <w:szCs w:val="21"/>
                <w:highlight w:val="none"/>
              </w:rPr>
            </w:pPr>
            <w:permStart w:id="118" w:edGrp="everyone"/>
            <w:r>
              <w:rPr>
                <w:rFonts w:hint="eastAsia" w:ascii="宋体" w:hAnsi="宋体" w:cs="宋体"/>
                <w:color w:val="auto"/>
                <w:szCs w:val="21"/>
              </w:rPr>
              <w:t xml:space="preserve">详见第二章 </w:t>
            </w:r>
            <w:r>
              <w:rPr>
                <w:rFonts w:hint="eastAsia" w:ascii="宋体" w:hAnsi="宋体" w:eastAsia="宋体" w:cs="宋体"/>
                <w:color w:val="auto"/>
                <w:highlight w:val="none"/>
              </w:rPr>
              <w:t>14.需要补充的其他内容中的</w:t>
            </w:r>
            <w:r>
              <w:rPr>
                <w:rFonts w:hint="eastAsia" w:ascii="宋体" w:hAnsi="宋体" w:eastAsia="宋体" w:cs="宋体"/>
                <w:color w:val="auto"/>
                <w:highlight w:val="none"/>
                <w:lang w:val="en-US" w:eastAsia="zh-CN"/>
              </w:rPr>
              <w:t>14.1.26工程价款结算及调整</w:t>
            </w:r>
            <w:r>
              <w:rPr>
                <w:rFonts w:hint="eastAsia" w:ascii="宋体" w:hAnsi="宋体" w:eastAsia="宋体" w:cs="宋体"/>
                <w:color w:val="auto"/>
                <w:highlight w:val="none"/>
                <w:lang w:eastAsia="zh-CN"/>
              </w:rPr>
              <w:t>。</w:t>
            </w:r>
            <w:permEnd w:id="118"/>
          </w:p>
        </w:tc>
      </w:tr>
      <w:tr w14:paraId="40EF73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5BF9996A">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11.5</w:t>
            </w:r>
          </w:p>
        </w:tc>
        <w:tc>
          <w:tcPr>
            <w:tcW w:w="2181" w:type="dxa"/>
            <w:noWrap w:val="0"/>
            <w:vAlign w:val="center"/>
          </w:tcPr>
          <w:p w14:paraId="329425E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异议</w:t>
            </w:r>
          </w:p>
        </w:tc>
        <w:tc>
          <w:tcPr>
            <w:tcW w:w="6237" w:type="dxa"/>
            <w:noWrap w:val="0"/>
            <w:vAlign w:val="center"/>
          </w:tcPr>
          <w:p w14:paraId="33ADAB40">
            <w:pPr>
              <w:pageBreakBefore w:val="0"/>
              <w:kinsoku/>
              <w:wordWrap/>
              <w:overflowPunct/>
              <w:topLinePunct w:val="0"/>
              <w:bidi w:val="0"/>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val="en-US" w:eastAsia="zh-CN"/>
              </w:rPr>
              <w:t>（1）参加现场开标投标人对开标有异议的，应当在开标现场提出，招标人当场作出答复，并制作记录。参加在线开标的投标人对开标结果有异议的，</w:t>
            </w:r>
            <w:r>
              <w:rPr>
                <w:rFonts w:hint="eastAsia"/>
                <w:color w:val="auto"/>
                <w:highlight w:val="none"/>
              </w:rPr>
              <w:t>应当在开标时间通过</w:t>
            </w:r>
            <w:r>
              <w:rPr>
                <w:rFonts w:hint="eastAsia"/>
                <w:color w:val="auto"/>
                <w:highlight w:val="none"/>
                <w:lang w:eastAsia="zh-CN"/>
              </w:rPr>
              <w:t>工程建设交易系统</w:t>
            </w:r>
            <w:r>
              <w:rPr>
                <w:rFonts w:hint="eastAsia"/>
                <w:color w:val="auto"/>
                <w:highlight w:val="none"/>
              </w:rPr>
              <w:t>在线提出异议，招标人或招标代理在线及时回复，并制作记录</w:t>
            </w:r>
            <w:r>
              <w:rPr>
                <w:rFonts w:hint="eastAsia" w:ascii="宋体" w:hAnsi="宋体"/>
                <w:color w:val="auto"/>
                <w:szCs w:val="21"/>
                <w:highlight w:val="none"/>
              </w:rPr>
              <w:t>。异议的范围包括：投标文件的提交、截标时间、开标程序、投标文件密封检查和开封、唱标内容、标底价格的合理性、开标记录、唱标次序等，以及《中华人民共和国招标投标法实施条例》第三十四条所规定的情形。</w:t>
            </w:r>
            <w:r>
              <w:rPr>
                <w:rFonts w:hint="eastAsia"/>
                <w:color w:val="auto"/>
                <w:highlight w:val="none"/>
              </w:rPr>
              <w:t>投标人未参加开标或未在线提出异议的，视同认可开标结果。</w:t>
            </w:r>
          </w:p>
          <w:p w14:paraId="0DB62D72">
            <w:pPr>
              <w:pageBreakBefore w:val="0"/>
              <w:kinsoku/>
              <w:wordWrap/>
              <w:overflowPunct/>
              <w:topLinePunct w:val="0"/>
              <w:bidi w:val="0"/>
              <w:spacing w:line="360" w:lineRule="auto"/>
              <w:ind w:firstLine="420" w:firstLineChars="200"/>
              <w:textAlignment w:val="auto"/>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投标人或者其他利害关系人对资格预审文件有异议的，应当在提交资格预审申请文件截止时间2日前提出；对招标文件有异议的，应当在投标截止时间10日前以书面形式提出。投标人或者其他利害关系人对评标结果有异议的，应当在评标结果公示期间提出。投标人或者其他利害关系人对定标结果有异议的，应当在中标候选人公示期间提出。招标人应当自收到异议之日起3日内作出答复；作出答复前，将暂停招标投标活动。异议可通过广东省公共资源交易平台（交易系统）的“在线提出异议”栏目向招标人提出，也可线下直接向招标人递交异议文件。</w:t>
            </w:r>
          </w:p>
          <w:p w14:paraId="6DA67070">
            <w:pPr>
              <w:spacing w:line="360" w:lineRule="auto"/>
              <w:ind w:firstLine="420" w:firstLineChars="200"/>
              <w:jc w:val="both"/>
              <w:rPr>
                <w:rFonts w:hint="eastAsia" w:ascii="宋体" w:hAnsi="宋体" w:eastAsia="宋体" w:cs="宋体"/>
                <w:bCs/>
                <w:color w:val="auto"/>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存在以下情形之一的，招标人可以不予受理异议，并向异议提起人发出异议不予受理通知书：1、以单位名义提出异议的，异议书未经法定代表人或主要负责人签字并加盖公章的；2、以个人名义提出异议的，异议书未署异议人真实姓名、签字、有效联系方式或没有有效身份证明文件；3、如有委托代理人的，委托代理人没有相应的授权委托书和有效身份证明复印件，或者有关委托代理权限和事项不明确的。</w:t>
            </w:r>
          </w:p>
        </w:tc>
      </w:tr>
      <w:tr w14:paraId="5B03B8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0743925A">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11.6</w:t>
            </w:r>
          </w:p>
        </w:tc>
        <w:tc>
          <w:tcPr>
            <w:tcW w:w="2181" w:type="dxa"/>
            <w:noWrap w:val="0"/>
            <w:vAlign w:val="center"/>
          </w:tcPr>
          <w:p w14:paraId="0A5E70F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投诉</w:t>
            </w:r>
          </w:p>
        </w:tc>
        <w:tc>
          <w:tcPr>
            <w:tcW w:w="6237" w:type="dxa"/>
            <w:noWrap w:val="0"/>
            <w:vAlign w:val="center"/>
          </w:tcPr>
          <w:p w14:paraId="654833FB">
            <w:pPr>
              <w:spacing w:line="360" w:lineRule="auto"/>
              <w:ind w:firstLine="420" w:firstLineChars="200"/>
              <w:jc w:val="left"/>
              <w:rPr>
                <w:rFonts w:hint="eastAsia" w:ascii="宋体" w:hAnsi="宋体"/>
                <w:bCs/>
                <w:color w:val="auto"/>
                <w:highlight w:val="none"/>
              </w:rPr>
            </w:pPr>
            <w:r>
              <w:rPr>
                <w:rFonts w:hint="eastAsia" w:ascii="宋体" w:hAnsi="宋体"/>
                <w:bCs/>
                <w:color w:val="auto"/>
                <w:highlight w:val="none"/>
              </w:rPr>
              <w:t>投标人和其他利害关系人认为本次招标活动不符合法律行政法规规定的，可以自知道或者应当知道之日起10个日历天内向有关行政监督部门投诉。投诉须符合《工程建设项目招标投标活动投诉处理办法（2013年修订）》的规定。</w:t>
            </w:r>
          </w:p>
          <w:p w14:paraId="533DD914">
            <w:pPr>
              <w:spacing w:line="360" w:lineRule="auto"/>
              <w:ind w:firstLine="420" w:firstLineChars="200"/>
              <w:jc w:val="left"/>
              <w:rPr>
                <w:rFonts w:hint="eastAsia" w:ascii="宋体" w:hAnsi="宋体"/>
                <w:bCs/>
                <w:color w:val="auto"/>
                <w:highlight w:val="none"/>
              </w:rPr>
            </w:pPr>
            <w:r>
              <w:rPr>
                <w:rFonts w:hint="eastAsia" w:ascii="宋体" w:hAnsi="宋体"/>
                <w:bCs/>
                <w:color w:val="auto"/>
                <w:highlight w:val="none"/>
              </w:rPr>
              <w:t>投诉可通过广东省公共资源交易平台（交易系统）的“在线提出投诉”栏目向有关行政监督部门提出，也可线下直接向有关行政监督部门递交投诉文件。依据招投标法律法规规章规定，投诉事项属应先向招标人提出异议而没有提出异议的，行政监督部门不予受理。</w:t>
            </w:r>
          </w:p>
          <w:p w14:paraId="10DD8367">
            <w:pPr>
              <w:spacing w:line="360" w:lineRule="auto"/>
              <w:ind w:firstLine="420" w:firstLineChars="200"/>
              <w:jc w:val="left"/>
              <w:rPr>
                <w:rFonts w:hint="eastAsia" w:ascii="宋体" w:hAnsi="宋体"/>
                <w:bCs/>
                <w:color w:val="auto"/>
                <w:highlight w:val="none"/>
              </w:rPr>
            </w:pPr>
            <w:r>
              <w:rPr>
                <w:rFonts w:hint="eastAsia" w:ascii="宋体" w:hAnsi="宋体"/>
                <w:bCs/>
                <w:color w:val="auto"/>
                <w:highlight w:val="none"/>
              </w:rPr>
              <w:t>被投诉单位在收到查询函5个工作日内向招标人及行政监督部门提供书面回复及有效的证明资料。</w:t>
            </w:r>
          </w:p>
          <w:p w14:paraId="3A85F9F2">
            <w:pPr>
              <w:spacing w:line="360" w:lineRule="auto"/>
              <w:ind w:firstLine="420" w:firstLineChars="200"/>
              <w:jc w:val="both"/>
              <w:rPr>
                <w:rFonts w:hint="eastAsia" w:ascii="宋体" w:hAnsi="宋体" w:eastAsia="宋体" w:cs="宋体"/>
                <w:bCs/>
                <w:color w:val="auto"/>
                <w:highlight w:val="none"/>
              </w:rPr>
            </w:pPr>
            <w:r>
              <w:rPr>
                <w:rFonts w:hint="eastAsia" w:ascii="宋体" w:hAnsi="宋体"/>
                <w:bCs/>
                <w:color w:val="auto"/>
                <w:highlight w:val="none"/>
              </w:rPr>
              <w:t>依法必须进行招标的项目的招标投标活动违反招标投标法和招标投标法实施条例的规定，对中标结果造成实质性影响，且不能采取补救措施予以纠正的，招标、投标、中标无效，应当依法重新组织招标或评标</w:t>
            </w:r>
            <w:r>
              <w:rPr>
                <w:rFonts w:hint="eastAsia" w:ascii="宋体" w:hAnsi="宋体"/>
                <w:bCs/>
                <w:color w:val="auto"/>
                <w:highlight w:val="none"/>
                <w:lang w:eastAsia="zh-CN"/>
              </w:rPr>
              <w:t>或定标</w:t>
            </w:r>
            <w:r>
              <w:rPr>
                <w:rFonts w:hint="eastAsia" w:ascii="宋体" w:hAnsi="宋体"/>
                <w:bCs/>
                <w:color w:val="auto"/>
                <w:highlight w:val="none"/>
              </w:rPr>
              <w:t>。</w:t>
            </w:r>
          </w:p>
        </w:tc>
      </w:tr>
      <w:tr w14:paraId="0ED582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50F1A675">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w:t>
            </w:r>
          </w:p>
        </w:tc>
        <w:tc>
          <w:tcPr>
            <w:tcW w:w="8418" w:type="dxa"/>
            <w:gridSpan w:val="2"/>
            <w:noWrap w:val="0"/>
            <w:vAlign w:val="center"/>
          </w:tcPr>
          <w:p w14:paraId="7ACEB362">
            <w:pPr>
              <w:spacing w:line="360" w:lineRule="auto"/>
              <w:ind w:firstLine="0" w:firstLineChars="0"/>
              <w:jc w:val="both"/>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项目管理机构基本要求</w:t>
            </w:r>
          </w:p>
        </w:tc>
      </w:tr>
      <w:tr w14:paraId="6087A8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5920D20A">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w:t>
            </w:r>
          </w:p>
        </w:tc>
        <w:tc>
          <w:tcPr>
            <w:tcW w:w="8418" w:type="dxa"/>
            <w:gridSpan w:val="2"/>
            <w:noWrap w:val="0"/>
            <w:vAlign w:val="center"/>
          </w:tcPr>
          <w:p w14:paraId="1E27BE15">
            <w:pPr>
              <w:spacing w:line="360" w:lineRule="auto"/>
              <w:ind w:firstLine="0" w:firstLineChars="0"/>
              <w:jc w:val="both"/>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否决性条款</w:t>
            </w:r>
          </w:p>
        </w:tc>
      </w:tr>
      <w:tr w14:paraId="1C08E6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51FF72FE">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w:t>
            </w:r>
          </w:p>
        </w:tc>
        <w:tc>
          <w:tcPr>
            <w:tcW w:w="8418" w:type="dxa"/>
            <w:gridSpan w:val="2"/>
            <w:noWrap w:val="0"/>
            <w:vAlign w:val="center"/>
          </w:tcPr>
          <w:p w14:paraId="6B327201">
            <w:pPr>
              <w:spacing w:line="360" w:lineRule="auto"/>
              <w:ind w:firstLine="0" w:firstLineChars="0"/>
              <w:jc w:val="both"/>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需要补充的其他内容</w:t>
            </w:r>
          </w:p>
        </w:tc>
      </w:tr>
      <w:tr w14:paraId="00109D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240DD856">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14.1</w:t>
            </w:r>
          </w:p>
        </w:tc>
        <w:tc>
          <w:tcPr>
            <w:tcW w:w="8418" w:type="dxa"/>
            <w:gridSpan w:val="2"/>
            <w:noWrap w:val="0"/>
            <w:vAlign w:val="center"/>
          </w:tcPr>
          <w:p w14:paraId="67E9C081">
            <w:pPr>
              <w:pageBreakBefore w:val="0"/>
              <w:kinsoku/>
              <w:wordWrap/>
              <w:overflowPunct/>
              <w:topLinePunct w:val="0"/>
              <w:bidi w:val="0"/>
              <w:spacing w:line="360" w:lineRule="auto"/>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eastAsia="zh-CN"/>
              </w:rPr>
              <w:t>最高投标限价</w:t>
            </w:r>
            <w:r>
              <w:rPr>
                <w:rFonts w:hint="eastAsia" w:ascii="宋体" w:hAnsi="宋体" w:eastAsia="宋体" w:cs="宋体"/>
                <w:color w:val="auto"/>
                <w:szCs w:val="21"/>
                <w:highlight w:val="none"/>
              </w:rPr>
              <w:t>和承包标准</w:t>
            </w:r>
          </w:p>
        </w:tc>
      </w:tr>
      <w:tr w14:paraId="3A0074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2E272A4B">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w:t>
            </w:r>
            <w:r>
              <w:rPr>
                <w:rFonts w:hint="eastAsia" w:ascii="宋体" w:hAnsi="宋体" w:cs="宋体"/>
                <w:color w:val="auto"/>
                <w:szCs w:val="21"/>
                <w:highlight w:val="none"/>
                <w:lang w:val="en-US" w:eastAsia="zh-CN"/>
              </w:rPr>
              <w:t>2</w:t>
            </w:r>
          </w:p>
        </w:tc>
        <w:tc>
          <w:tcPr>
            <w:tcW w:w="2181" w:type="dxa"/>
            <w:noWrap w:val="0"/>
            <w:vAlign w:val="center"/>
          </w:tcPr>
          <w:p w14:paraId="1886ABAB">
            <w:pPr>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证书及证明</w:t>
            </w:r>
            <w:r>
              <w:rPr>
                <w:rFonts w:hint="eastAsia" w:ascii="宋体" w:hAnsi="宋体" w:eastAsia="宋体" w:cs="宋体"/>
                <w:color w:val="auto"/>
                <w:szCs w:val="21"/>
                <w:highlight w:val="none"/>
                <w:lang w:val="en-US" w:eastAsia="zh-CN"/>
              </w:rPr>
              <w:t>的</w:t>
            </w:r>
            <w:r>
              <w:rPr>
                <w:rFonts w:hint="eastAsia" w:ascii="宋体" w:hAnsi="宋体" w:eastAsia="宋体" w:cs="宋体"/>
                <w:color w:val="auto"/>
                <w:szCs w:val="21"/>
                <w:highlight w:val="none"/>
              </w:rPr>
              <w:t>查验</w:t>
            </w:r>
          </w:p>
        </w:tc>
        <w:tc>
          <w:tcPr>
            <w:tcW w:w="6237" w:type="dxa"/>
            <w:noWrap w:val="0"/>
            <w:vAlign w:val="center"/>
          </w:tcPr>
          <w:p w14:paraId="5C7C6EC3">
            <w:pPr>
              <w:spacing w:line="360" w:lineRule="auto"/>
              <w:ind w:firstLine="420" w:firstLineChars="200"/>
              <w:rPr>
                <w:rFonts w:hint="eastAsia" w:ascii="宋体" w:hAnsi="宋体" w:eastAsia="宋体" w:cs="宋体"/>
                <w:bCs/>
                <w:color w:val="auto"/>
                <w:highlight w:val="none"/>
              </w:rPr>
            </w:pPr>
            <w:r>
              <w:rPr>
                <w:rFonts w:hint="eastAsia" w:ascii="宋体" w:hAnsi="宋体"/>
                <w:color w:val="auto"/>
                <w:szCs w:val="21"/>
                <w:highlight w:val="none"/>
                <w:lang w:val="zh-CN"/>
              </w:rPr>
              <w:t>评标、定标结束后、中标通知书发出前，</w:t>
            </w:r>
            <w:r>
              <w:rPr>
                <w:rFonts w:hint="eastAsia" w:ascii="宋体" w:hAnsi="宋体" w:eastAsia="宋体" w:cs="宋体"/>
                <w:color w:val="auto"/>
                <w:szCs w:val="21"/>
                <w:highlight w:val="none"/>
                <w:lang w:val="zh-CN"/>
              </w:rPr>
              <w:t>中标候选人的</w:t>
            </w:r>
            <w:r>
              <w:rPr>
                <w:rFonts w:hint="eastAsia" w:ascii="宋体" w:hAnsi="宋体" w:eastAsia="宋体" w:cs="宋体"/>
                <w:color w:val="auto"/>
                <w:szCs w:val="21"/>
                <w:highlight w:val="none"/>
              </w:rPr>
              <w:t>营业执照、资质证书、</w:t>
            </w:r>
            <w:r>
              <w:rPr>
                <w:rFonts w:hint="eastAsia" w:ascii="宋体" w:hAnsi="宋体" w:eastAsia="宋体" w:cs="宋体"/>
                <w:color w:val="auto"/>
                <w:szCs w:val="21"/>
                <w:highlight w:val="none"/>
                <w:lang w:eastAsia="zh-CN"/>
              </w:rPr>
              <w:t>安全生产许可证、</w:t>
            </w:r>
            <w:r>
              <w:rPr>
                <w:rFonts w:hint="eastAsia" w:ascii="宋体" w:hAnsi="宋体" w:eastAsia="宋体" w:cs="宋体"/>
                <w:color w:val="auto"/>
                <w:szCs w:val="21"/>
                <w:highlight w:val="none"/>
              </w:rPr>
              <w:t>项目负责人注册证、社保证明</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业绩证明等材料</w:t>
            </w:r>
            <w:r>
              <w:rPr>
                <w:rFonts w:hint="eastAsia" w:ascii="宋体" w:hAnsi="宋体" w:eastAsia="宋体" w:cs="宋体"/>
                <w:color w:val="auto"/>
                <w:szCs w:val="21"/>
                <w:highlight w:val="none"/>
                <w:lang w:val="zh-CN"/>
              </w:rPr>
              <w:t>由招标人</w:t>
            </w:r>
            <w:r>
              <w:rPr>
                <w:rFonts w:hint="eastAsia" w:ascii="宋体" w:hAnsi="宋体"/>
                <w:color w:val="auto"/>
                <w:szCs w:val="21"/>
                <w:highlight w:val="none"/>
                <w:lang w:val="zh-CN"/>
              </w:rPr>
              <w:t>对其真实性、有效性进行查验，投标人须确保投标文件中所列的证件、证明材料真实、有效，否则招标人将按投标人提交虚假材料进行投标上报行政主管部门进行处理。投标人须配合招标人进行查验、核实，并提供相关证明材料以供招标人复制、查阅，否则招标人有权取消其中标候选人资格。</w:t>
            </w:r>
          </w:p>
        </w:tc>
      </w:tr>
      <w:tr w14:paraId="0C7B0C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42095166">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w:t>
            </w:r>
            <w:r>
              <w:rPr>
                <w:rFonts w:hint="eastAsia" w:ascii="宋体" w:hAnsi="宋体" w:cs="宋体"/>
                <w:color w:val="auto"/>
                <w:szCs w:val="21"/>
                <w:highlight w:val="none"/>
                <w:lang w:val="en-US" w:eastAsia="zh-CN"/>
              </w:rPr>
              <w:t>3</w:t>
            </w:r>
          </w:p>
        </w:tc>
        <w:tc>
          <w:tcPr>
            <w:tcW w:w="2181" w:type="dxa"/>
            <w:noWrap w:val="0"/>
            <w:vAlign w:val="center"/>
          </w:tcPr>
          <w:p w14:paraId="2F0C859D">
            <w:pPr>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资质证书</w:t>
            </w:r>
          </w:p>
        </w:tc>
        <w:tc>
          <w:tcPr>
            <w:tcW w:w="6237" w:type="dxa"/>
            <w:noWrap w:val="0"/>
            <w:vAlign w:val="center"/>
          </w:tcPr>
          <w:p w14:paraId="6EE95A74">
            <w:pPr>
              <w:bidi w:val="0"/>
              <w:ind w:firstLine="420" w:firstLineChars="200"/>
              <w:rPr>
                <w:rFonts w:hint="eastAsia" w:ascii="宋体" w:hAnsi="宋体" w:eastAsia="宋体" w:cs="宋体"/>
                <w:color w:val="auto"/>
                <w:szCs w:val="21"/>
                <w:highlight w:val="none"/>
              </w:rPr>
            </w:pPr>
            <w:r>
              <w:rPr>
                <w:rFonts w:hint="eastAsia"/>
                <w:color w:val="auto"/>
                <w:lang w:val="zh-CN" w:eastAsia="zh-CN"/>
              </w:rPr>
              <w:t>资质证书、人员证书过期的，如能提供相关部门顺延证书有效期的文件，且符合文件规定的，则视为仍然有效。</w:t>
            </w:r>
          </w:p>
        </w:tc>
      </w:tr>
      <w:tr w14:paraId="6508F0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484A6241">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w:t>
            </w:r>
            <w:r>
              <w:rPr>
                <w:rFonts w:hint="eastAsia" w:ascii="宋体" w:hAnsi="宋体" w:cs="宋体"/>
                <w:color w:val="auto"/>
                <w:szCs w:val="21"/>
                <w:highlight w:val="none"/>
                <w:lang w:val="en-US" w:eastAsia="zh-CN"/>
              </w:rPr>
              <w:t>4</w:t>
            </w:r>
          </w:p>
        </w:tc>
        <w:tc>
          <w:tcPr>
            <w:tcW w:w="2181" w:type="dxa"/>
            <w:noWrap w:val="0"/>
            <w:vAlign w:val="center"/>
          </w:tcPr>
          <w:p w14:paraId="4FAAAD0F">
            <w:pPr>
              <w:spacing w:line="360" w:lineRule="auto"/>
              <w:jc w:val="both"/>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复印件及扫描件</w:t>
            </w:r>
          </w:p>
        </w:tc>
        <w:tc>
          <w:tcPr>
            <w:tcW w:w="6237" w:type="dxa"/>
            <w:noWrap w:val="0"/>
            <w:vAlign w:val="center"/>
          </w:tcPr>
          <w:p w14:paraId="2E02A24C">
            <w:pPr>
              <w:bidi w:val="0"/>
              <w:ind w:firstLine="420" w:firstLineChars="200"/>
              <w:rPr>
                <w:rFonts w:hint="eastAsia" w:ascii="宋体" w:hAnsi="宋体" w:eastAsia="宋体" w:cs="宋体"/>
                <w:color w:val="auto"/>
                <w:szCs w:val="21"/>
                <w:highlight w:val="none"/>
                <w:lang w:val="en-US" w:eastAsia="zh-CN"/>
              </w:rPr>
            </w:pPr>
            <w:r>
              <w:rPr>
                <w:rFonts w:hint="eastAsia"/>
                <w:color w:val="auto"/>
              </w:rPr>
              <w:t>招标文件中提到的</w:t>
            </w:r>
            <w:r>
              <w:rPr>
                <w:rFonts w:hint="eastAsia"/>
                <w:color w:val="auto"/>
                <w:lang w:val="en-US" w:eastAsia="zh-CN"/>
              </w:rPr>
              <w:t>复印件、扫描件，彩色或黑白均可，但必须清晰、明辨，否则投标人自行承担后果。</w:t>
            </w:r>
          </w:p>
        </w:tc>
      </w:tr>
      <w:tr w14:paraId="58EF96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30208C29">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w:t>
            </w:r>
            <w:r>
              <w:rPr>
                <w:rFonts w:hint="eastAsia" w:ascii="宋体" w:hAnsi="宋体" w:cs="宋体"/>
                <w:color w:val="auto"/>
                <w:szCs w:val="21"/>
                <w:highlight w:val="none"/>
                <w:lang w:val="en-US" w:eastAsia="zh-CN"/>
              </w:rPr>
              <w:t>5</w:t>
            </w:r>
          </w:p>
        </w:tc>
        <w:tc>
          <w:tcPr>
            <w:tcW w:w="2181" w:type="dxa"/>
            <w:noWrap w:val="0"/>
            <w:vAlign w:val="center"/>
          </w:tcPr>
          <w:p w14:paraId="7E662854">
            <w:pPr>
              <w:spacing w:line="360" w:lineRule="auto"/>
              <w:jc w:val="both"/>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中标人纳税要求</w:t>
            </w:r>
          </w:p>
        </w:tc>
        <w:tc>
          <w:tcPr>
            <w:tcW w:w="6237" w:type="dxa"/>
            <w:noWrap w:val="0"/>
            <w:vAlign w:val="center"/>
          </w:tcPr>
          <w:p w14:paraId="273C8C56">
            <w:pPr>
              <w:bidi w:val="0"/>
              <w:ind w:firstLine="420" w:firstLineChars="200"/>
              <w:rPr>
                <w:rFonts w:hint="eastAsia" w:ascii="宋体" w:hAnsi="宋体" w:eastAsia="宋体" w:cs="宋体"/>
                <w:color w:val="auto"/>
                <w:highlight w:val="none"/>
              </w:rPr>
            </w:pPr>
            <w:r>
              <w:rPr>
                <w:rFonts w:hint="eastAsia"/>
                <w:color w:val="auto"/>
                <w:lang w:val="en-US" w:eastAsia="zh-CN"/>
              </w:rPr>
              <w:t>中标单位须按照</w:t>
            </w:r>
            <w:r>
              <w:rPr>
                <w:rFonts w:hint="eastAsia"/>
                <w:color w:val="auto"/>
                <w:lang w:val="zh-CN" w:eastAsia="zh-CN"/>
              </w:rPr>
              <w:t>《国家税务总局关于发布〈纳税人跨县（市、区）提供建筑服务增值税征收管理暂行办</w:t>
            </w:r>
            <w:r>
              <w:rPr>
                <w:rFonts w:hint="eastAsia"/>
                <w:color w:val="auto"/>
                <w:lang w:val="en-US" w:eastAsia="zh-CN"/>
              </w:rPr>
              <w:t>法</w:t>
            </w:r>
            <w:r>
              <w:rPr>
                <w:rFonts w:hint="eastAsia"/>
                <w:color w:val="auto"/>
                <w:lang w:val="zh-CN" w:eastAsia="zh-CN"/>
              </w:rPr>
              <w:t>〉的公告》（</w:t>
            </w:r>
            <w:r>
              <w:rPr>
                <w:rFonts w:hint="eastAsia"/>
                <w:color w:val="auto"/>
                <w:lang w:val="en-US" w:eastAsia="zh-CN"/>
              </w:rPr>
              <w:t>国家</w:t>
            </w:r>
            <w:r>
              <w:rPr>
                <w:rFonts w:hint="eastAsia"/>
                <w:color w:val="auto"/>
                <w:lang w:val="zh-CN" w:eastAsia="zh-CN"/>
              </w:rPr>
              <w:t>税务总局公告</w:t>
            </w:r>
            <w:r>
              <w:rPr>
                <w:rFonts w:hint="eastAsia" w:ascii="宋体" w:hAnsi="宋体" w:eastAsia="宋体" w:cs="宋体"/>
                <w:color w:val="auto"/>
                <w:szCs w:val="21"/>
                <w:highlight w:val="none"/>
                <w:lang w:val="zh-CN" w:eastAsia="zh-CN"/>
              </w:rPr>
              <w:t>2016年第17号</w:t>
            </w:r>
            <w:r>
              <w:rPr>
                <w:rFonts w:hint="eastAsia"/>
                <w:color w:val="auto"/>
                <w:lang w:val="zh-CN" w:eastAsia="zh-CN"/>
              </w:rPr>
              <w:t>）</w:t>
            </w:r>
            <w:r>
              <w:rPr>
                <w:rFonts w:hint="eastAsia"/>
                <w:color w:val="auto"/>
                <w:lang w:val="en-US" w:eastAsia="zh-CN"/>
              </w:rPr>
              <w:t>的要求办理预缴税款事项。</w:t>
            </w:r>
          </w:p>
        </w:tc>
      </w:tr>
      <w:tr w14:paraId="2528BF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trPr>
        <w:tc>
          <w:tcPr>
            <w:tcW w:w="1080" w:type="dxa"/>
            <w:noWrap w:val="0"/>
            <w:vAlign w:val="center"/>
          </w:tcPr>
          <w:p w14:paraId="7E4818E2">
            <w:pPr>
              <w:spacing w:line="360" w:lineRule="auto"/>
              <w:jc w:val="center"/>
              <w:rPr>
                <w:rFonts w:hint="default" w:ascii="宋体" w:hAnsi="宋体" w:eastAsia="宋体" w:cs="宋体"/>
                <w:color w:val="auto"/>
                <w:szCs w:val="21"/>
                <w:highlight w:val="none"/>
                <w:lang w:val="en-US" w:eastAsia="zh-CN"/>
              </w:rPr>
            </w:pPr>
            <w:bookmarkStart w:id="169" w:name="_Toc352891595"/>
            <w:bookmarkStart w:id="170" w:name="_Toc552004487"/>
            <w:bookmarkStart w:id="171" w:name="_Toc612330724"/>
            <w:bookmarkStart w:id="172" w:name="_Toc697815744"/>
            <w:bookmarkStart w:id="173" w:name="_Toc1775284616"/>
            <w:bookmarkStart w:id="174" w:name="_Toc1488381764"/>
            <w:bookmarkStart w:id="175" w:name="_Toc2048235939"/>
            <w:bookmarkStart w:id="176" w:name="_Toc646459937"/>
            <w:bookmarkStart w:id="177" w:name="_Toc847142968"/>
            <w:bookmarkStart w:id="178" w:name="_Toc1133993743"/>
            <w:bookmarkStart w:id="179" w:name="_Toc1245501933"/>
            <w:bookmarkStart w:id="180" w:name="_Toc1314782793"/>
            <w:bookmarkStart w:id="181" w:name="_Toc1479279360"/>
            <w:bookmarkStart w:id="182" w:name="_Toc1935558227"/>
            <w:bookmarkStart w:id="183" w:name="_Toc1185866346"/>
            <w:bookmarkStart w:id="184" w:name="_Toc1382741420"/>
            <w:bookmarkStart w:id="185" w:name="_Toc1232569837"/>
            <w:r>
              <w:rPr>
                <w:rFonts w:hint="eastAsia" w:ascii="宋体" w:hAnsi="宋体" w:cs="宋体"/>
                <w:color w:val="auto"/>
                <w:szCs w:val="21"/>
                <w:highlight w:val="none"/>
                <w:lang w:val="en-US" w:eastAsia="zh-CN"/>
              </w:rPr>
              <w:t>14.6</w:t>
            </w:r>
          </w:p>
        </w:tc>
        <w:tc>
          <w:tcPr>
            <w:tcW w:w="8418" w:type="dxa"/>
            <w:gridSpan w:val="2"/>
            <w:noWrap w:val="0"/>
            <w:vAlign w:val="center"/>
          </w:tcPr>
          <w:p w14:paraId="4E6D8ACA">
            <w:pPr>
              <w:bidi w:val="0"/>
              <w:ind w:firstLine="420" w:firstLineChars="200"/>
              <w:rPr>
                <w:rFonts w:hint="eastAsia"/>
                <w:color w:val="auto"/>
                <w:lang w:val="en-US" w:eastAsia="zh-CN"/>
              </w:rPr>
            </w:pPr>
            <w:r>
              <w:rPr>
                <w:rFonts w:hint="eastAsia"/>
                <w:color w:val="auto"/>
                <w:lang w:val="en-US" w:eastAsia="zh-CN"/>
              </w:rPr>
              <w:t>中标单位需按照《广东省人力资源和社会保障厅等十一部门关于印发〈广东省工程建设项目参加工伤保险办法〉的通知》（粤人社规〔2026〕21号）的要求办理工伤保险事项。</w:t>
            </w:r>
          </w:p>
        </w:tc>
      </w:tr>
    </w:tbl>
    <w:p w14:paraId="702CB1AE">
      <w:pPr>
        <w:pStyle w:val="10"/>
        <w:jc w:val="center"/>
        <w:rPr>
          <w:rFonts w:hint="eastAsia" w:ascii="宋体" w:hAnsi="宋体" w:eastAsia="宋体" w:cs="宋体"/>
          <w:b/>
          <w:bCs/>
          <w:color w:val="auto"/>
          <w:kern w:val="2"/>
          <w:sz w:val="24"/>
          <w:szCs w:val="32"/>
          <w:highlight w:val="none"/>
          <w:lang w:val="en-US" w:eastAsia="zh-CN" w:bidi="ar-SA"/>
        </w:rPr>
      </w:pPr>
      <w:r>
        <w:rPr>
          <w:rFonts w:hint="eastAsia" w:ascii="宋体" w:hAnsi="宋体" w:eastAsia="宋体" w:cs="宋体"/>
          <w:bCs/>
          <w:color w:val="auto"/>
          <w:highlight w:val="none"/>
        </w:rPr>
        <w:br w:type="page"/>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Start w:id="186" w:name="_Toc1868503289"/>
      <w:bookmarkStart w:id="187" w:name="_Toc718368688"/>
      <w:bookmarkStart w:id="188" w:name="_Toc337033024"/>
      <w:bookmarkStart w:id="189" w:name="_Toc6904"/>
      <w:bookmarkStart w:id="190" w:name="_Toc82555523"/>
      <w:bookmarkStart w:id="191" w:name="_Toc721420231"/>
      <w:bookmarkStart w:id="192" w:name="_Toc1296055101"/>
      <w:r>
        <w:rPr>
          <w:rStyle w:val="37"/>
          <w:rFonts w:hint="eastAsia"/>
          <w:color w:val="auto"/>
          <w:highlight w:val="none"/>
          <w:lang w:val="en-US" w:eastAsia="zh-CN"/>
        </w:rPr>
        <w:t>（二）资格审查要素表</w:t>
      </w:r>
      <w:bookmarkEnd w:id="186"/>
      <w:bookmarkEnd w:id="187"/>
      <w:bookmarkEnd w:id="188"/>
      <w:bookmarkEnd w:id="189"/>
      <w:bookmarkEnd w:id="190"/>
      <w:bookmarkEnd w:id="191"/>
      <w:bookmarkEnd w:id="192"/>
    </w:p>
    <w:p w14:paraId="169E49CB">
      <w:pPr>
        <w:widowControl/>
        <w:tabs>
          <w:tab w:val="center" w:pos="5495"/>
        </w:tabs>
        <w:spacing w:after="5"/>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t>投标人名称：</w:t>
      </w:r>
    </w:p>
    <w:tbl>
      <w:tblPr>
        <w:tblStyle w:val="26"/>
        <w:tblW w:w="9243" w:type="dxa"/>
        <w:tblInd w:w="59" w:type="dxa"/>
        <w:tblLayout w:type="fixed"/>
        <w:tblCellMar>
          <w:top w:w="39" w:type="dxa"/>
          <w:left w:w="0" w:type="dxa"/>
          <w:bottom w:w="0" w:type="dxa"/>
          <w:right w:w="29" w:type="dxa"/>
        </w:tblCellMar>
      </w:tblPr>
      <w:tblGrid>
        <w:gridCol w:w="564"/>
        <w:gridCol w:w="1325"/>
        <w:gridCol w:w="2732"/>
        <w:gridCol w:w="1372"/>
        <w:gridCol w:w="1175"/>
        <w:gridCol w:w="1263"/>
        <w:gridCol w:w="812"/>
      </w:tblGrid>
      <w:tr w14:paraId="3D2FF117">
        <w:tblPrEx>
          <w:tblCellMar>
            <w:top w:w="39" w:type="dxa"/>
            <w:left w:w="0" w:type="dxa"/>
            <w:bottom w:w="0" w:type="dxa"/>
            <w:right w:w="29" w:type="dxa"/>
          </w:tblCellMar>
        </w:tblPrEx>
        <w:trPr>
          <w:trHeight w:val="627"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2ED365F8">
            <w:pPr>
              <w:widowControl/>
              <w:adjustRightInd w:val="0"/>
              <w:snapToGrid w:val="0"/>
              <w:spacing w:line="360" w:lineRule="auto"/>
              <w:ind w:left="21" w:leftChars="1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6913FAC6">
            <w:pPr>
              <w:widowControl/>
              <w:adjustRightInd w:val="0"/>
              <w:snapToGrid w:val="0"/>
              <w:spacing w:line="360" w:lineRule="auto"/>
              <w:ind w:left="21" w:leftChars="1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资格审查要素</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5859F1AE">
            <w:pPr>
              <w:widowControl/>
              <w:adjustRightInd w:val="0"/>
              <w:snapToGrid w:val="0"/>
              <w:spacing w:line="360" w:lineRule="auto"/>
              <w:ind w:left="21" w:leftChars="1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审查标准</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71A438A8">
            <w:pPr>
              <w:widowControl/>
              <w:adjustRightInd w:val="0"/>
              <w:snapToGrid w:val="0"/>
              <w:spacing w:line="360" w:lineRule="auto"/>
              <w:ind w:left="21" w:leftChars="1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审查结论</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51406A67">
            <w:pPr>
              <w:widowControl/>
              <w:adjustRightInd w:val="0"/>
              <w:snapToGrid w:val="0"/>
              <w:spacing w:line="360" w:lineRule="auto"/>
              <w:ind w:left="21" w:leftChars="1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不合格原因</w:t>
            </w: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19DCF2CB">
            <w:pPr>
              <w:widowControl/>
              <w:adjustRightInd w:val="0"/>
              <w:snapToGrid w:val="0"/>
              <w:spacing w:line="360" w:lineRule="auto"/>
              <w:ind w:left="21" w:leftChars="10"/>
              <w:jc w:val="center"/>
              <w:rPr>
                <w:rFonts w:hint="eastAsia" w:ascii="宋体" w:hAnsi="宋体" w:eastAsia="宋体" w:cs="宋体"/>
                <w:b/>
                <w:bCs/>
                <w:color w:val="auto"/>
                <w:szCs w:val="21"/>
                <w:highlight w:val="none"/>
                <w:lang w:eastAsia="zh-CN"/>
              </w:rPr>
            </w:pPr>
            <w:r>
              <w:rPr>
                <w:rFonts w:hint="eastAsia" w:ascii="宋体" w:hAnsi="宋体" w:cs="宋体"/>
                <w:b/>
                <w:bCs/>
                <w:color w:val="auto"/>
                <w:szCs w:val="21"/>
                <w:highlight w:val="none"/>
                <w:lang w:eastAsia="zh-CN"/>
              </w:rPr>
              <w:t>备注</w:t>
            </w:r>
          </w:p>
        </w:tc>
      </w:tr>
      <w:tr w14:paraId="41D0FE26">
        <w:tblPrEx>
          <w:tblCellMar>
            <w:top w:w="39" w:type="dxa"/>
            <w:left w:w="0" w:type="dxa"/>
            <w:bottom w:w="0" w:type="dxa"/>
            <w:right w:w="29" w:type="dxa"/>
          </w:tblCellMar>
        </w:tblPrEx>
        <w:trPr>
          <w:trHeight w:val="818"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534C9745">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71D56AC6">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val="en-US" w:eastAsia="zh-CN"/>
              </w:rPr>
              <w:t>投标保证金</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0AD5AD3F">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符合第二章“投标人须知”3.4.1项规定。</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54F87F0E">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both"/>
              <w:textAlignment w:val="auto"/>
              <w:outlineLvl w:val="9"/>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囗合格</w:t>
            </w:r>
          </w:p>
          <w:p w14:paraId="6E578514">
            <w:pPr>
              <w:keepNext w:val="0"/>
              <w:keepLines w:val="0"/>
              <w:pageBreakBefore w:val="0"/>
              <w:widowControl/>
              <w:kinsoku/>
              <w:wordWrap/>
              <w:overflowPunct/>
              <w:topLinePunct w:val="0"/>
              <w:autoSpaceDE/>
              <w:autoSpaceDN/>
              <w:bidi w:val="0"/>
              <w:adjustRightInd w:val="0"/>
              <w:snapToGrid w:val="0"/>
              <w:spacing w:line="240" w:lineRule="auto"/>
              <w:ind w:left="21" w:leftChars="10"/>
              <w:jc w:val="both"/>
              <w:textAlignment w:val="auto"/>
              <w:rPr>
                <w:rFonts w:hint="eastAsia" w:ascii="宋体" w:hAnsi="宋体" w:eastAsia="宋体" w:cs="宋体"/>
                <w:color w:val="auto"/>
                <w:szCs w:val="21"/>
                <w:highlight w:val="none"/>
              </w:rPr>
            </w:pPr>
            <w:r>
              <w:rPr>
                <w:rFonts w:hint="eastAsia" w:ascii="宋体" w:hAnsi="宋体" w:eastAsia="宋体" w:cs="宋体"/>
                <w:b w:val="0"/>
                <w:bCs w:val="0"/>
                <w:color w:val="auto"/>
                <w:kern w:val="0"/>
                <w:sz w:val="21"/>
                <w:szCs w:val="21"/>
                <w:highlight w:val="none"/>
                <w:u w:val="none" w:color="auto"/>
                <w:lang w:val="en-US" w:eastAsia="zh-CN"/>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62A1A928">
            <w:pPr>
              <w:keepNext w:val="0"/>
              <w:keepLines w:val="0"/>
              <w:pageBreakBefore w:val="0"/>
              <w:widowControl/>
              <w:kinsoku/>
              <w:wordWrap/>
              <w:overflowPunct/>
              <w:topLinePunct w:val="0"/>
              <w:autoSpaceDE/>
              <w:autoSpaceDN/>
              <w:bidi w:val="0"/>
              <w:adjustRightInd w:val="0"/>
              <w:snapToGrid w:val="0"/>
              <w:spacing w:line="240" w:lineRule="auto"/>
              <w:ind w:left="21" w:leftChars="10"/>
              <w:jc w:val="left"/>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7539EA63">
            <w:pPr>
              <w:keepNext w:val="0"/>
              <w:keepLines w:val="0"/>
              <w:pageBreakBefore w:val="0"/>
              <w:widowControl/>
              <w:kinsoku/>
              <w:wordWrap/>
              <w:overflowPunct/>
              <w:topLinePunct w:val="0"/>
              <w:autoSpaceDE/>
              <w:autoSpaceDN/>
              <w:bidi w:val="0"/>
              <w:adjustRightInd w:val="0"/>
              <w:snapToGrid w:val="0"/>
              <w:spacing w:line="240" w:lineRule="auto"/>
              <w:ind w:left="21" w:leftChars="10"/>
              <w:jc w:val="left"/>
              <w:textAlignment w:val="auto"/>
              <w:rPr>
                <w:rFonts w:hint="eastAsia" w:ascii="宋体" w:hAnsi="宋体" w:eastAsia="宋体" w:cs="宋体"/>
                <w:color w:val="auto"/>
                <w:szCs w:val="21"/>
                <w:highlight w:val="none"/>
              </w:rPr>
            </w:pPr>
          </w:p>
        </w:tc>
      </w:tr>
      <w:tr w14:paraId="774B0193">
        <w:tblPrEx>
          <w:tblCellMar>
            <w:top w:w="39" w:type="dxa"/>
            <w:left w:w="0" w:type="dxa"/>
            <w:bottom w:w="0" w:type="dxa"/>
            <w:right w:w="29" w:type="dxa"/>
          </w:tblCellMar>
        </w:tblPrEx>
        <w:trPr>
          <w:trHeight w:val="818"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20DBF977">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17826357">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val="en-US" w:eastAsia="zh-CN"/>
              </w:rPr>
              <w:t>投标人名称</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3D4ECC52">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与营业执照、资质证书一致。</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57E7249A">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both"/>
              <w:textAlignment w:val="auto"/>
              <w:outlineLvl w:val="9"/>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囗合格</w:t>
            </w:r>
          </w:p>
          <w:p w14:paraId="4A29170F">
            <w:pPr>
              <w:keepNext w:val="0"/>
              <w:keepLines w:val="0"/>
              <w:pageBreakBefore w:val="0"/>
              <w:widowControl/>
              <w:kinsoku/>
              <w:wordWrap/>
              <w:overflowPunct/>
              <w:topLinePunct w:val="0"/>
              <w:autoSpaceDE/>
              <w:autoSpaceDN/>
              <w:bidi w:val="0"/>
              <w:adjustRightInd w:val="0"/>
              <w:snapToGrid w:val="0"/>
              <w:spacing w:line="240" w:lineRule="auto"/>
              <w:ind w:left="21" w:leftChars="10"/>
              <w:jc w:val="both"/>
              <w:textAlignment w:val="auto"/>
              <w:rPr>
                <w:rFonts w:hint="eastAsia" w:ascii="宋体" w:hAnsi="宋体" w:eastAsia="宋体" w:cs="宋体"/>
                <w:color w:val="auto"/>
                <w:szCs w:val="21"/>
                <w:highlight w:val="none"/>
              </w:rPr>
            </w:pPr>
            <w:r>
              <w:rPr>
                <w:rFonts w:hint="eastAsia" w:ascii="宋体" w:hAnsi="宋体" w:eastAsia="宋体" w:cs="宋体"/>
                <w:b w:val="0"/>
                <w:bCs w:val="0"/>
                <w:color w:val="auto"/>
                <w:kern w:val="0"/>
                <w:sz w:val="21"/>
                <w:szCs w:val="21"/>
                <w:highlight w:val="none"/>
                <w:u w:val="none" w:color="auto"/>
                <w:lang w:val="en-US" w:eastAsia="zh-CN"/>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2D16DC7F">
            <w:pPr>
              <w:keepNext w:val="0"/>
              <w:keepLines w:val="0"/>
              <w:pageBreakBefore w:val="0"/>
              <w:widowControl/>
              <w:kinsoku/>
              <w:wordWrap/>
              <w:overflowPunct/>
              <w:topLinePunct w:val="0"/>
              <w:autoSpaceDE/>
              <w:autoSpaceDN/>
              <w:bidi w:val="0"/>
              <w:adjustRightInd w:val="0"/>
              <w:snapToGrid w:val="0"/>
              <w:spacing w:line="240" w:lineRule="auto"/>
              <w:ind w:left="21" w:leftChars="10"/>
              <w:jc w:val="left"/>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0F2ADFFE">
            <w:pPr>
              <w:keepNext w:val="0"/>
              <w:keepLines w:val="0"/>
              <w:pageBreakBefore w:val="0"/>
              <w:widowControl/>
              <w:kinsoku/>
              <w:wordWrap/>
              <w:overflowPunct/>
              <w:topLinePunct w:val="0"/>
              <w:autoSpaceDE/>
              <w:autoSpaceDN/>
              <w:bidi w:val="0"/>
              <w:adjustRightInd w:val="0"/>
              <w:snapToGrid w:val="0"/>
              <w:spacing w:line="240" w:lineRule="auto"/>
              <w:ind w:left="21" w:leftChars="10"/>
              <w:jc w:val="left"/>
              <w:textAlignment w:val="auto"/>
              <w:rPr>
                <w:rFonts w:hint="eastAsia" w:ascii="宋体" w:hAnsi="宋体" w:eastAsia="宋体" w:cs="宋体"/>
                <w:color w:val="auto"/>
                <w:szCs w:val="21"/>
                <w:highlight w:val="none"/>
              </w:rPr>
            </w:pPr>
          </w:p>
        </w:tc>
      </w:tr>
      <w:tr w14:paraId="432B418E">
        <w:tblPrEx>
          <w:tblCellMar>
            <w:top w:w="39" w:type="dxa"/>
            <w:left w:w="0" w:type="dxa"/>
            <w:bottom w:w="0" w:type="dxa"/>
            <w:right w:w="29" w:type="dxa"/>
          </w:tblCellMar>
        </w:tblPrEx>
        <w:trPr>
          <w:trHeight w:val="932"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1F003B6B">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05038294">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val="en-US" w:eastAsia="zh-CN"/>
              </w:rPr>
              <w:t>投标文件格式</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5B917E4C">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符合第八章“投标文件格式”的规定。</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616A4C60">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both"/>
              <w:textAlignment w:val="auto"/>
              <w:outlineLvl w:val="9"/>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囗合格</w:t>
            </w:r>
          </w:p>
          <w:p w14:paraId="56913EAD">
            <w:pPr>
              <w:keepNext w:val="0"/>
              <w:keepLines w:val="0"/>
              <w:pageBreakBefore w:val="0"/>
              <w:widowControl/>
              <w:kinsoku/>
              <w:wordWrap/>
              <w:overflowPunct/>
              <w:topLinePunct w:val="0"/>
              <w:autoSpaceDE/>
              <w:autoSpaceDN/>
              <w:bidi w:val="0"/>
              <w:adjustRightInd w:val="0"/>
              <w:snapToGrid w:val="0"/>
              <w:spacing w:line="240" w:lineRule="auto"/>
              <w:ind w:left="21" w:leftChars="1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0"/>
                <w:sz w:val="21"/>
                <w:szCs w:val="21"/>
                <w:highlight w:val="none"/>
                <w:u w:val="none" w:color="auto"/>
                <w:lang w:val="en-US" w:eastAsia="zh-CN"/>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24276E20">
            <w:pPr>
              <w:keepNext w:val="0"/>
              <w:keepLines w:val="0"/>
              <w:pageBreakBefore w:val="0"/>
              <w:widowControl/>
              <w:kinsoku/>
              <w:wordWrap/>
              <w:overflowPunct/>
              <w:topLinePunct w:val="0"/>
              <w:autoSpaceDE/>
              <w:autoSpaceDN/>
              <w:bidi w:val="0"/>
              <w:adjustRightInd w:val="0"/>
              <w:snapToGrid w:val="0"/>
              <w:spacing w:line="240" w:lineRule="auto"/>
              <w:ind w:left="21" w:leftChars="10"/>
              <w:jc w:val="left"/>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3070B071">
            <w:pPr>
              <w:keepNext w:val="0"/>
              <w:keepLines w:val="0"/>
              <w:pageBreakBefore w:val="0"/>
              <w:widowControl/>
              <w:kinsoku/>
              <w:wordWrap/>
              <w:overflowPunct/>
              <w:topLinePunct w:val="0"/>
              <w:autoSpaceDE/>
              <w:autoSpaceDN/>
              <w:bidi w:val="0"/>
              <w:adjustRightInd w:val="0"/>
              <w:snapToGrid w:val="0"/>
              <w:spacing w:line="240" w:lineRule="auto"/>
              <w:ind w:left="21" w:leftChars="10"/>
              <w:jc w:val="left"/>
              <w:textAlignment w:val="auto"/>
              <w:rPr>
                <w:rFonts w:hint="eastAsia" w:ascii="宋体" w:hAnsi="宋体" w:eastAsia="宋体" w:cs="宋体"/>
                <w:color w:val="auto"/>
                <w:szCs w:val="21"/>
                <w:highlight w:val="none"/>
              </w:rPr>
            </w:pPr>
          </w:p>
        </w:tc>
      </w:tr>
      <w:tr w14:paraId="26C17F65">
        <w:tblPrEx>
          <w:tblCellMar>
            <w:top w:w="39" w:type="dxa"/>
            <w:left w:w="0" w:type="dxa"/>
            <w:bottom w:w="0" w:type="dxa"/>
            <w:right w:w="29" w:type="dxa"/>
          </w:tblCellMar>
        </w:tblPrEx>
        <w:trPr>
          <w:trHeight w:val="932"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0A51E77B">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4DA35D5C">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val="en-US" w:eastAsia="zh-CN"/>
              </w:rPr>
              <w:t>签名</w:t>
            </w:r>
          </w:p>
          <w:p w14:paraId="53695C4C">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val="en-US" w:eastAsia="zh-CN"/>
              </w:rPr>
              <w:t>盖章</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7ABCD087">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按招标文件要求由法定代表人或</w:t>
            </w:r>
            <w:r>
              <w:rPr>
                <w:rFonts w:hint="eastAsia" w:ascii="宋体" w:hAnsi="宋体" w:cs="宋体"/>
                <w:color w:val="auto"/>
                <w:kern w:val="2"/>
                <w:sz w:val="21"/>
                <w:szCs w:val="21"/>
                <w:highlight w:val="none"/>
                <w:lang w:val="en-US" w:eastAsia="zh-CN" w:bidi="ar-SA"/>
              </w:rPr>
              <w:t>其</w:t>
            </w:r>
            <w:r>
              <w:rPr>
                <w:rFonts w:hint="eastAsia" w:ascii="宋体" w:hAnsi="宋体" w:eastAsia="宋体" w:cs="宋体"/>
                <w:color w:val="auto"/>
                <w:kern w:val="2"/>
                <w:sz w:val="21"/>
                <w:szCs w:val="21"/>
                <w:highlight w:val="none"/>
                <w:lang w:val="en-US" w:eastAsia="zh-CN" w:bidi="ar-SA"/>
              </w:rPr>
              <w:t>代理人在投标文件相应位置</w:t>
            </w:r>
            <w:r>
              <w:rPr>
                <w:rFonts w:hint="eastAsia" w:ascii="宋体" w:hAnsi="宋体" w:cs="宋体"/>
                <w:color w:val="auto"/>
                <w:kern w:val="2"/>
                <w:sz w:val="21"/>
                <w:szCs w:val="21"/>
                <w:highlight w:val="none"/>
                <w:lang w:val="en-US" w:eastAsia="zh-CN" w:bidi="ar-SA"/>
              </w:rPr>
              <w:t>签名</w:t>
            </w:r>
            <w:r>
              <w:rPr>
                <w:rFonts w:hint="eastAsia" w:ascii="宋体" w:hAnsi="宋体" w:eastAsia="宋体" w:cs="宋体"/>
                <w:color w:val="auto"/>
                <w:kern w:val="2"/>
                <w:sz w:val="21"/>
                <w:szCs w:val="21"/>
                <w:highlight w:val="none"/>
                <w:lang w:val="en-US" w:eastAsia="zh-CN" w:bidi="ar-SA"/>
              </w:rPr>
              <w:t>或加盖单位公章。</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52426245">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囗合格</w:t>
            </w:r>
          </w:p>
          <w:p w14:paraId="596E4BA6">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Cs w:val="21"/>
                <w:highlight w:val="none"/>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70F96D6F">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095E358A">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r>
      <w:tr w14:paraId="470E68FD">
        <w:tblPrEx>
          <w:tblCellMar>
            <w:top w:w="39" w:type="dxa"/>
            <w:left w:w="0" w:type="dxa"/>
            <w:bottom w:w="0" w:type="dxa"/>
            <w:right w:w="29" w:type="dxa"/>
          </w:tblCellMar>
        </w:tblPrEx>
        <w:trPr>
          <w:trHeight w:val="932"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116F580F">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4B85FE33">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val="en-US" w:eastAsia="zh-CN"/>
              </w:rPr>
              <w:t>营业执照</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51B8EEA3">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Cs w:val="21"/>
                <w:highlight w:val="none"/>
                <w:lang w:val="en-US" w:eastAsia="zh-CN"/>
              </w:rPr>
              <w:t>提交</w:t>
            </w:r>
            <w:r>
              <w:rPr>
                <w:rFonts w:hint="eastAsia" w:ascii="宋体" w:hAnsi="宋体" w:eastAsia="宋体" w:cs="宋体"/>
                <w:color w:val="auto"/>
                <w:szCs w:val="21"/>
                <w:highlight w:val="none"/>
              </w:rPr>
              <w:t>有效的营业执照</w:t>
            </w:r>
            <w:r>
              <w:rPr>
                <w:rFonts w:hint="eastAsia" w:ascii="宋体" w:hAnsi="宋体" w:eastAsia="宋体" w:cs="宋体"/>
                <w:color w:val="auto"/>
                <w:szCs w:val="21"/>
                <w:highlight w:val="none"/>
                <w:lang w:val="en-US" w:eastAsia="zh-CN"/>
              </w:rPr>
              <w:t>复印件或扫描件</w:t>
            </w:r>
            <w:r>
              <w:rPr>
                <w:rFonts w:hint="eastAsia" w:ascii="宋体" w:hAnsi="宋体" w:cs="宋体"/>
                <w:color w:val="auto"/>
                <w:szCs w:val="21"/>
                <w:highlight w:val="none"/>
                <w:lang w:val="en-US" w:eastAsia="zh-CN"/>
              </w:rPr>
              <w:t>或电子件</w:t>
            </w:r>
            <w:r>
              <w:rPr>
                <w:rFonts w:hint="eastAsia" w:ascii="宋体" w:hAnsi="宋体" w:eastAsia="宋体" w:cs="宋体"/>
                <w:color w:val="auto"/>
                <w:szCs w:val="21"/>
                <w:highlight w:val="none"/>
                <w:lang w:val="en-US" w:eastAsia="zh-CN"/>
              </w:rPr>
              <w:t>。</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7A7B5E37">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both"/>
              <w:textAlignment w:val="auto"/>
              <w:outlineLvl w:val="9"/>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囗合格</w:t>
            </w:r>
          </w:p>
          <w:p w14:paraId="7CF681B8">
            <w:pPr>
              <w:keepNext w:val="0"/>
              <w:keepLines w:val="0"/>
              <w:pageBreakBefore w:val="0"/>
              <w:widowControl/>
              <w:kinsoku/>
              <w:wordWrap/>
              <w:overflowPunct/>
              <w:topLinePunct w:val="0"/>
              <w:autoSpaceDE/>
              <w:autoSpaceDN/>
              <w:bidi w:val="0"/>
              <w:adjustRightInd w:val="0"/>
              <w:snapToGrid w:val="0"/>
              <w:spacing w:line="240" w:lineRule="auto"/>
              <w:ind w:left="21" w:leftChars="1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0"/>
                <w:sz w:val="21"/>
                <w:szCs w:val="21"/>
                <w:highlight w:val="none"/>
                <w:u w:val="none" w:color="auto"/>
                <w:lang w:val="en-US" w:eastAsia="zh-CN"/>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0F3C2C17">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6EADFB4D">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r>
      <w:tr w14:paraId="5985E183">
        <w:tblPrEx>
          <w:tblCellMar>
            <w:top w:w="39" w:type="dxa"/>
            <w:left w:w="0" w:type="dxa"/>
            <w:bottom w:w="0" w:type="dxa"/>
            <w:right w:w="29" w:type="dxa"/>
          </w:tblCellMar>
        </w:tblPrEx>
        <w:trPr>
          <w:trHeight w:val="932"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1E857BA0">
            <w:pPr>
              <w:keepNext w:val="0"/>
              <w:keepLines w:val="0"/>
              <w:pageBreakBefore w:val="0"/>
              <w:widowControl/>
              <w:kinsoku/>
              <w:wordWrap/>
              <w:overflowPunct/>
              <w:topLinePunct w:val="0"/>
              <w:autoSpaceDE/>
              <w:autoSpaceDN/>
              <w:bidi w:val="0"/>
              <w:adjustRightInd w:val="0"/>
              <w:snapToGrid w:val="0"/>
              <w:spacing w:line="240" w:lineRule="auto"/>
              <w:ind w:left="21" w:leftChars="10"/>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4061428B">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val="en-US" w:eastAsia="zh-CN"/>
              </w:rPr>
              <w:t>资质证书</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3B21DF33">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提交有效的资质证书复印件或扫描件</w:t>
            </w:r>
            <w:r>
              <w:rPr>
                <w:rFonts w:hint="eastAsia" w:ascii="宋体" w:hAnsi="宋体" w:cs="宋体"/>
                <w:color w:val="auto"/>
                <w:szCs w:val="21"/>
                <w:highlight w:val="none"/>
                <w:lang w:val="en-US" w:eastAsia="zh-CN"/>
              </w:rPr>
              <w:t>或电子件</w:t>
            </w:r>
            <w:r>
              <w:rPr>
                <w:rFonts w:hint="eastAsia" w:ascii="宋体" w:hAnsi="宋体" w:eastAsia="宋体" w:cs="宋体"/>
                <w:color w:val="auto"/>
                <w:szCs w:val="21"/>
                <w:highlight w:val="none"/>
                <w:lang w:val="en-US" w:eastAsia="zh-CN"/>
              </w:rPr>
              <w:t>，符合第二章“投标人须知”第1.4.1项规定。</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园林绿化工程</w:t>
            </w:r>
            <w:r>
              <w:rPr>
                <w:rFonts w:hint="eastAsia" w:ascii="宋体" w:hAnsi="宋体" w:eastAsia="宋体" w:cs="宋体"/>
                <w:color w:val="auto"/>
                <w:szCs w:val="21"/>
                <w:highlight w:val="none"/>
                <w:lang w:val="en-US" w:eastAsia="zh-CN"/>
              </w:rPr>
              <w:t>免此项</w:t>
            </w:r>
            <w:r>
              <w:rPr>
                <w:rFonts w:hint="eastAsia" w:ascii="宋体" w:hAnsi="宋体" w:eastAsia="宋体" w:cs="宋体"/>
                <w:color w:val="auto"/>
                <w:szCs w:val="21"/>
                <w:highlight w:val="none"/>
                <w:lang w:eastAsia="zh-CN"/>
              </w:rPr>
              <w:t>）</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24594F02">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囗合格</w:t>
            </w:r>
          </w:p>
          <w:p w14:paraId="28D81960">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Cs w:val="21"/>
                <w:highlight w:val="none"/>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120C4261">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3AFDEA9F">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r>
      <w:tr w14:paraId="1D04D08C">
        <w:tblPrEx>
          <w:tblCellMar>
            <w:top w:w="39" w:type="dxa"/>
            <w:left w:w="0" w:type="dxa"/>
            <w:bottom w:w="0" w:type="dxa"/>
            <w:right w:w="29" w:type="dxa"/>
          </w:tblCellMar>
        </w:tblPrEx>
        <w:trPr>
          <w:trHeight w:val="932"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727F9419">
            <w:pPr>
              <w:keepNext w:val="0"/>
              <w:keepLines w:val="0"/>
              <w:pageBreakBefore w:val="0"/>
              <w:widowControl/>
              <w:kinsoku/>
              <w:wordWrap/>
              <w:overflowPunct/>
              <w:topLinePunct w:val="0"/>
              <w:autoSpaceDE/>
              <w:autoSpaceDN/>
              <w:bidi w:val="0"/>
              <w:adjustRightInd w:val="0"/>
              <w:snapToGrid w:val="0"/>
              <w:spacing w:line="240" w:lineRule="auto"/>
              <w:ind w:left="21" w:leftChars="1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7</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6D5BA331">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val="en-US" w:eastAsia="zh-CN"/>
              </w:rPr>
              <w:t>安全生产许可证</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6B18A61B">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提交</w:t>
            </w:r>
            <w:r>
              <w:rPr>
                <w:rFonts w:hint="eastAsia" w:ascii="宋体" w:hAnsi="宋体" w:eastAsia="宋体" w:cs="宋体"/>
                <w:color w:val="auto"/>
                <w:szCs w:val="21"/>
                <w:highlight w:val="none"/>
              </w:rPr>
              <w:t>有效的</w:t>
            </w:r>
            <w:r>
              <w:rPr>
                <w:rFonts w:hint="eastAsia" w:ascii="宋体" w:hAnsi="宋体" w:eastAsia="宋体" w:cs="宋体"/>
                <w:color w:val="auto"/>
                <w:szCs w:val="21"/>
                <w:highlight w:val="none"/>
                <w:lang w:val="en-US" w:eastAsia="zh-CN"/>
              </w:rPr>
              <w:t>安全生产许可证复印件或扫描件</w:t>
            </w:r>
            <w:r>
              <w:rPr>
                <w:rFonts w:hint="eastAsia" w:ascii="宋体" w:hAnsi="宋体" w:cs="宋体"/>
                <w:color w:val="auto"/>
                <w:szCs w:val="21"/>
                <w:highlight w:val="none"/>
                <w:lang w:val="en-US" w:eastAsia="zh-CN"/>
              </w:rPr>
              <w:t>或电子件</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园林绿化工程</w:t>
            </w:r>
            <w:r>
              <w:rPr>
                <w:rFonts w:hint="eastAsia" w:ascii="宋体" w:hAnsi="宋体" w:eastAsia="宋体" w:cs="宋体"/>
                <w:color w:val="auto"/>
                <w:szCs w:val="21"/>
                <w:highlight w:val="none"/>
                <w:lang w:val="en-US" w:eastAsia="zh-CN"/>
              </w:rPr>
              <w:t>免此项</w:t>
            </w:r>
            <w:r>
              <w:rPr>
                <w:rFonts w:hint="eastAsia" w:ascii="宋体" w:hAnsi="宋体" w:eastAsia="宋体" w:cs="宋体"/>
                <w:color w:val="auto"/>
                <w:szCs w:val="21"/>
                <w:highlight w:val="none"/>
                <w:lang w:eastAsia="zh-CN"/>
              </w:rPr>
              <w:t>）</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1B42D88A">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囗合格</w:t>
            </w:r>
          </w:p>
          <w:p w14:paraId="09DBC065">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5BD41C2F">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044FE425">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r>
      <w:tr w14:paraId="5A31679F">
        <w:tblPrEx>
          <w:tblCellMar>
            <w:top w:w="39" w:type="dxa"/>
            <w:left w:w="0" w:type="dxa"/>
            <w:bottom w:w="0" w:type="dxa"/>
            <w:right w:w="29" w:type="dxa"/>
          </w:tblCellMar>
        </w:tblPrEx>
        <w:trPr>
          <w:trHeight w:val="932"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5E968B58">
            <w:pPr>
              <w:keepNext w:val="0"/>
              <w:keepLines w:val="0"/>
              <w:pageBreakBefore w:val="0"/>
              <w:widowControl/>
              <w:kinsoku/>
              <w:wordWrap/>
              <w:overflowPunct/>
              <w:topLinePunct w:val="0"/>
              <w:autoSpaceDE/>
              <w:autoSpaceDN/>
              <w:bidi w:val="0"/>
              <w:adjustRightInd w:val="0"/>
              <w:snapToGrid w:val="0"/>
              <w:spacing w:line="240" w:lineRule="auto"/>
              <w:ind w:left="21" w:leftChars="1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8</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7224139F">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val="en-US" w:eastAsia="zh-CN"/>
              </w:rPr>
              <w:t>联合体投标人</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199CF2E7">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color w:val="auto"/>
                <w:szCs w:val="21"/>
                <w:highlight w:val="none"/>
                <w:lang w:eastAsia="zh-CN"/>
              </w:rPr>
              <w:t>联合体投标的，</w:t>
            </w:r>
            <w:r>
              <w:rPr>
                <w:rFonts w:hint="eastAsia" w:ascii="宋体" w:hAnsi="宋体" w:eastAsia="宋体" w:cs="宋体"/>
                <w:color w:val="auto"/>
                <w:szCs w:val="21"/>
                <w:highlight w:val="none"/>
              </w:rPr>
              <w:t>提交符合招标文件要求的联合体协议书，明确各方承担责任，并明确联合体牵头人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符合第二章“投标人须知”第1.4.2项规定</w:t>
            </w:r>
            <w:r>
              <w:rPr>
                <w:rFonts w:hint="eastAsia" w:ascii="宋体" w:hAnsi="宋体" w:eastAsia="宋体" w:cs="宋体"/>
                <w:color w:val="auto"/>
                <w:szCs w:val="21"/>
                <w:highlight w:val="none"/>
                <w:lang w:eastAsia="zh-CN"/>
              </w:rPr>
              <w:t>。</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4A98508A">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both"/>
              <w:textAlignment w:val="auto"/>
              <w:outlineLvl w:val="9"/>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囗合格</w:t>
            </w:r>
          </w:p>
          <w:p w14:paraId="324E866F">
            <w:pPr>
              <w:keepNext w:val="0"/>
              <w:keepLines w:val="0"/>
              <w:pageBreakBefore w:val="0"/>
              <w:widowControl/>
              <w:kinsoku/>
              <w:wordWrap/>
              <w:overflowPunct/>
              <w:topLinePunct w:val="0"/>
              <w:autoSpaceDE/>
              <w:autoSpaceDN/>
              <w:bidi w:val="0"/>
              <w:adjustRightInd w:val="0"/>
              <w:snapToGrid w:val="0"/>
              <w:spacing w:line="240" w:lineRule="auto"/>
              <w:ind w:left="21" w:leftChars="1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0"/>
                <w:sz w:val="21"/>
                <w:szCs w:val="21"/>
                <w:highlight w:val="none"/>
                <w:u w:val="none" w:color="auto"/>
                <w:lang w:val="en-US" w:eastAsia="zh-CN"/>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22E3502B">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688CEBC4">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r>
      <w:tr w14:paraId="4F4A7416">
        <w:tblPrEx>
          <w:tblCellMar>
            <w:top w:w="39" w:type="dxa"/>
            <w:left w:w="0" w:type="dxa"/>
            <w:bottom w:w="0" w:type="dxa"/>
            <w:right w:w="29" w:type="dxa"/>
          </w:tblCellMar>
        </w:tblPrEx>
        <w:trPr>
          <w:trHeight w:val="479"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506D60AD">
            <w:pPr>
              <w:keepNext w:val="0"/>
              <w:keepLines w:val="0"/>
              <w:pageBreakBefore w:val="0"/>
              <w:widowControl/>
              <w:kinsoku/>
              <w:wordWrap/>
              <w:overflowPunct/>
              <w:topLinePunct w:val="0"/>
              <w:autoSpaceDE/>
              <w:autoSpaceDN/>
              <w:bidi w:val="0"/>
              <w:adjustRightInd w:val="0"/>
              <w:snapToGrid w:val="0"/>
              <w:spacing w:line="240" w:lineRule="auto"/>
              <w:ind w:left="21" w:leftChars="1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9</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3FEF5C3C">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val="en-US" w:eastAsia="zh-CN"/>
              </w:rPr>
              <w:t>法定代表人身份证明、授权委托书</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3AA0B62A">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kern w:val="2"/>
                <w:sz w:val="21"/>
                <w:szCs w:val="21"/>
                <w:highlight w:val="none"/>
                <w:lang w:val="en-US" w:eastAsia="zh-CN" w:bidi="ar-SA"/>
              </w:rPr>
              <w:t>投标文件由法定代表人签</w:t>
            </w:r>
            <w:r>
              <w:rPr>
                <w:rFonts w:hint="eastAsia" w:ascii="宋体" w:hAnsi="宋体" w:cs="宋体"/>
                <w:color w:val="auto"/>
                <w:kern w:val="2"/>
                <w:sz w:val="21"/>
                <w:szCs w:val="21"/>
                <w:highlight w:val="none"/>
                <w:lang w:val="en-US" w:eastAsia="zh-CN" w:bidi="ar-SA"/>
              </w:rPr>
              <w:t>名</w:t>
            </w:r>
            <w:r>
              <w:rPr>
                <w:rFonts w:hint="eastAsia" w:ascii="宋体" w:hAnsi="宋体" w:eastAsia="宋体" w:cs="宋体"/>
                <w:color w:val="auto"/>
                <w:kern w:val="2"/>
                <w:sz w:val="21"/>
                <w:szCs w:val="21"/>
                <w:highlight w:val="none"/>
                <w:lang w:val="en-US" w:eastAsia="zh-CN" w:bidi="ar-SA"/>
              </w:rPr>
              <w:t>的，提交有效的法定代表人身份证明，由代理人签</w:t>
            </w:r>
            <w:r>
              <w:rPr>
                <w:rFonts w:hint="eastAsia" w:ascii="宋体" w:hAnsi="宋体" w:cs="宋体"/>
                <w:color w:val="auto"/>
                <w:kern w:val="2"/>
                <w:sz w:val="21"/>
                <w:szCs w:val="21"/>
                <w:highlight w:val="none"/>
                <w:lang w:val="en-US" w:eastAsia="zh-CN" w:bidi="ar-SA"/>
              </w:rPr>
              <w:t>名</w:t>
            </w:r>
            <w:r>
              <w:rPr>
                <w:rFonts w:hint="eastAsia" w:ascii="宋体" w:hAnsi="宋体" w:eastAsia="宋体" w:cs="宋体"/>
                <w:color w:val="auto"/>
                <w:kern w:val="2"/>
                <w:sz w:val="21"/>
                <w:szCs w:val="21"/>
                <w:highlight w:val="none"/>
                <w:lang w:val="en-US" w:eastAsia="zh-CN" w:bidi="ar-SA"/>
              </w:rPr>
              <w:t>的，提交有效的法定代表人身份证明和授权委托书；符合第八章“投标文件格式”的规定，授权委托书有效期不短于投标有效期。</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1BC946EF">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both"/>
              <w:textAlignment w:val="auto"/>
              <w:outlineLvl w:val="9"/>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囗合格</w:t>
            </w:r>
          </w:p>
          <w:p w14:paraId="5BFE420D">
            <w:pPr>
              <w:keepNext w:val="0"/>
              <w:keepLines w:val="0"/>
              <w:pageBreakBefore w:val="0"/>
              <w:widowControl/>
              <w:kinsoku/>
              <w:wordWrap/>
              <w:overflowPunct/>
              <w:topLinePunct w:val="0"/>
              <w:autoSpaceDE/>
              <w:autoSpaceDN/>
              <w:bidi w:val="0"/>
              <w:adjustRightInd w:val="0"/>
              <w:snapToGrid w:val="0"/>
              <w:spacing w:line="240" w:lineRule="auto"/>
              <w:ind w:left="21" w:leftChars="1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0"/>
                <w:sz w:val="21"/>
                <w:szCs w:val="21"/>
                <w:highlight w:val="none"/>
                <w:u w:val="none" w:color="auto"/>
                <w:lang w:val="en-US" w:eastAsia="zh-CN"/>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25AB3CD0">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295316B0">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r>
      <w:tr w14:paraId="3A6B1EED">
        <w:tblPrEx>
          <w:tblCellMar>
            <w:top w:w="39" w:type="dxa"/>
            <w:left w:w="0" w:type="dxa"/>
            <w:bottom w:w="0" w:type="dxa"/>
            <w:right w:w="29" w:type="dxa"/>
          </w:tblCellMar>
        </w:tblPrEx>
        <w:trPr>
          <w:trHeight w:val="932"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28E29048">
            <w:pPr>
              <w:keepNext w:val="0"/>
              <w:keepLines w:val="0"/>
              <w:pageBreakBefore w:val="0"/>
              <w:widowControl/>
              <w:kinsoku/>
              <w:wordWrap/>
              <w:overflowPunct/>
              <w:topLinePunct w:val="0"/>
              <w:autoSpaceDE/>
              <w:autoSpaceDN/>
              <w:bidi w:val="0"/>
              <w:adjustRightInd w:val="0"/>
              <w:snapToGrid w:val="0"/>
              <w:spacing w:line="240" w:lineRule="auto"/>
              <w:ind w:left="21" w:leftChars="10"/>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val="en-US" w:eastAsia="zh-CN"/>
              </w:rPr>
              <w:t>10</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5931A71F">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eastAsia="zh-CN"/>
              </w:rPr>
              <w:t>《信用中国》</w:t>
            </w:r>
            <w:r>
              <w:rPr>
                <w:rFonts w:hint="eastAsia"/>
                <w:color w:val="auto"/>
              </w:rPr>
              <w:t>网站</w:t>
            </w:r>
            <w:r>
              <w:rPr>
                <w:rFonts w:hint="eastAsia"/>
                <w:color w:val="auto"/>
                <w:lang w:val="en-US" w:eastAsia="zh-CN"/>
              </w:rPr>
              <w:t>下载</w:t>
            </w:r>
            <w:r>
              <w:rPr>
                <w:rFonts w:hint="eastAsia"/>
                <w:color w:val="auto"/>
              </w:rPr>
              <w:t>的信用</w:t>
            </w:r>
            <w:r>
              <w:rPr>
                <w:rFonts w:hint="eastAsia"/>
                <w:color w:val="auto"/>
                <w:lang w:val="en-US" w:eastAsia="zh-CN"/>
              </w:rPr>
              <w:t>信息</w:t>
            </w:r>
            <w:r>
              <w:rPr>
                <w:rFonts w:hint="eastAsia"/>
                <w:color w:val="auto"/>
              </w:rPr>
              <w:t>报告</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3A71D11E">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符合第二章“投标人须知”第1.4.1项规定。</w:t>
            </w:r>
            <w:r>
              <w:rPr>
                <w:rFonts w:hint="eastAsia" w:ascii="宋体" w:hAnsi="宋体" w:eastAsia="宋体" w:cs="宋体"/>
                <w:color w:val="auto"/>
                <w:highlight w:val="none"/>
                <w:lang w:val="en-US" w:eastAsia="zh-CN"/>
              </w:rPr>
              <w:t>报告生成时间为招标公告发布后</w:t>
            </w:r>
            <w:r>
              <w:rPr>
                <w:rFonts w:hint="eastAsia" w:ascii="宋体" w:hAnsi="宋体" w:eastAsia="宋体" w:cs="宋体"/>
                <w:color w:val="auto"/>
                <w:highlight w:val="none"/>
                <w:lang w:eastAsia="zh-CN"/>
              </w:rPr>
              <w:t>。</w:t>
            </w:r>
            <w:r>
              <w:rPr>
                <w:rFonts w:hint="eastAsia" w:ascii="宋体" w:hAnsi="宋体" w:eastAsia="宋体" w:cs="宋体"/>
                <w:bCs/>
                <w:color w:val="auto"/>
                <w:sz w:val="21"/>
                <w:szCs w:val="21"/>
                <w:highlight w:val="none"/>
              </w:rPr>
              <w:t>招标人在</w:t>
            </w:r>
            <w:r>
              <w:rPr>
                <w:rFonts w:hint="eastAsia" w:ascii="宋体" w:hAnsi="宋体" w:eastAsia="宋体" w:cs="宋体"/>
                <w:bCs/>
                <w:color w:val="auto"/>
                <w:sz w:val="21"/>
                <w:szCs w:val="21"/>
                <w:highlight w:val="none"/>
                <w:lang w:val="en-US" w:eastAsia="zh-CN"/>
              </w:rPr>
              <w:t>开标</w:t>
            </w:r>
            <w:r>
              <w:rPr>
                <w:rFonts w:hint="eastAsia" w:ascii="宋体" w:hAnsi="宋体" w:eastAsia="宋体" w:cs="宋体"/>
                <w:bCs/>
                <w:color w:val="auto"/>
                <w:sz w:val="21"/>
                <w:szCs w:val="21"/>
                <w:highlight w:val="none"/>
              </w:rPr>
              <w:t>当天</w:t>
            </w:r>
            <w:r>
              <w:rPr>
                <w:rFonts w:hint="eastAsia" w:ascii="宋体" w:hAnsi="宋体" w:eastAsia="宋体" w:cs="宋体"/>
                <w:bCs/>
                <w:color w:val="auto"/>
                <w:sz w:val="21"/>
                <w:szCs w:val="21"/>
                <w:highlight w:val="none"/>
                <w:lang w:val="en-US" w:eastAsia="zh-CN"/>
              </w:rPr>
              <w:t>登录《信用中国》网站</w:t>
            </w:r>
            <w:r>
              <w:rPr>
                <w:rFonts w:hint="eastAsia" w:ascii="宋体" w:hAnsi="宋体" w:eastAsia="宋体" w:cs="宋体"/>
                <w:bCs/>
                <w:color w:val="auto"/>
                <w:sz w:val="21"/>
                <w:szCs w:val="21"/>
                <w:highlight w:val="none"/>
              </w:rPr>
              <w:t>查询复核，如与投标人递交信息不一致，以</w:t>
            </w:r>
            <w:r>
              <w:rPr>
                <w:rFonts w:hint="eastAsia" w:ascii="宋体" w:hAnsi="宋体" w:eastAsia="宋体" w:cs="宋体"/>
                <w:bCs/>
                <w:color w:val="auto"/>
                <w:sz w:val="21"/>
                <w:szCs w:val="21"/>
                <w:highlight w:val="none"/>
                <w:lang w:val="en-US" w:eastAsia="zh-CN"/>
              </w:rPr>
              <w:t>开标当日（投标截止日）查询的</w:t>
            </w:r>
            <w:r>
              <w:rPr>
                <w:rFonts w:hint="eastAsia" w:ascii="宋体" w:hAnsi="宋体" w:eastAsia="宋体" w:cs="宋体"/>
                <w:bCs/>
                <w:color w:val="auto"/>
                <w:sz w:val="21"/>
                <w:szCs w:val="21"/>
                <w:highlight w:val="none"/>
              </w:rPr>
              <w:t>结果为准。</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669F4FA1">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both"/>
              <w:textAlignment w:val="auto"/>
              <w:outlineLvl w:val="9"/>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囗合格</w:t>
            </w:r>
          </w:p>
          <w:p w14:paraId="17CAC997">
            <w:pPr>
              <w:keepNext w:val="0"/>
              <w:keepLines w:val="0"/>
              <w:pageBreakBefore w:val="0"/>
              <w:widowControl/>
              <w:kinsoku/>
              <w:wordWrap/>
              <w:overflowPunct/>
              <w:topLinePunct w:val="0"/>
              <w:autoSpaceDE/>
              <w:autoSpaceDN/>
              <w:bidi w:val="0"/>
              <w:adjustRightInd w:val="0"/>
              <w:snapToGrid w:val="0"/>
              <w:spacing w:line="240" w:lineRule="auto"/>
              <w:ind w:left="21" w:leftChars="1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0"/>
                <w:sz w:val="21"/>
                <w:szCs w:val="21"/>
                <w:highlight w:val="none"/>
                <w:u w:val="none" w:color="auto"/>
                <w:lang w:val="en-US" w:eastAsia="zh-CN"/>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1FD101B0">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439AA041">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r>
      <w:tr w14:paraId="5CD50A1C">
        <w:tblPrEx>
          <w:tblCellMar>
            <w:top w:w="39" w:type="dxa"/>
            <w:left w:w="0" w:type="dxa"/>
            <w:bottom w:w="0" w:type="dxa"/>
            <w:right w:w="29" w:type="dxa"/>
          </w:tblCellMar>
        </w:tblPrEx>
        <w:trPr>
          <w:trHeight w:val="932"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0A74A127">
            <w:pPr>
              <w:keepNext w:val="0"/>
              <w:keepLines w:val="0"/>
              <w:pageBreakBefore w:val="0"/>
              <w:widowControl/>
              <w:kinsoku/>
              <w:wordWrap/>
              <w:overflowPunct/>
              <w:topLinePunct w:val="0"/>
              <w:autoSpaceDE/>
              <w:autoSpaceDN/>
              <w:bidi w:val="0"/>
              <w:adjustRightInd w:val="0"/>
              <w:snapToGrid w:val="0"/>
              <w:spacing w:line="240" w:lineRule="auto"/>
              <w:ind w:left="21" w:leftChars="10"/>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val="en-US" w:eastAsia="zh-CN"/>
              </w:rPr>
              <w:t>11</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5EF568E2">
            <w:pPr>
              <w:keepNext w:val="0"/>
              <w:keepLines w:val="0"/>
              <w:pageBreakBefore w:val="0"/>
              <w:kinsoku/>
              <w:wordWrap/>
              <w:overflowPunct/>
              <w:topLinePunct w:val="0"/>
              <w:autoSpaceDE/>
              <w:autoSpaceDN/>
              <w:bidi w:val="0"/>
              <w:spacing w:line="240" w:lineRule="auto"/>
              <w:jc w:val="center"/>
              <w:textAlignment w:val="auto"/>
              <w:rPr>
                <w:rFonts w:hint="eastAsia"/>
                <w:color w:val="auto"/>
              </w:rPr>
            </w:pPr>
            <w:r>
              <w:rPr>
                <w:rFonts w:hint="eastAsia"/>
                <w:color w:val="auto"/>
              </w:rPr>
              <w:t>国家企业信用信息公示系统的企业信用信息公示报告</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6DBDC955">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highlight w:val="none"/>
              </w:rPr>
            </w:pPr>
            <w:r>
              <w:rPr>
                <w:rFonts w:hint="eastAsia" w:ascii="宋体" w:hAnsi="宋体" w:eastAsia="宋体" w:cs="宋体"/>
                <w:color w:val="auto"/>
                <w:szCs w:val="21"/>
                <w:highlight w:val="none"/>
                <w:lang w:val="en-US" w:eastAsia="zh-CN"/>
              </w:rPr>
              <w:t>符合第二章“投标人须知”第1.4.1项规定。</w:t>
            </w:r>
            <w:r>
              <w:rPr>
                <w:rFonts w:hint="eastAsia" w:ascii="宋体" w:hAnsi="宋体" w:eastAsia="宋体" w:cs="宋体"/>
                <w:color w:val="auto"/>
                <w:highlight w:val="none"/>
                <w:lang w:val="en-US" w:eastAsia="zh-CN"/>
              </w:rPr>
              <w:t>报告生成时间为招标公告发布后</w:t>
            </w:r>
            <w:r>
              <w:rPr>
                <w:rFonts w:hint="eastAsia" w:ascii="宋体" w:hAnsi="宋体" w:eastAsia="宋体" w:cs="宋体"/>
                <w:color w:val="auto"/>
                <w:szCs w:val="21"/>
                <w:highlight w:val="none"/>
              </w:rPr>
              <w:t>。</w:t>
            </w:r>
            <w:r>
              <w:rPr>
                <w:rFonts w:hint="eastAsia" w:ascii="宋体" w:hAnsi="宋体" w:eastAsia="宋体" w:cs="宋体"/>
                <w:bCs/>
                <w:color w:val="auto"/>
                <w:sz w:val="21"/>
                <w:szCs w:val="21"/>
                <w:highlight w:val="none"/>
              </w:rPr>
              <w:t>招标人在</w:t>
            </w:r>
            <w:r>
              <w:rPr>
                <w:rFonts w:hint="eastAsia" w:ascii="宋体" w:hAnsi="宋体" w:eastAsia="宋体" w:cs="宋体"/>
                <w:bCs/>
                <w:color w:val="auto"/>
                <w:sz w:val="21"/>
                <w:szCs w:val="21"/>
                <w:highlight w:val="none"/>
                <w:lang w:val="en-US" w:eastAsia="zh-CN"/>
              </w:rPr>
              <w:t>开标</w:t>
            </w:r>
            <w:r>
              <w:rPr>
                <w:rFonts w:hint="eastAsia" w:ascii="宋体" w:hAnsi="宋体" w:eastAsia="宋体" w:cs="宋体"/>
                <w:bCs/>
                <w:color w:val="auto"/>
                <w:sz w:val="21"/>
                <w:szCs w:val="21"/>
                <w:highlight w:val="none"/>
              </w:rPr>
              <w:t>当天</w:t>
            </w:r>
            <w:r>
              <w:rPr>
                <w:rFonts w:hint="eastAsia" w:ascii="宋体" w:hAnsi="宋体" w:eastAsia="宋体" w:cs="宋体"/>
                <w:bCs/>
                <w:color w:val="auto"/>
                <w:sz w:val="21"/>
                <w:szCs w:val="21"/>
                <w:highlight w:val="none"/>
                <w:lang w:val="en-US" w:eastAsia="zh-CN"/>
              </w:rPr>
              <w:t>登录</w:t>
            </w:r>
            <w:r>
              <w:rPr>
                <w:rFonts w:hint="eastAsia" w:ascii="宋体" w:hAnsi="宋体" w:eastAsia="宋体" w:cs="宋体"/>
                <w:color w:val="auto"/>
                <w:szCs w:val="21"/>
                <w:highlight w:val="none"/>
              </w:rPr>
              <w:t>国家企业信用信息公示系统</w:t>
            </w:r>
            <w:r>
              <w:rPr>
                <w:rFonts w:hint="eastAsia" w:ascii="宋体" w:hAnsi="宋体" w:eastAsia="宋体" w:cs="宋体"/>
                <w:bCs/>
                <w:color w:val="auto"/>
                <w:sz w:val="21"/>
                <w:szCs w:val="21"/>
                <w:highlight w:val="none"/>
              </w:rPr>
              <w:t>复核，如与投标人递交信息不一致，以</w:t>
            </w:r>
            <w:r>
              <w:rPr>
                <w:rFonts w:hint="eastAsia" w:ascii="宋体" w:hAnsi="宋体" w:eastAsia="宋体" w:cs="宋体"/>
                <w:bCs/>
                <w:color w:val="auto"/>
                <w:sz w:val="21"/>
                <w:szCs w:val="21"/>
                <w:highlight w:val="none"/>
                <w:lang w:val="en-US" w:eastAsia="zh-CN"/>
              </w:rPr>
              <w:t>开标当日（投标截止日）查询的</w:t>
            </w:r>
            <w:r>
              <w:rPr>
                <w:rFonts w:hint="eastAsia" w:ascii="宋体" w:hAnsi="宋体" w:eastAsia="宋体" w:cs="宋体"/>
                <w:bCs/>
                <w:color w:val="auto"/>
                <w:sz w:val="21"/>
                <w:szCs w:val="21"/>
                <w:highlight w:val="none"/>
              </w:rPr>
              <w:t>结果为准。</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2CFBD5A9">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both"/>
              <w:textAlignment w:val="auto"/>
              <w:outlineLvl w:val="9"/>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囗合格</w:t>
            </w:r>
          </w:p>
          <w:p w14:paraId="018FC4D7">
            <w:pPr>
              <w:keepNext w:val="0"/>
              <w:keepLines w:val="0"/>
              <w:pageBreakBefore w:val="0"/>
              <w:widowControl/>
              <w:kinsoku/>
              <w:wordWrap/>
              <w:overflowPunct/>
              <w:topLinePunct w:val="0"/>
              <w:autoSpaceDE/>
              <w:autoSpaceDN/>
              <w:bidi w:val="0"/>
              <w:adjustRightInd w:val="0"/>
              <w:snapToGrid w:val="0"/>
              <w:spacing w:line="240" w:lineRule="auto"/>
              <w:ind w:left="21" w:leftChars="1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0"/>
                <w:sz w:val="21"/>
                <w:szCs w:val="21"/>
                <w:highlight w:val="none"/>
                <w:u w:val="none" w:color="auto"/>
                <w:lang w:val="en-US" w:eastAsia="zh-CN"/>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7411F90C">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21CE55B8">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r>
      <w:tr w14:paraId="52D1BE9C">
        <w:tblPrEx>
          <w:tblCellMar>
            <w:top w:w="39" w:type="dxa"/>
            <w:left w:w="0" w:type="dxa"/>
            <w:bottom w:w="0" w:type="dxa"/>
            <w:right w:w="29" w:type="dxa"/>
          </w:tblCellMar>
        </w:tblPrEx>
        <w:trPr>
          <w:trHeight w:val="932"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792C98A6">
            <w:pPr>
              <w:keepNext w:val="0"/>
              <w:keepLines w:val="0"/>
              <w:pageBreakBefore w:val="0"/>
              <w:widowControl/>
              <w:kinsoku/>
              <w:wordWrap/>
              <w:overflowPunct/>
              <w:topLinePunct w:val="0"/>
              <w:autoSpaceDE/>
              <w:autoSpaceDN/>
              <w:bidi w:val="0"/>
              <w:adjustRightInd w:val="0"/>
              <w:snapToGrid w:val="0"/>
              <w:spacing w:line="240" w:lineRule="auto"/>
              <w:ind w:left="21" w:leftChars="10"/>
              <w:jc w:val="center"/>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12</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3CB8F432">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color w:val="auto"/>
                <w:lang w:val="en-US" w:eastAsia="zh-CN"/>
              </w:rPr>
              <w:t>其它不合格情况</w:t>
            </w:r>
          </w:p>
        </w:tc>
        <w:tc>
          <w:tcPr>
            <w:tcW w:w="4104" w:type="dxa"/>
            <w:gridSpan w:val="2"/>
            <w:tcBorders>
              <w:top w:val="single" w:color="000000" w:sz="2" w:space="0"/>
              <w:left w:val="single" w:color="000000" w:sz="2" w:space="0"/>
              <w:bottom w:val="single" w:color="000000" w:sz="2" w:space="0"/>
              <w:right w:val="single" w:color="000000" w:sz="2" w:space="0"/>
            </w:tcBorders>
            <w:noWrap w:val="0"/>
            <w:vAlign w:val="center"/>
          </w:tcPr>
          <w:p w14:paraId="2BF71CCD">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u w:val="none" w:color="auto"/>
                <w:lang w:eastAsia="zh-CN"/>
              </w:rPr>
              <w:t>不存在招标文件第</w:t>
            </w:r>
            <w:r>
              <w:rPr>
                <w:rFonts w:hint="eastAsia" w:ascii="宋体" w:hAnsi="宋体" w:eastAsia="宋体" w:cs="宋体"/>
                <w:b w:val="0"/>
                <w:bCs w:val="0"/>
                <w:color w:val="auto"/>
                <w:kern w:val="0"/>
                <w:sz w:val="21"/>
                <w:szCs w:val="21"/>
                <w:highlight w:val="none"/>
                <w:u w:val="none" w:color="auto"/>
                <w:lang w:val="en-US" w:eastAsia="zh-CN"/>
              </w:rPr>
              <w:t>二</w:t>
            </w:r>
            <w:r>
              <w:rPr>
                <w:rFonts w:hint="eastAsia" w:ascii="宋体" w:hAnsi="宋体" w:eastAsia="宋体" w:cs="宋体"/>
                <w:b w:val="0"/>
                <w:bCs w:val="0"/>
                <w:color w:val="auto"/>
                <w:kern w:val="0"/>
                <w:sz w:val="21"/>
                <w:szCs w:val="21"/>
                <w:highlight w:val="none"/>
                <w:u w:val="none" w:color="auto"/>
                <w:lang w:eastAsia="zh-CN"/>
              </w:rPr>
              <w:t>章“否决性条款”的情况或法律、法规、规章规定的应作无效投标文件处理的情况。</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38922F53">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both"/>
              <w:textAlignment w:val="auto"/>
              <w:outlineLvl w:val="9"/>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囗合格</w:t>
            </w:r>
          </w:p>
          <w:p w14:paraId="43EEB8E1">
            <w:pPr>
              <w:keepNext w:val="0"/>
              <w:keepLines w:val="0"/>
              <w:pageBreakBefore w:val="0"/>
              <w:widowControl/>
              <w:kinsoku/>
              <w:wordWrap/>
              <w:overflowPunct/>
              <w:topLinePunct w:val="0"/>
              <w:autoSpaceDE/>
              <w:autoSpaceDN/>
              <w:bidi w:val="0"/>
              <w:adjustRightInd w:val="0"/>
              <w:snapToGrid w:val="0"/>
              <w:spacing w:line="240" w:lineRule="auto"/>
              <w:ind w:left="21" w:leftChars="1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0"/>
                <w:sz w:val="21"/>
                <w:szCs w:val="21"/>
                <w:highlight w:val="none"/>
                <w:u w:val="none" w:color="auto"/>
                <w:lang w:val="en-US" w:eastAsia="zh-CN"/>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2AB2E54B">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74BE305D">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r>
      <w:tr w14:paraId="0C8D8A6B">
        <w:tblPrEx>
          <w:tblCellMar>
            <w:top w:w="39" w:type="dxa"/>
            <w:left w:w="0" w:type="dxa"/>
            <w:bottom w:w="0" w:type="dxa"/>
            <w:right w:w="29" w:type="dxa"/>
          </w:tblCellMar>
        </w:tblPrEx>
        <w:trPr>
          <w:trHeight w:val="932" w:hRule="atLeast"/>
        </w:trPr>
        <w:tc>
          <w:tcPr>
            <w:tcW w:w="4621" w:type="dxa"/>
            <w:gridSpan w:val="3"/>
            <w:tcBorders>
              <w:top w:val="single" w:color="000000" w:sz="2" w:space="0"/>
              <w:left w:val="single" w:color="000000" w:sz="2" w:space="0"/>
              <w:bottom w:val="single" w:color="000000" w:sz="2" w:space="0"/>
              <w:right w:val="single" w:color="000000" w:sz="2" w:space="0"/>
            </w:tcBorders>
            <w:noWrap w:val="0"/>
            <w:vAlign w:val="center"/>
          </w:tcPr>
          <w:p w14:paraId="68B5B9DA">
            <w:pPr>
              <w:keepNext w:val="0"/>
              <w:keepLines w:val="0"/>
              <w:pageBreakBefore w:val="0"/>
              <w:widowControl/>
              <w:kinsoku/>
              <w:wordWrap/>
              <w:overflowPunct/>
              <w:topLinePunct w:val="0"/>
              <w:autoSpaceDE/>
              <w:autoSpaceDN/>
              <w:bidi w:val="0"/>
              <w:adjustRightInd w:val="0"/>
              <w:snapToGrid w:val="0"/>
              <w:spacing w:after="0" w:line="360" w:lineRule="auto"/>
              <w:ind w:left="21" w:leftChars="10" w:right="0" w:rightChars="0" w:firstLine="0" w:firstLineChars="0"/>
              <w:jc w:val="both"/>
              <w:textAlignment w:val="auto"/>
              <w:outlineLvl w:val="9"/>
              <w:rPr>
                <w:rFonts w:hint="eastAsia" w:ascii="宋体" w:hAnsi="宋体" w:eastAsia="宋体" w:cs="宋体"/>
                <w:color w:val="auto"/>
                <w:kern w:val="2"/>
                <w:sz w:val="21"/>
                <w:szCs w:val="21"/>
                <w:highlight w:val="none"/>
                <w:lang w:val="en-US" w:eastAsia="zh-CN" w:bidi="ar-SA"/>
              </w:rPr>
            </w:pPr>
            <w:permStart w:id="119" w:edGrp="everyone"/>
            <w:permEnd w:id="119"/>
            <w:permStart w:id="120" w:edGrp="everyone" w:colFirst="2" w:colLast="2"/>
            <w:r>
              <w:rPr>
                <w:rFonts w:hint="eastAsia" w:ascii="宋体" w:hAnsi="宋体" w:cs="宋体"/>
                <w:color w:val="auto"/>
                <w:szCs w:val="21"/>
                <w:highlight w:val="none"/>
                <w:lang w:eastAsia="zh-CN"/>
              </w:rPr>
              <w:t>综合评价等级：</w:t>
            </w:r>
            <w:r>
              <w:rPr>
                <w:rFonts w:hint="eastAsia" w:ascii="宋体" w:hAnsi="宋体" w:eastAsia="宋体" w:cs="宋体"/>
                <w:b w:val="0"/>
                <w:bCs w:val="0"/>
                <w:color w:val="auto"/>
                <w:kern w:val="0"/>
                <w:sz w:val="21"/>
                <w:szCs w:val="21"/>
                <w:highlight w:val="none"/>
                <w:u w:val="none" w:color="auto"/>
                <w:lang w:val="en-US" w:eastAsia="zh-CN"/>
              </w:rPr>
              <w:t>囗合格    囗不合格</w:t>
            </w:r>
          </w:p>
        </w:tc>
        <w:tc>
          <w:tcPr>
            <w:tcW w:w="4622" w:type="dxa"/>
            <w:gridSpan w:val="4"/>
            <w:tcBorders>
              <w:top w:val="single" w:color="000000" w:sz="2" w:space="0"/>
              <w:left w:val="single" w:color="000000" w:sz="2" w:space="0"/>
              <w:bottom w:val="single" w:color="000000" w:sz="2" w:space="0"/>
              <w:right w:val="single" w:color="000000" w:sz="2" w:space="0"/>
            </w:tcBorders>
            <w:noWrap w:val="0"/>
            <w:vAlign w:val="center"/>
          </w:tcPr>
          <w:p w14:paraId="3A69EBB3">
            <w:pPr>
              <w:keepNext w:val="0"/>
              <w:keepLines w:val="0"/>
              <w:pageBreakBefore w:val="0"/>
              <w:widowControl/>
              <w:kinsoku/>
              <w:wordWrap/>
              <w:overflowPunct/>
              <w:topLinePunct w:val="0"/>
              <w:autoSpaceDE/>
              <w:autoSpaceDN/>
              <w:bidi w:val="0"/>
              <w:adjustRightInd w:val="0"/>
              <w:snapToGrid w:val="0"/>
              <w:spacing w:after="0" w:line="360" w:lineRule="auto"/>
              <w:ind w:left="21" w:leftChars="10" w:right="0" w:rightChars="0" w:firstLine="0" w:firstLineChars="0"/>
              <w:jc w:val="both"/>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eastAsia="zh-CN"/>
              </w:rPr>
              <w:t>不合格原因：</w:t>
            </w:r>
          </w:p>
        </w:tc>
      </w:tr>
      <w:permEnd w:id="120"/>
    </w:tbl>
    <w:p w14:paraId="15C182FD">
      <w:pPr>
        <w:bidi w:val="0"/>
        <w:rPr>
          <w:color w:val="auto"/>
        </w:rPr>
      </w:pPr>
      <w:r>
        <w:rPr>
          <w:rFonts w:hint="eastAsia"/>
          <w:color w:val="auto"/>
          <w:lang w:val="en-US" w:eastAsia="zh-CN"/>
        </w:rPr>
        <w:t>资格审查人员：                     资格审查日期：      年  月  日</w:t>
      </w:r>
    </w:p>
    <w:p w14:paraId="4AF77FF9">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cs="宋体"/>
          <w:bCs/>
          <w:color w:val="auto"/>
          <w:szCs w:val="21"/>
          <w:highlight w:val="none"/>
        </w:rPr>
        <w:t>备注：</w:t>
      </w:r>
      <w:r>
        <w:rPr>
          <w:rFonts w:hint="eastAsia" w:ascii="宋体" w:hAnsi="宋体" w:eastAsia="宋体" w:cs="宋体"/>
          <w:b w:val="0"/>
          <w:bCs w:val="0"/>
          <w:color w:val="auto"/>
          <w:kern w:val="0"/>
          <w:sz w:val="21"/>
          <w:szCs w:val="21"/>
          <w:highlight w:val="none"/>
          <w:u w:val="none" w:color="auto"/>
          <w:lang w:val="en-US" w:eastAsia="zh-CN"/>
        </w:rPr>
        <w:t>1. 本表适用于资格审查小组成员独立评审使用。</w:t>
      </w:r>
    </w:p>
    <w:p w14:paraId="7DD83E94">
      <w:pPr>
        <w:keepNext w:val="0"/>
        <w:keepLines w:val="0"/>
        <w:pageBreakBefore w:val="0"/>
        <w:numPr>
          <w:ilvl w:val="0"/>
          <w:numId w:val="0"/>
        </w:numPr>
        <w:kinsoku/>
        <w:wordWrap/>
        <w:overflowPunct/>
        <w:topLinePunct w:val="0"/>
        <w:autoSpaceDE/>
        <w:autoSpaceDN/>
        <w:bidi w:val="0"/>
        <w:spacing w:line="360" w:lineRule="auto"/>
        <w:textAlignment w:val="auto"/>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2. 出现招标文件否决性条款规定的情形或不符合本表评审内容要求情形的，评价等级为不合格，其他均应评定为合格。</w:t>
      </w:r>
    </w:p>
    <w:p w14:paraId="0773329F">
      <w:pPr>
        <w:keepNext w:val="0"/>
        <w:keepLines w:val="0"/>
        <w:pageBreakBefore w:val="0"/>
        <w:numPr>
          <w:ilvl w:val="0"/>
          <w:numId w:val="0"/>
        </w:numPr>
        <w:kinsoku/>
        <w:wordWrap/>
        <w:overflowPunct/>
        <w:topLinePunct w:val="0"/>
        <w:autoSpaceDE/>
        <w:autoSpaceDN/>
        <w:bidi w:val="0"/>
        <w:spacing w:line="360" w:lineRule="auto"/>
        <w:textAlignment w:val="auto"/>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3. 资格审查结论分为合格或不合格两个等级。任一资格审查要素审查结论为不合格的，资格审查结论为不合格。所有资格审查要素审查结论均为合格的，不得以其它理由认定资格审查结论为不合格。</w:t>
      </w:r>
    </w:p>
    <w:p w14:paraId="1C35CD97">
      <w:pPr>
        <w:pStyle w:val="3"/>
        <w:rPr>
          <w:rFonts w:hint="eastAsia"/>
          <w:color w:val="auto"/>
          <w:highlight w:val="none"/>
        </w:rPr>
      </w:pPr>
      <w:r>
        <w:rPr>
          <w:rFonts w:hint="eastAsia"/>
          <w:color w:val="auto"/>
          <w:highlight w:val="none"/>
          <w:lang w:val="en-US" w:eastAsia="zh-CN"/>
        </w:rPr>
        <w:br w:type="page"/>
      </w:r>
      <w:bookmarkStart w:id="193" w:name="_Toc1057577603"/>
      <w:bookmarkStart w:id="194" w:name="_Toc406243482"/>
      <w:bookmarkStart w:id="195" w:name="_Toc18295"/>
      <w:bookmarkStart w:id="196" w:name="_Toc1146657256"/>
      <w:bookmarkStart w:id="197" w:name="_Toc1521333536"/>
      <w:bookmarkStart w:id="198" w:name="_Toc76534191"/>
      <w:bookmarkStart w:id="199" w:name="_Toc705488932"/>
      <w:bookmarkStart w:id="200" w:name="_Toc1509611158"/>
      <w:bookmarkStart w:id="201" w:name="_Toc197094888"/>
      <w:bookmarkStart w:id="202" w:name="_Toc1825076970"/>
      <w:bookmarkStart w:id="203" w:name="_Toc16466"/>
      <w:bookmarkStart w:id="204" w:name="_Toc1013472982"/>
      <w:bookmarkStart w:id="205" w:name="_Toc28994"/>
      <w:bookmarkStart w:id="206" w:name="_Toc2055931403"/>
      <w:bookmarkStart w:id="207" w:name="_Toc1494121449"/>
      <w:bookmarkStart w:id="208" w:name="_Toc16239"/>
      <w:bookmarkStart w:id="209" w:name="_Toc1022226988"/>
      <w:bookmarkStart w:id="210" w:name="_Toc24241"/>
      <w:bookmarkStart w:id="211" w:name="_Toc470696450"/>
      <w:bookmarkStart w:id="212" w:name="_Toc1273497141"/>
      <w:bookmarkStart w:id="213" w:name="_Toc651336976"/>
      <w:bookmarkStart w:id="214" w:name="_Toc2128886992"/>
      <w:bookmarkStart w:id="215" w:name="_Toc1095137609"/>
      <w:bookmarkStart w:id="216" w:name="_Toc2591732"/>
      <w:bookmarkStart w:id="217" w:name="_Toc647489343"/>
      <w:bookmarkStart w:id="218" w:name="_Toc725162456"/>
      <w:bookmarkStart w:id="219" w:name="_Toc31710289"/>
      <w:bookmarkStart w:id="220" w:name="_Toc957751929"/>
      <w:bookmarkStart w:id="221" w:name="_Toc604572279"/>
      <w:bookmarkStart w:id="222" w:name="_Toc903992072"/>
      <w:bookmarkStart w:id="223" w:name="_Toc1906883848"/>
      <w:bookmarkStart w:id="224" w:name="_Toc1208238330"/>
      <w:bookmarkStart w:id="225" w:name="_Toc1697335761"/>
      <w:bookmarkStart w:id="226" w:name="_Toc25815"/>
      <w:bookmarkStart w:id="227" w:name="_Toc824835730"/>
      <w:bookmarkStart w:id="228" w:name="_Toc27190"/>
      <w:bookmarkStart w:id="229" w:name="_Toc695672"/>
      <w:bookmarkStart w:id="230" w:name="_Toc1200219986"/>
      <w:bookmarkStart w:id="231" w:name="_Toc1525761681"/>
      <w:bookmarkStart w:id="232" w:name="_Toc143578911"/>
      <w:bookmarkStart w:id="233" w:name="_Toc1506281144"/>
      <w:bookmarkStart w:id="234" w:name="_Toc1752598237"/>
      <w:r>
        <w:rPr>
          <w:rFonts w:hint="eastAsia" w:ascii="宋体" w:hAnsi="宋体" w:cs="宋体"/>
          <w:color w:val="auto"/>
          <w:highlight w:val="none"/>
          <w:lang w:val="en-US" w:eastAsia="zh-CN"/>
        </w:rPr>
        <w:t xml:space="preserve">1. </w:t>
      </w:r>
      <w:r>
        <w:rPr>
          <w:rFonts w:hint="eastAsia"/>
          <w:color w:val="auto"/>
          <w:highlight w:val="none"/>
        </w:rPr>
        <w:t>总则</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14:paraId="60E16FBB">
      <w:pPr>
        <w:pStyle w:val="4"/>
        <w:bidi w:val="0"/>
        <w:rPr>
          <w:rFonts w:hint="eastAsia" w:ascii="宋体" w:hAnsi="宋体" w:eastAsia="宋体" w:cs="宋体"/>
          <w:color w:val="auto"/>
          <w:highlight w:val="none"/>
        </w:rPr>
      </w:pPr>
      <w:bookmarkStart w:id="235" w:name="_Toc1167757864"/>
      <w:bookmarkStart w:id="236" w:name="_Toc1221302217"/>
      <w:bookmarkStart w:id="237" w:name="_Toc1047722115"/>
      <w:bookmarkStart w:id="238" w:name="_Toc996853363"/>
      <w:bookmarkStart w:id="239" w:name="_Toc66142389"/>
      <w:bookmarkStart w:id="240" w:name="_Toc949749070"/>
      <w:bookmarkStart w:id="241" w:name="_Toc1580809220"/>
      <w:bookmarkStart w:id="242" w:name="_Toc680906211"/>
      <w:bookmarkStart w:id="243" w:name="_Toc1438565336"/>
      <w:bookmarkStart w:id="244" w:name="_Toc369107233"/>
      <w:bookmarkStart w:id="245" w:name="_Toc1385232377"/>
      <w:bookmarkStart w:id="246" w:name="_Toc1591362833"/>
      <w:bookmarkStart w:id="247" w:name="_Toc2116663303"/>
      <w:bookmarkStart w:id="248" w:name="_Toc1465208526"/>
      <w:bookmarkStart w:id="249" w:name="_Toc1435150749"/>
      <w:bookmarkStart w:id="250" w:name="_Toc701593497"/>
      <w:bookmarkStart w:id="251" w:name="_Toc543052508"/>
      <w:r>
        <w:rPr>
          <w:rFonts w:hint="eastAsia" w:ascii="宋体" w:hAnsi="宋体" w:eastAsia="宋体" w:cs="宋体"/>
          <w:color w:val="auto"/>
          <w:highlight w:val="none"/>
        </w:rPr>
        <w:t>1.1 项目概况</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14:paraId="00F382E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 根据《中华人民共和国招标投标法》等有关法律、法规和规章的规定，本招标项目</w:t>
      </w:r>
      <w:r>
        <w:rPr>
          <w:rFonts w:hint="eastAsia" w:ascii="宋体" w:hAnsi="宋体" w:eastAsia="宋体" w:cs="宋体"/>
          <w:color w:val="auto"/>
          <w:szCs w:val="21"/>
          <w:highlight w:val="none"/>
          <w:lang w:val="en-US" w:eastAsia="zh-CN"/>
        </w:rPr>
        <w:t>已</w:t>
      </w:r>
      <w:r>
        <w:rPr>
          <w:rFonts w:hint="eastAsia" w:ascii="宋体" w:hAnsi="宋体" w:eastAsia="宋体" w:cs="宋体"/>
          <w:color w:val="auto"/>
          <w:szCs w:val="21"/>
          <w:highlight w:val="none"/>
        </w:rPr>
        <w:t>具备招标条件，现进行</w:t>
      </w:r>
      <w:r>
        <w:rPr>
          <w:rFonts w:hint="eastAsia" w:ascii="宋体" w:hAnsi="宋体" w:eastAsia="宋体" w:cs="宋体"/>
          <w:color w:val="auto"/>
          <w:szCs w:val="21"/>
          <w:highlight w:val="none"/>
          <w:lang w:eastAsia="zh-CN"/>
        </w:rPr>
        <w:t>施工</w:t>
      </w:r>
      <w:r>
        <w:rPr>
          <w:rFonts w:hint="eastAsia" w:ascii="宋体" w:hAnsi="宋体" w:eastAsia="宋体" w:cs="宋体"/>
          <w:color w:val="auto"/>
          <w:szCs w:val="21"/>
          <w:highlight w:val="none"/>
        </w:rPr>
        <w:t>招标。</w:t>
      </w:r>
    </w:p>
    <w:p w14:paraId="00D7477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 本招标项目</w:t>
      </w:r>
      <w:r>
        <w:rPr>
          <w:rFonts w:hint="eastAsia" w:ascii="宋体" w:hAnsi="宋体" w:cs="宋体"/>
          <w:color w:val="auto"/>
          <w:szCs w:val="21"/>
          <w:highlight w:val="none"/>
          <w:lang w:eastAsia="zh-CN"/>
        </w:rPr>
        <w:t>的建设单位及</w:t>
      </w:r>
      <w:r>
        <w:rPr>
          <w:rFonts w:hint="eastAsia" w:ascii="宋体" w:hAnsi="宋体" w:eastAsia="宋体" w:cs="宋体"/>
          <w:color w:val="auto"/>
          <w:szCs w:val="21"/>
          <w:highlight w:val="none"/>
        </w:rPr>
        <w:t>招标人：见投标人须知前附表。</w:t>
      </w:r>
    </w:p>
    <w:p w14:paraId="35AE741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1.1.3 本标段招标代理机构：见投标人须知前附表。</w:t>
      </w:r>
    </w:p>
    <w:p w14:paraId="233AA7B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1.1.4 本招标项目名称：见投标人须知前附表。</w:t>
      </w:r>
    </w:p>
    <w:p w14:paraId="403F908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1.1.5 本标段建设地点：见投标人须知前附表。</w:t>
      </w:r>
    </w:p>
    <w:p w14:paraId="5AC81B8A">
      <w:pPr>
        <w:pStyle w:val="4"/>
        <w:bidi w:val="0"/>
        <w:rPr>
          <w:rFonts w:hint="eastAsia" w:ascii="宋体" w:hAnsi="宋体" w:eastAsia="宋体" w:cs="宋体"/>
          <w:color w:val="auto"/>
          <w:highlight w:val="none"/>
        </w:rPr>
      </w:pPr>
      <w:bookmarkStart w:id="252" w:name="_Toc1784446369"/>
      <w:bookmarkStart w:id="253" w:name="_Toc1988076022"/>
      <w:bookmarkStart w:id="254" w:name="_Toc1816558816"/>
      <w:bookmarkStart w:id="255" w:name="_Toc1428280083"/>
      <w:bookmarkStart w:id="256" w:name="_Toc1731277105"/>
      <w:bookmarkStart w:id="257" w:name="_Toc1379070955"/>
      <w:bookmarkStart w:id="258" w:name="_Toc1018522033"/>
      <w:bookmarkStart w:id="259" w:name="_Toc1850529227"/>
      <w:bookmarkStart w:id="260" w:name="_Toc811867339"/>
      <w:bookmarkStart w:id="261" w:name="_Toc5633906"/>
      <w:bookmarkStart w:id="262" w:name="_Toc182518250"/>
      <w:bookmarkStart w:id="263" w:name="_Toc2019801413"/>
      <w:bookmarkStart w:id="264" w:name="_Toc1717804785"/>
      <w:bookmarkStart w:id="265" w:name="_Toc111960339"/>
      <w:bookmarkStart w:id="266" w:name="_Toc227010685"/>
      <w:bookmarkStart w:id="267" w:name="_Toc1329363470"/>
      <w:bookmarkStart w:id="268" w:name="_Toc812646601"/>
      <w:r>
        <w:rPr>
          <w:rFonts w:hint="eastAsia" w:ascii="宋体" w:hAnsi="宋体" w:eastAsia="宋体" w:cs="宋体"/>
          <w:color w:val="auto"/>
          <w:highlight w:val="none"/>
        </w:rPr>
        <w:t>1.2 资金来源和落实情况</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14:paraId="2203CC7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 本招标项目的资金来源：见投标人须知前附表。</w:t>
      </w:r>
    </w:p>
    <w:p w14:paraId="2BF937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本招标项目的出资比例：见投标人须知前附表。</w:t>
      </w:r>
    </w:p>
    <w:p w14:paraId="6B8E2D2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1.2.3 本招标项目的资金落实情况：见投标人须知前附表。</w:t>
      </w:r>
    </w:p>
    <w:p w14:paraId="65D781DB">
      <w:pPr>
        <w:pStyle w:val="4"/>
        <w:bidi w:val="0"/>
        <w:rPr>
          <w:rFonts w:hint="eastAsia" w:ascii="宋体" w:hAnsi="宋体" w:eastAsia="宋体" w:cs="宋体"/>
          <w:color w:val="auto"/>
          <w:highlight w:val="none"/>
        </w:rPr>
      </w:pPr>
      <w:bookmarkStart w:id="269" w:name="_Toc430728821"/>
      <w:bookmarkStart w:id="270" w:name="_Toc1701729087"/>
      <w:bookmarkStart w:id="271" w:name="_Toc211524519"/>
      <w:bookmarkStart w:id="272" w:name="_Toc1720713038"/>
      <w:bookmarkStart w:id="273" w:name="_Toc107771950"/>
      <w:bookmarkStart w:id="274" w:name="_Toc894489765"/>
      <w:bookmarkStart w:id="275" w:name="_Toc414487574"/>
      <w:bookmarkStart w:id="276" w:name="_Toc1763821819"/>
      <w:bookmarkStart w:id="277" w:name="_Toc1291351577"/>
      <w:bookmarkStart w:id="278" w:name="_Toc1016700828"/>
      <w:bookmarkStart w:id="279" w:name="_Toc2113881259"/>
      <w:bookmarkStart w:id="280" w:name="_Toc311640902"/>
      <w:bookmarkStart w:id="281" w:name="_Toc552228996"/>
      <w:bookmarkStart w:id="282" w:name="_Toc803140624"/>
      <w:bookmarkStart w:id="283" w:name="_Toc24845637"/>
      <w:bookmarkStart w:id="284" w:name="_Toc858476646"/>
      <w:bookmarkStart w:id="285" w:name="_Toc1702462386"/>
      <w:r>
        <w:rPr>
          <w:rFonts w:hint="eastAsia" w:ascii="宋体" w:hAnsi="宋体" w:eastAsia="宋体" w:cs="宋体"/>
          <w:color w:val="auto"/>
          <w:highlight w:val="none"/>
        </w:rPr>
        <w:t>1.3 招标范围、</w:t>
      </w:r>
      <w:r>
        <w:rPr>
          <w:rFonts w:hint="eastAsia" w:ascii="宋体" w:hAnsi="宋体" w:eastAsia="宋体" w:cs="宋体"/>
          <w:b/>
          <w:bCs/>
          <w:color w:val="auto"/>
          <w:highlight w:val="none"/>
        </w:rPr>
        <w:t>计划工期、质量和</w:t>
      </w:r>
      <w:r>
        <w:rPr>
          <w:rFonts w:hint="eastAsia" w:ascii="宋体" w:hAnsi="宋体" w:eastAsia="宋体" w:cs="宋体"/>
          <w:b/>
          <w:bCs/>
          <w:color w:val="auto"/>
          <w:szCs w:val="21"/>
          <w:highlight w:val="none"/>
        </w:rPr>
        <w:t>安全文明施工</w:t>
      </w:r>
      <w:r>
        <w:rPr>
          <w:rFonts w:hint="eastAsia" w:ascii="宋体" w:hAnsi="宋体" w:eastAsia="宋体" w:cs="宋体"/>
          <w:b/>
          <w:bCs/>
          <w:color w:val="auto"/>
          <w:highlight w:val="none"/>
        </w:rPr>
        <w:t>要求</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7299E1E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 本次招标范围：见投标人须知前附表。</w:t>
      </w:r>
    </w:p>
    <w:p w14:paraId="624D17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 本标段的计划工期：见投标人须知前附表。</w:t>
      </w:r>
    </w:p>
    <w:p w14:paraId="1AA5157E">
      <w:pPr>
        <w:spacing w:line="360" w:lineRule="auto"/>
        <w:ind w:firstLine="420" w:firstLineChars="200"/>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1.3.3 本标段的质量要求：见投标人须知前附表。</w:t>
      </w:r>
    </w:p>
    <w:p w14:paraId="21EA1DE6">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1.3.4</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本标段的安全文明施工要求：见投标人须知前附表。</w:t>
      </w:r>
    </w:p>
    <w:p w14:paraId="607FA65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1.3.5 </w:t>
      </w:r>
      <w:r>
        <w:rPr>
          <w:rFonts w:hint="eastAsia" w:ascii="宋体" w:hAnsi="宋体" w:eastAsia="宋体" w:cs="宋体"/>
          <w:color w:val="auto"/>
          <w:sz w:val="21"/>
          <w:szCs w:val="21"/>
          <w:highlight w:val="none"/>
        </w:rPr>
        <w:t>本项目</w:t>
      </w:r>
      <w:r>
        <w:rPr>
          <w:rFonts w:hint="eastAsia" w:ascii="宋体" w:hAnsi="宋体" w:eastAsia="宋体" w:cs="宋体"/>
          <w:color w:val="auto"/>
          <w:sz w:val="21"/>
          <w:szCs w:val="21"/>
          <w:highlight w:val="none"/>
          <w:lang w:val="en-US" w:eastAsia="zh-CN"/>
        </w:rPr>
        <w:t>绿色建筑等级</w:t>
      </w:r>
      <w:r>
        <w:rPr>
          <w:rFonts w:hint="eastAsia" w:ascii="宋体" w:hAnsi="宋体" w:eastAsia="宋体" w:cs="宋体"/>
          <w:color w:val="auto"/>
          <w:sz w:val="21"/>
          <w:szCs w:val="21"/>
          <w:highlight w:val="none"/>
        </w:rPr>
        <w:t>：见投标人须知前附表。</w:t>
      </w:r>
    </w:p>
    <w:p w14:paraId="123417A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 xml:space="preserve">1.3.6 </w:t>
      </w:r>
      <w:r>
        <w:rPr>
          <w:rFonts w:hint="eastAsia" w:ascii="宋体" w:hAnsi="宋体" w:eastAsia="宋体" w:cs="宋体"/>
          <w:color w:val="auto"/>
          <w:sz w:val="21"/>
          <w:szCs w:val="21"/>
          <w:highlight w:val="none"/>
        </w:rPr>
        <w:t>本项目</w:t>
      </w:r>
      <w:r>
        <w:rPr>
          <w:rFonts w:hint="eastAsia" w:ascii="宋体" w:hAnsi="宋体" w:eastAsia="宋体" w:cs="宋体"/>
          <w:color w:val="auto"/>
          <w:szCs w:val="21"/>
          <w:highlight w:val="none"/>
        </w:rPr>
        <w:t>危险性较大的分部分项工程</w:t>
      </w:r>
      <w:r>
        <w:rPr>
          <w:rFonts w:hint="eastAsia" w:ascii="宋体" w:hAnsi="宋体" w:eastAsia="宋体" w:cs="宋体"/>
          <w:color w:val="auto"/>
          <w:sz w:val="21"/>
          <w:szCs w:val="21"/>
          <w:highlight w:val="none"/>
        </w:rPr>
        <w:t>：见投标人须知前附表。</w:t>
      </w:r>
    </w:p>
    <w:p w14:paraId="53BE8A90">
      <w:pPr>
        <w:pStyle w:val="4"/>
        <w:bidi w:val="0"/>
        <w:rPr>
          <w:rFonts w:hint="eastAsia" w:ascii="宋体" w:hAnsi="宋体" w:eastAsia="宋体" w:cs="宋体"/>
          <w:b/>
          <w:bCs/>
          <w:color w:val="auto"/>
          <w:highlight w:val="none"/>
        </w:rPr>
      </w:pPr>
      <w:bookmarkStart w:id="286" w:name="_Toc263080379"/>
      <w:bookmarkStart w:id="287" w:name="_Toc66947637"/>
      <w:bookmarkStart w:id="288" w:name="_Toc1834036614"/>
      <w:bookmarkStart w:id="289" w:name="_Toc937373957"/>
      <w:bookmarkStart w:id="290" w:name="_Toc1919300975"/>
      <w:bookmarkStart w:id="291" w:name="_Toc1234919590"/>
      <w:bookmarkStart w:id="292" w:name="_Toc1551569430"/>
      <w:bookmarkStart w:id="293" w:name="_Toc240539398"/>
      <w:bookmarkStart w:id="294" w:name="_Toc1801629142"/>
      <w:bookmarkStart w:id="295" w:name="_Toc115857785"/>
      <w:bookmarkStart w:id="296" w:name="_Toc1031620346"/>
      <w:bookmarkStart w:id="297" w:name="_Toc1408941788"/>
      <w:bookmarkStart w:id="298" w:name="_Toc2099342176"/>
      <w:bookmarkStart w:id="299" w:name="_Toc1332020933"/>
      <w:bookmarkStart w:id="300" w:name="_Toc172857654"/>
      <w:bookmarkStart w:id="301" w:name="_Toc1686347434"/>
      <w:bookmarkStart w:id="302" w:name="_Toc1949466597"/>
      <w:r>
        <w:rPr>
          <w:rFonts w:hint="eastAsia" w:ascii="宋体" w:hAnsi="宋体" w:eastAsia="宋体" w:cs="宋体"/>
          <w:b/>
          <w:bCs/>
          <w:color w:val="auto"/>
          <w:highlight w:val="none"/>
        </w:rPr>
        <w:t>1.4 投标人资格要求</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14:paraId="2FD6B4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w:t>
      </w:r>
      <w:r>
        <w:rPr>
          <w:rFonts w:hint="eastAsia" w:ascii="宋体" w:hAnsi="宋体" w:eastAsia="宋体" w:cs="宋体"/>
          <w:color w:val="auto"/>
          <w:szCs w:val="21"/>
          <w:highlight w:val="none"/>
          <w:lang w:val="en-US" w:eastAsia="zh-CN"/>
        </w:rPr>
        <w:t xml:space="preserve"> </w:t>
      </w:r>
      <w:r>
        <w:rPr>
          <w:rFonts w:hint="eastAsia" w:ascii="宋体" w:hAnsi="宋体"/>
          <w:color w:val="auto"/>
          <w:szCs w:val="21"/>
          <w:highlight w:val="none"/>
        </w:rPr>
        <w:t>投标人应具备承担</w:t>
      </w:r>
      <w:r>
        <w:rPr>
          <w:rFonts w:hint="eastAsia" w:ascii="宋体" w:hAnsi="宋体"/>
          <w:color w:val="auto"/>
          <w:szCs w:val="21"/>
          <w:highlight w:val="none"/>
          <w:lang w:eastAsia="zh-CN"/>
        </w:rPr>
        <w:t>本标段施工</w:t>
      </w:r>
      <w:r>
        <w:rPr>
          <w:rFonts w:hint="eastAsia" w:ascii="宋体" w:hAnsi="宋体"/>
          <w:color w:val="auto"/>
          <w:szCs w:val="21"/>
          <w:highlight w:val="none"/>
        </w:rPr>
        <w:t>的资质条件、能力。</w:t>
      </w:r>
    </w:p>
    <w:p w14:paraId="0FE458F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资质条件：见投标人须知前附表。</w:t>
      </w:r>
    </w:p>
    <w:p w14:paraId="0DE41F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其他要求：见投标人须知前附表。</w:t>
      </w:r>
    </w:p>
    <w:p w14:paraId="4AA6ED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 投标人须知前附表规定接受联合体投标的，除应符合本章第1.4.1项和投标人须知前附表的要求外，还应遵守以下规定：</w:t>
      </w:r>
    </w:p>
    <w:p w14:paraId="18869E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联合体各方应按招标文件提供的格式签订联合体协议书，明确联合体牵头人和各方权利义务；</w:t>
      </w:r>
    </w:p>
    <w:p w14:paraId="7315331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由同一专业的单位组成的联合体，按照资质等级较低的单位确定资质等级；</w:t>
      </w:r>
    </w:p>
    <w:p w14:paraId="3A4E691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联合体各方不得再以自己名义单独或参加其他联合体在同一标段中投标。</w:t>
      </w:r>
    </w:p>
    <w:p w14:paraId="31216E2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1.4.3 投标人不得存在下列情形之一：</w:t>
      </w:r>
    </w:p>
    <w:p w14:paraId="3B6ECC7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为招标人不具有独立法人资格的附属机构（单位）；</w:t>
      </w:r>
    </w:p>
    <w:p w14:paraId="104AC434">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为本标段前期准备提供设计或咨询服务的；</w:t>
      </w:r>
    </w:p>
    <w:p w14:paraId="655EF616">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为本标段的监理人；</w:t>
      </w:r>
    </w:p>
    <w:p w14:paraId="6947DF9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为本标段的代建人；</w:t>
      </w:r>
    </w:p>
    <w:p w14:paraId="1C249113">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为本标段提供招标代理服务的；</w:t>
      </w:r>
    </w:p>
    <w:p w14:paraId="200BD97A">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与本标段的监理人或代建人或招标代理机构同为一个法定代表人的；</w:t>
      </w:r>
    </w:p>
    <w:p w14:paraId="134B1E23">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与本标段的监理人或代建人或招标代理机构相互控股或参股的；</w:t>
      </w:r>
    </w:p>
    <w:p w14:paraId="16BBA21E">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与本标段的监理人或代建人或招标代理机构相互任职或工作的；</w:t>
      </w:r>
    </w:p>
    <w:p w14:paraId="1C5E559C">
      <w:pPr>
        <w:pageBreakBefore w:val="0"/>
        <w:kinsoku/>
        <w:wordWrap/>
        <w:overflowPunct/>
        <w:topLinePunct w:val="0"/>
        <w:bidi w:val="0"/>
        <w:spacing w:line="360" w:lineRule="auto"/>
        <w:ind w:left="420" w:left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lang w:eastAsia="zh-CN"/>
        </w:rPr>
        <w:t>）</w:t>
      </w:r>
      <w:r>
        <w:rPr>
          <w:rFonts w:hint="eastAsia" w:ascii="宋体" w:hAnsi="宋体" w:eastAsia="宋体" w:cs="宋体"/>
          <w:color w:val="auto"/>
          <w:highlight w:val="none"/>
        </w:rPr>
        <w:t>单位负责人与其他投标人为同一人或者存在控股、管理关系的；</w:t>
      </w:r>
    </w:p>
    <w:p w14:paraId="05D10593">
      <w:pPr>
        <w:pageBreakBefore w:val="0"/>
        <w:kinsoku/>
        <w:wordWrap/>
        <w:overflowPunct/>
        <w:topLinePunct w:val="0"/>
        <w:bidi w:val="0"/>
        <w:spacing w:line="360" w:lineRule="auto"/>
        <w:ind w:left="420" w:left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处于被责令停业期内的；</w:t>
      </w:r>
    </w:p>
    <w:p w14:paraId="1E66FD10">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）处于被暂停或取消投标资格期内的；</w:t>
      </w:r>
    </w:p>
    <w:p w14:paraId="021203A4">
      <w:pPr>
        <w:spacing w:line="360" w:lineRule="auto"/>
        <w:ind w:firstLine="420" w:firstLineChars="200"/>
        <w:rPr>
          <w:rFonts w:hint="eastAsia" w:ascii="宋体" w:hAnsi="宋体" w:cs="宋体"/>
          <w:color w:val="auto"/>
          <w:szCs w:val="21"/>
          <w:highlight w:val="none"/>
          <w:lang w:eastAsia="zh-CN"/>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）处于财产被接管或冻结期内的</w:t>
      </w:r>
      <w:r>
        <w:rPr>
          <w:rFonts w:hint="eastAsia" w:ascii="宋体" w:hAnsi="宋体" w:cs="宋体"/>
          <w:color w:val="auto"/>
          <w:szCs w:val="21"/>
          <w:highlight w:val="none"/>
          <w:lang w:eastAsia="zh-CN"/>
        </w:rPr>
        <w:t>；</w:t>
      </w:r>
    </w:p>
    <w:p w14:paraId="175C5E56">
      <w:pPr>
        <w:spacing w:line="360" w:lineRule="auto"/>
        <w:ind w:firstLine="420" w:firstLineChars="200"/>
        <w:rPr>
          <w:rFonts w:hint="eastAsia"/>
          <w:color w:val="auto"/>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13</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eastAsia="zh-CN"/>
        </w:rPr>
        <w:t>处于拖欠农民工工资失信联合惩戒对象名单内的。</w:t>
      </w:r>
    </w:p>
    <w:p w14:paraId="29B2E326">
      <w:pPr>
        <w:pStyle w:val="4"/>
        <w:bidi w:val="0"/>
        <w:rPr>
          <w:rFonts w:hint="eastAsia" w:ascii="宋体" w:hAnsi="宋体" w:eastAsia="宋体" w:cs="宋体"/>
          <w:color w:val="auto"/>
          <w:highlight w:val="none"/>
        </w:rPr>
      </w:pPr>
      <w:bookmarkStart w:id="303" w:name="_Toc287723019"/>
      <w:bookmarkStart w:id="304" w:name="_Toc735400992"/>
      <w:bookmarkStart w:id="305" w:name="_Toc913183121"/>
      <w:bookmarkStart w:id="306" w:name="_Toc1758762983"/>
      <w:bookmarkStart w:id="307" w:name="_Toc2092498806"/>
      <w:bookmarkStart w:id="308" w:name="_Toc1864233906"/>
      <w:bookmarkStart w:id="309" w:name="_Toc294199844"/>
      <w:bookmarkStart w:id="310" w:name="_Toc1069788747"/>
      <w:bookmarkStart w:id="311" w:name="_Toc1675919734"/>
      <w:bookmarkStart w:id="312" w:name="_Toc317513544"/>
      <w:bookmarkStart w:id="313" w:name="_Toc422127827"/>
      <w:bookmarkStart w:id="314" w:name="_Toc114128567"/>
      <w:bookmarkStart w:id="315" w:name="_Toc226878895"/>
      <w:bookmarkStart w:id="316" w:name="_Toc603537639"/>
      <w:bookmarkStart w:id="317" w:name="_Toc1027510506"/>
      <w:bookmarkStart w:id="318" w:name="_Toc358405670"/>
      <w:bookmarkStart w:id="319" w:name="_Toc973139389"/>
      <w:r>
        <w:rPr>
          <w:rFonts w:hint="eastAsia" w:ascii="宋体" w:hAnsi="宋体" w:eastAsia="宋体" w:cs="宋体"/>
          <w:color w:val="auto"/>
          <w:highlight w:val="none"/>
        </w:rPr>
        <w:t>1.5 费用承担</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14:paraId="6CE97F3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投标人准备和参加投标活动发生的费用自理。</w:t>
      </w:r>
    </w:p>
    <w:p w14:paraId="03341990">
      <w:pPr>
        <w:pStyle w:val="4"/>
        <w:bidi w:val="0"/>
        <w:rPr>
          <w:rFonts w:hint="eastAsia" w:ascii="宋体" w:hAnsi="宋体" w:eastAsia="宋体" w:cs="宋体"/>
          <w:b/>
          <w:bCs/>
          <w:color w:val="auto"/>
          <w:highlight w:val="none"/>
        </w:rPr>
      </w:pPr>
      <w:bookmarkStart w:id="320" w:name="_Toc478626070"/>
      <w:bookmarkStart w:id="321" w:name="_Toc1665175444"/>
      <w:bookmarkStart w:id="322" w:name="_Toc2047855974"/>
      <w:bookmarkStart w:id="323" w:name="_Toc1946311557"/>
      <w:bookmarkStart w:id="324" w:name="_Toc1042002363"/>
      <w:bookmarkStart w:id="325" w:name="_Toc586797512"/>
      <w:bookmarkStart w:id="326" w:name="_Toc1420823156"/>
      <w:bookmarkStart w:id="327" w:name="_Toc1284946877"/>
      <w:bookmarkStart w:id="328" w:name="_Toc69789021"/>
      <w:bookmarkStart w:id="329" w:name="_Toc1220405256"/>
      <w:bookmarkStart w:id="330" w:name="_Toc1337997044"/>
      <w:bookmarkStart w:id="331" w:name="_Toc1913585643"/>
      <w:bookmarkStart w:id="332" w:name="_Toc434810594"/>
      <w:bookmarkStart w:id="333" w:name="_Toc96028681"/>
      <w:bookmarkStart w:id="334" w:name="_Toc851314117"/>
      <w:bookmarkStart w:id="335" w:name="_Toc1835150216"/>
      <w:bookmarkStart w:id="336" w:name="_Toc1948784015"/>
      <w:r>
        <w:rPr>
          <w:rFonts w:hint="eastAsia" w:ascii="宋体" w:hAnsi="宋体" w:eastAsia="宋体" w:cs="宋体"/>
          <w:b/>
          <w:bCs/>
          <w:color w:val="auto"/>
          <w:highlight w:val="none"/>
        </w:rPr>
        <w:t>1.6 保密</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14:paraId="11D369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参与招标投标活动的各方应对招标文件和投标文件中的商业和技术等秘密保密，违者应对由此造成的后果承担法律责任。</w:t>
      </w:r>
    </w:p>
    <w:p w14:paraId="47D4A515">
      <w:pPr>
        <w:pStyle w:val="4"/>
        <w:bidi w:val="0"/>
        <w:rPr>
          <w:rFonts w:hint="eastAsia" w:ascii="宋体" w:hAnsi="宋体" w:eastAsia="宋体" w:cs="宋体"/>
          <w:b/>
          <w:bCs/>
          <w:color w:val="auto"/>
          <w:highlight w:val="none"/>
        </w:rPr>
      </w:pPr>
      <w:bookmarkStart w:id="337" w:name="_Toc1176861014"/>
      <w:bookmarkStart w:id="338" w:name="_Toc1930269489"/>
      <w:bookmarkStart w:id="339" w:name="_Toc769366310"/>
      <w:bookmarkStart w:id="340" w:name="_Toc431650985"/>
      <w:bookmarkStart w:id="341" w:name="_Toc1589118389"/>
      <w:bookmarkStart w:id="342" w:name="_Toc1566633539"/>
      <w:bookmarkStart w:id="343" w:name="_Toc42512759"/>
      <w:bookmarkStart w:id="344" w:name="_Toc1276632489"/>
      <w:bookmarkStart w:id="345" w:name="_Toc736406649"/>
      <w:bookmarkStart w:id="346" w:name="_Toc751273644"/>
      <w:bookmarkStart w:id="347" w:name="_Toc322125183"/>
      <w:bookmarkStart w:id="348" w:name="_Toc424937748"/>
      <w:bookmarkStart w:id="349" w:name="_Toc1704861127"/>
      <w:bookmarkStart w:id="350" w:name="_Toc559747026"/>
      <w:bookmarkStart w:id="351" w:name="_Toc959745534"/>
      <w:bookmarkStart w:id="352" w:name="_Toc2073648976"/>
      <w:bookmarkStart w:id="353" w:name="_Toc1446079061"/>
      <w:r>
        <w:rPr>
          <w:rFonts w:hint="eastAsia" w:ascii="宋体" w:hAnsi="宋体" w:eastAsia="宋体" w:cs="宋体"/>
          <w:b/>
          <w:bCs/>
          <w:color w:val="auto"/>
          <w:highlight w:val="none"/>
        </w:rPr>
        <w:t>1.7 语言文字</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2D93302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除专用术语外，与招标投标有关的语言均使用中文。必要时专用术语应附有中文注释。</w:t>
      </w:r>
    </w:p>
    <w:p w14:paraId="13B7161B">
      <w:pPr>
        <w:pStyle w:val="4"/>
        <w:bidi w:val="0"/>
        <w:rPr>
          <w:rFonts w:hint="eastAsia" w:ascii="宋体" w:hAnsi="宋体" w:eastAsia="宋体" w:cs="宋体"/>
          <w:b/>
          <w:bCs/>
          <w:color w:val="auto"/>
          <w:highlight w:val="none"/>
        </w:rPr>
      </w:pPr>
      <w:bookmarkStart w:id="354" w:name="_Toc2108218893"/>
      <w:bookmarkStart w:id="355" w:name="_Toc124717748"/>
      <w:bookmarkStart w:id="356" w:name="_Toc954301389"/>
      <w:bookmarkStart w:id="357" w:name="_Toc1895783031"/>
      <w:bookmarkStart w:id="358" w:name="_Toc1448502126"/>
      <w:bookmarkStart w:id="359" w:name="_Toc1093942211"/>
      <w:bookmarkStart w:id="360" w:name="_Toc1948525758"/>
      <w:bookmarkStart w:id="361" w:name="_Toc1041404044"/>
      <w:bookmarkStart w:id="362" w:name="_Toc2045846177"/>
      <w:bookmarkStart w:id="363" w:name="_Toc1542347097"/>
      <w:bookmarkStart w:id="364" w:name="_Toc1374400137"/>
      <w:bookmarkStart w:id="365" w:name="_Toc195151088"/>
      <w:bookmarkStart w:id="366" w:name="_Toc545558788"/>
      <w:bookmarkStart w:id="367" w:name="_Toc859283164"/>
      <w:bookmarkStart w:id="368" w:name="_Toc150393084"/>
      <w:bookmarkStart w:id="369" w:name="_Toc1412882288"/>
      <w:bookmarkStart w:id="370" w:name="_Toc229737266"/>
      <w:r>
        <w:rPr>
          <w:rFonts w:hint="eastAsia" w:ascii="宋体" w:hAnsi="宋体" w:eastAsia="宋体" w:cs="宋体"/>
          <w:b/>
          <w:bCs/>
          <w:color w:val="auto"/>
          <w:highlight w:val="none"/>
        </w:rPr>
        <w:t>1.8 计量单位</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02014D3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所有计量均采用中华人民共和国法定计量单位。</w:t>
      </w:r>
    </w:p>
    <w:p w14:paraId="7BBEA29B">
      <w:pPr>
        <w:pStyle w:val="4"/>
        <w:bidi w:val="0"/>
        <w:rPr>
          <w:rFonts w:hint="eastAsia" w:ascii="宋体" w:hAnsi="宋体" w:eastAsia="宋体" w:cs="宋体"/>
          <w:b/>
          <w:bCs/>
          <w:color w:val="auto"/>
          <w:highlight w:val="none"/>
        </w:rPr>
      </w:pPr>
      <w:bookmarkStart w:id="371" w:name="_Toc985175423"/>
      <w:bookmarkStart w:id="372" w:name="_Toc252094410"/>
      <w:bookmarkStart w:id="373" w:name="_Toc47818069"/>
      <w:bookmarkStart w:id="374" w:name="_Toc2097720817"/>
      <w:bookmarkStart w:id="375" w:name="_Toc501786591"/>
      <w:bookmarkStart w:id="376" w:name="_Toc433070076"/>
      <w:bookmarkStart w:id="377" w:name="_Toc439521860"/>
      <w:bookmarkStart w:id="378" w:name="_Toc1462455644"/>
      <w:bookmarkStart w:id="379" w:name="_Toc1146241158"/>
      <w:bookmarkStart w:id="380" w:name="_Toc870285636"/>
      <w:bookmarkStart w:id="381" w:name="_Toc1522735487"/>
      <w:bookmarkStart w:id="382" w:name="_Toc2077791624"/>
      <w:bookmarkStart w:id="383" w:name="_Toc1682716099"/>
      <w:bookmarkStart w:id="384" w:name="_Toc1785478120"/>
      <w:bookmarkStart w:id="385" w:name="_Toc1509458552"/>
      <w:bookmarkStart w:id="386" w:name="_Toc593870923"/>
      <w:bookmarkStart w:id="387" w:name="_Toc630170763"/>
      <w:r>
        <w:rPr>
          <w:rFonts w:hint="eastAsia" w:ascii="宋体" w:hAnsi="宋体" w:eastAsia="宋体" w:cs="宋体"/>
          <w:b/>
          <w:bCs/>
          <w:color w:val="auto"/>
          <w:highlight w:val="none"/>
        </w:rPr>
        <w:t>1.9 踏勘现场</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14:paraId="1378C36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1.9.1 投标人须知前附表规定组织踏勘现场的，招标人按投标人须知前附表规定的时间、地点组织投标人踏勘项目现场。</w:t>
      </w:r>
    </w:p>
    <w:p w14:paraId="63C473E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1.9.2 投标人踏勘现场发生的费用自理。</w:t>
      </w:r>
    </w:p>
    <w:p w14:paraId="3BC550C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1.9.3 除招标人的原因外，投标人自行负责在踏勘现场中所发生的人员伤亡和财产损失。</w:t>
      </w:r>
    </w:p>
    <w:p w14:paraId="2A58932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1.9.4 招标人在踏勘现场中介绍的工程场地和相关的周边环境情况，供投标人在编制投标文件时参考，招标人不对投标人据此作出的判断和决策负责。</w:t>
      </w:r>
    </w:p>
    <w:p w14:paraId="229464C6">
      <w:pPr>
        <w:pStyle w:val="4"/>
        <w:bidi w:val="0"/>
        <w:rPr>
          <w:rFonts w:hint="eastAsia" w:ascii="宋体" w:hAnsi="宋体" w:eastAsia="宋体" w:cs="宋体"/>
          <w:b/>
          <w:bCs/>
          <w:color w:val="auto"/>
          <w:highlight w:val="none"/>
        </w:rPr>
      </w:pPr>
      <w:bookmarkStart w:id="388" w:name="_Toc1268303783"/>
      <w:bookmarkStart w:id="389" w:name="_Toc655862750"/>
      <w:bookmarkStart w:id="390" w:name="_Toc1153978610"/>
      <w:bookmarkStart w:id="391" w:name="_Toc740935167"/>
      <w:bookmarkStart w:id="392" w:name="_Toc297505261"/>
      <w:bookmarkStart w:id="393" w:name="_Toc185233106"/>
      <w:bookmarkStart w:id="394" w:name="_Toc1026259535"/>
      <w:bookmarkStart w:id="395" w:name="_Toc1394146558"/>
      <w:bookmarkStart w:id="396" w:name="_Toc1613387952"/>
      <w:bookmarkStart w:id="397" w:name="_Toc35276668"/>
      <w:bookmarkStart w:id="398" w:name="_Toc1019334698"/>
      <w:bookmarkStart w:id="399" w:name="_Toc1593162398"/>
      <w:bookmarkStart w:id="400" w:name="_Toc1296499707"/>
      <w:bookmarkStart w:id="401" w:name="_Toc687769198"/>
      <w:bookmarkStart w:id="402" w:name="_Toc153076130"/>
      <w:bookmarkStart w:id="403" w:name="_Toc1689600388"/>
      <w:bookmarkStart w:id="404" w:name="_Toc304141255"/>
      <w:r>
        <w:rPr>
          <w:rFonts w:hint="eastAsia" w:ascii="宋体" w:hAnsi="宋体" w:eastAsia="宋体" w:cs="宋体"/>
          <w:b/>
          <w:bCs/>
          <w:color w:val="auto"/>
          <w:highlight w:val="none"/>
        </w:rPr>
        <w:t>1.10 招标答疑</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14:paraId="23BC4274">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1.10.1</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潜在投标人向招标人（或招标代理机构）提交有关问题的，可按投标人须知前附表规定的时间内在广东省公共资源交易平台（交易系统），</w:t>
      </w:r>
      <w:r>
        <w:rPr>
          <w:rFonts w:hint="eastAsia"/>
          <w:color w:val="auto"/>
          <w:highlight w:val="none"/>
        </w:rPr>
        <w:t>凭数字证书</w:t>
      </w:r>
      <w:r>
        <w:rPr>
          <w:rFonts w:hint="eastAsia"/>
          <w:color w:val="auto"/>
          <w:highlight w:val="none"/>
          <w:lang w:eastAsia="zh-CN"/>
        </w:rPr>
        <w:t>登录</w:t>
      </w:r>
      <w:r>
        <w:rPr>
          <w:rFonts w:hint="eastAsia" w:ascii="宋体" w:hAnsi="宋体"/>
          <w:color w:val="auto"/>
          <w:szCs w:val="21"/>
          <w:highlight w:val="none"/>
          <w:lang w:eastAsia="zh-CN"/>
        </w:rPr>
        <w:t>工程建设交易系统</w:t>
      </w:r>
      <w:r>
        <w:rPr>
          <w:rFonts w:hint="eastAsia"/>
          <w:color w:val="auto"/>
          <w:highlight w:val="none"/>
        </w:rPr>
        <w:t>，在“投标管理--参与项目”栏目页面，选择参与的项目名称，点击“</w:t>
      </w:r>
      <w:r>
        <w:rPr>
          <w:rFonts w:hint="eastAsia"/>
          <w:color w:val="auto"/>
          <w:highlight w:val="none"/>
          <w:lang w:eastAsia="zh-CN"/>
        </w:rPr>
        <w:t>我要提疑</w:t>
      </w:r>
      <w:r>
        <w:rPr>
          <w:rFonts w:hint="eastAsia"/>
          <w:color w:val="auto"/>
          <w:highlight w:val="none"/>
        </w:rPr>
        <w:t>”提出问题，保存后即可提交</w:t>
      </w:r>
      <w:r>
        <w:rPr>
          <w:rFonts w:hint="eastAsia" w:ascii="宋体" w:hAnsi="宋体"/>
          <w:color w:val="auto"/>
          <w:szCs w:val="21"/>
          <w:highlight w:val="none"/>
        </w:rPr>
        <w:t>。且所提交的资料以无记名形式提交，不得有任何可识别投标人单位及人员的标识。</w:t>
      </w:r>
    </w:p>
    <w:p w14:paraId="1A4FD7A4">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1.10.2</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招标人（招标代理）收集相关问题，组织有关单位人员答复并形成答疑纪要（补遗书），按投标人须知前附表规定的时间在</w:t>
      </w:r>
      <w:r>
        <w:rPr>
          <w:rFonts w:hint="eastAsia"/>
          <w:b w:val="0"/>
          <w:bCs w:val="0"/>
          <w:color w:val="auto"/>
        </w:rPr>
        <w:t>广东省公共资源交易平台（中山市）“招标公告及资格预审”</w:t>
      </w:r>
      <w:r>
        <w:rPr>
          <w:rFonts w:hint="eastAsia" w:ascii="宋体" w:hAnsi="宋体"/>
          <w:color w:val="auto"/>
          <w:szCs w:val="21"/>
          <w:highlight w:val="none"/>
        </w:rPr>
        <w:t>栏</w:t>
      </w:r>
      <w:r>
        <w:rPr>
          <w:rFonts w:hint="eastAsia" w:ascii="宋体" w:hAnsi="宋体"/>
          <w:color w:val="auto"/>
          <w:szCs w:val="21"/>
          <w:highlight w:val="none"/>
          <w:lang w:eastAsia="zh-CN"/>
        </w:rPr>
        <w:t>目</w:t>
      </w:r>
      <w:r>
        <w:rPr>
          <w:rFonts w:hint="eastAsia" w:ascii="宋体" w:hAnsi="宋体"/>
          <w:color w:val="auto"/>
          <w:szCs w:val="21"/>
          <w:highlight w:val="none"/>
        </w:rPr>
        <w:t>发布答疑纪要（补遗书）。</w:t>
      </w:r>
      <w:r>
        <w:rPr>
          <w:rFonts w:hint="eastAsia"/>
          <w:color w:val="auto"/>
          <w:highlight w:val="none"/>
        </w:rPr>
        <w:t>发出答疑纪要（补遗书）的同时，招标人（招标代理）应把答疑纪要（补遗书）的扫描件上传</w:t>
      </w:r>
      <w:r>
        <w:rPr>
          <w:rFonts w:hint="eastAsia"/>
          <w:color w:val="auto"/>
          <w:highlight w:val="none"/>
          <w:lang w:val="en-US" w:eastAsia="zh-CN"/>
        </w:rPr>
        <w:t>工程建设交易系统</w:t>
      </w:r>
      <w:r>
        <w:rPr>
          <w:rFonts w:hint="eastAsia"/>
          <w:color w:val="auto"/>
          <w:highlight w:val="none"/>
        </w:rPr>
        <w:t>。</w:t>
      </w:r>
      <w:r>
        <w:rPr>
          <w:rFonts w:hint="eastAsia" w:ascii="宋体" w:hAnsi="宋体"/>
          <w:color w:val="auto"/>
          <w:szCs w:val="21"/>
          <w:highlight w:val="none"/>
        </w:rPr>
        <w:t>对投标人编制标书时间造成影响的答疑纪要或补遗书，招标人需于投标截止前15日向投标人发出。</w:t>
      </w:r>
    </w:p>
    <w:p w14:paraId="53C8A3F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各</w:t>
      </w:r>
      <w:r>
        <w:rPr>
          <w:rFonts w:hint="eastAsia"/>
          <w:color w:val="auto"/>
          <w:highlight w:val="none"/>
        </w:rPr>
        <w:t>潜在投标人自行在</w:t>
      </w:r>
      <w:r>
        <w:rPr>
          <w:rFonts w:hint="eastAsia"/>
          <w:b w:val="0"/>
          <w:bCs w:val="0"/>
          <w:color w:val="auto"/>
        </w:rPr>
        <w:t>广东省公共资源交易平台（中山市）“招标公告及资格预审”</w:t>
      </w:r>
      <w:r>
        <w:rPr>
          <w:rFonts w:hint="eastAsia"/>
          <w:color w:val="auto"/>
          <w:highlight w:val="none"/>
          <w:lang w:eastAsia="zh-CN"/>
        </w:rPr>
        <w:t>栏目或工程建设交易系统</w:t>
      </w:r>
      <w:r>
        <w:rPr>
          <w:rFonts w:hint="eastAsia"/>
          <w:color w:val="auto"/>
          <w:highlight w:val="none"/>
        </w:rPr>
        <w:t>下载答疑纪要（补遗书），招标人不再另行通知。投标人因自身原因未能获取答疑资料造成的后果，由投标人自行承担。</w:t>
      </w:r>
    </w:p>
    <w:p w14:paraId="3D0CCF69">
      <w:pPr>
        <w:pStyle w:val="4"/>
        <w:bidi w:val="0"/>
        <w:rPr>
          <w:rFonts w:hint="eastAsia" w:ascii="宋体" w:hAnsi="宋体" w:eastAsia="宋体" w:cs="宋体"/>
          <w:b/>
          <w:bCs/>
          <w:color w:val="auto"/>
          <w:highlight w:val="none"/>
        </w:rPr>
      </w:pPr>
      <w:bookmarkStart w:id="405" w:name="_Toc1619555134"/>
      <w:bookmarkStart w:id="406" w:name="_Toc1031559710"/>
      <w:bookmarkStart w:id="407" w:name="_Toc272008717"/>
      <w:bookmarkStart w:id="408" w:name="_Toc1779579142"/>
      <w:bookmarkStart w:id="409" w:name="_Toc659610957"/>
      <w:bookmarkStart w:id="410" w:name="_Toc17868847"/>
      <w:bookmarkStart w:id="411" w:name="_Toc76384836"/>
      <w:bookmarkStart w:id="412" w:name="_Toc1608915848"/>
      <w:bookmarkStart w:id="413" w:name="_Toc2025364572"/>
      <w:bookmarkStart w:id="414" w:name="_Toc1706011185"/>
      <w:bookmarkStart w:id="415" w:name="_Toc889114501"/>
      <w:bookmarkStart w:id="416" w:name="_Toc674348453"/>
      <w:bookmarkStart w:id="417" w:name="_Toc793294090"/>
      <w:bookmarkStart w:id="418" w:name="_Toc1089423082"/>
      <w:bookmarkStart w:id="419" w:name="_Toc265964751"/>
      <w:bookmarkStart w:id="420" w:name="_Toc1161474270"/>
      <w:bookmarkStart w:id="421" w:name="_Toc541207238"/>
      <w:r>
        <w:rPr>
          <w:rFonts w:hint="eastAsia" w:ascii="宋体" w:hAnsi="宋体" w:eastAsia="宋体" w:cs="宋体"/>
          <w:b/>
          <w:bCs/>
          <w:color w:val="auto"/>
          <w:highlight w:val="none"/>
        </w:rPr>
        <w:t>1.11 分包</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33DC0E16">
      <w:pPr>
        <w:spacing w:line="360" w:lineRule="auto"/>
        <w:ind w:firstLine="420" w:firstLineChars="200"/>
        <w:rPr>
          <w:rFonts w:hint="default" w:ascii="宋体" w:hAnsi="宋体" w:eastAsia="宋体" w:cs="宋体"/>
          <w:b w:val="0"/>
          <w:bCs w:val="0"/>
          <w:color w:val="auto"/>
          <w:szCs w:val="21"/>
          <w:highlight w:val="none"/>
        </w:rPr>
      </w:pPr>
      <w:r>
        <w:rPr>
          <w:rFonts w:hint="default" w:ascii="宋体" w:hAnsi="宋体" w:eastAsia="宋体" w:cs="宋体"/>
          <w:b w:val="0"/>
          <w:bCs w:val="0"/>
          <w:color w:val="auto"/>
          <w:szCs w:val="21"/>
          <w:highlight w:val="none"/>
        </w:rPr>
        <w:t>1.11.1 投标人拟在中标后将中标项目的非主体、非关键性工作进行分包的，应符合投标人须知前附表规定的分包内容和分包资质要求等限制性条件，除投标人须知前附表规定的经招标人同意可分包的非主体、非关键性工作外，其他工作不得分包。</w:t>
      </w:r>
    </w:p>
    <w:p w14:paraId="671597F1">
      <w:pPr>
        <w:spacing w:line="360" w:lineRule="auto"/>
        <w:ind w:firstLine="420" w:firstLineChars="200"/>
        <w:rPr>
          <w:rFonts w:hint="default" w:ascii="宋体" w:hAnsi="宋体" w:eastAsia="宋体" w:cs="宋体"/>
          <w:b w:val="0"/>
          <w:bCs w:val="0"/>
          <w:color w:val="auto"/>
          <w:szCs w:val="21"/>
          <w:highlight w:val="none"/>
        </w:rPr>
      </w:pPr>
      <w:r>
        <w:rPr>
          <w:rFonts w:hint="default" w:ascii="宋体" w:hAnsi="宋体" w:eastAsia="宋体" w:cs="宋体"/>
          <w:b w:val="0"/>
          <w:bCs w:val="0"/>
          <w:color w:val="auto"/>
          <w:szCs w:val="21"/>
          <w:highlight w:val="none"/>
        </w:rPr>
        <w:t>1.11.2 中标人不得向他人转让中标项目，接受分包的人不得再次分包。中标人应当就分包项目向招标人负责，接受分包的人就分包项目承担连带责任。</w:t>
      </w:r>
    </w:p>
    <w:p w14:paraId="75A4D0C8">
      <w:pPr>
        <w:pStyle w:val="4"/>
        <w:bidi w:val="0"/>
        <w:rPr>
          <w:rFonts w:hint="eastAsia" w:ascii="宋体" w:hAnsi="宋体" w:eastAsia="宋体" w:cs="宋体"/>
          <w:b/>
          <w:bCs/>
          <w:color w:val="auto"/>
          <w:highlight w:val="none"/>
        </w:rPr>
      </w:pPr>
      <w:bookmarkStart w:id="422" w:name="_Toc1535878884"/>
      <w:bookmarkStart w:id="423" w:name="_Toc1376529949"/>
      <w:bookmarkStart w:id="424" w:name="_Toc1490022254"/>
      <w:bookmarkStart w:id="425" w:name="_Toc1622445568"/>
      <w:bookmarkStart w:id="426" w:name="_Toc2031001626"/>
      <w:bookmarkStart w:id="427" w:name="_Toc1791496600"/>
      <w:bookmarkStart w:id="428" w:name="_Toc1082136590"/>
      <w:bookmarkStart w:id="429" w:name="_Toc947421469"/>
      <w:bookmarkStart w:id="430" w:name="_Toc417955169"/>
      <w:bookmarkStart w:id="431" w:name="_Toc1295268103"/>
      <w:bookmarkStart w:id="432" w:name="_Toc968646966"/>
      <w:bookmarkStart w:id="433" w:name="_Toc936087968"/>
      <w:bookmarkStart w:id="434" w:name="_Toc1863611008"/>
      <w:bookmarkStart w:id="435" w:name="_Toc173704070"/>
      <w:bookmarkStart w:id="436" w:name="_Toc847285129"/>
      <w:bookmarkStart w:id="437" w:name="_Toc788437970"/>
      <w:bookmarkStart w:id="438" w:name="_Toc563167827"/>
      <w:r>
        <w:rPr>
          <w:rFonts w:hint="eastAsia" w:ascii="宋体" w:hAnsi="宋体" w:eastAsia="宋体" w:cs="宋体"/>
          <w:b/>
          <w:bCs/>
          <w:color w:val="auto"/>
          <w:highlight w:val="none"/>
        </w:rPr>
        <w:t>1.12 偏离</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704C8BB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w:t>
      </w:r>
      <w:r>
        <w:rPr>
          <w:rFonts w:hint="eastAsia" w:ascii="宋体" w:hAnsi="宋体" w:eastAsia="宋体" w:cs="宋体"/>
          <w:color w:val="auto"/>
          <w:szCs w:val="21"/>
          <w:highlight w:val="none"/>
          <w:lang w:eastAsia="zh-CN"/>
        </w:rPr>
        <w:t>项目</w:t>
      </w:r>
      <w:r>
        <w:rPr>
          <w:rFonts w:hint="eastAsia" w:ascii="宋体" w:hAnsi="宋体" w:eastAsia="宋体" w:cs="宋体"/>
          <w:color w:val="auto"/>
          <w:szCs w:val="21"/>
          <w:highlight w:val="none"/>
        </w:rPr>
        <w:t>不允许投标人的投标文件对招标文件的要求有负偏离。</w:t>
      </w:r>
    </w:p>
    <w:p w14:paraId="6AE09C17">
      <w:pPr>
        <w:pStyle w:val="3"/>
        <w:bidi w:val="0"/>
        <w:rPr>
          <w:rFonts w:hint="eastAsia" w:ascii="宋体" w:hAnsi="宋体" w:eastAsia="宋体" w:cs="宋体"/>
          <w:color w:val="auto"/>
          <w:highlight w:val="none"/>
        </w:rPr>
      </w:pPr>
      <w:bookmarkStart w:id="439" w:name="_Toc831658072"/>
      <w:bookmarkStart w:id="440" w:name="_Toc24059"/>
      <w:bookmarkStart w:id="441" w:name="_Toc535394701"/>
      <w:bookmarkStart w:id="442" w:name="_Toc40265277"/>
      <w:bookmarkStart w:id="443" w:name="_Toc756553632"/>
      <w:bookmarkStart w:id="444" w:name="_Toc249810463"/>
      <w:bookmarkStart w:id="445" w:name="_Toc14243"/>
      <w:bookmarkStart w:id="446" w:name="_Toc1131919407"/>
      <w:bookmarkStart w:id="447" w:name="_Toc1993650263"/>
      <w:bookmarkStart w:id="448" w:name="_Toc1669931348"/>
      <w:bookmarkStart w:id="449" w:name="_Toc96440365"/>
      <w:bookmarkStart w:id="450" w:name="_Toc2134210963"/>
      <w:bookmarkStart w:id="451" w:name="_Toc957338584"/>
      <w:bookmarkStart w:id="452" w:name="_Toc21167"/>
      <w:bookmarkStart w:id="453" w:name="_Toc633013798"/>
      <w:bookmarkStart w:id="454" w:name="_Toc13268"/>
      <w:bookmarkStart w:id="455" w:name="_Toc887171390"/>
      <w:bookmarkStart w:id="456" w:name="_Toc29306"/>
      <w:bookmarkStart w:id="457" w:name="_Toc535407269"/>
      <w:bookmarkStart w:id="458" w:name="_Toc933847396"/>
      <w:bookmarkStart w:id="459" w:name="_Toc319200384"/>
      <w:bookmarkStart w:id="460" w:name="_Toc593134671"/>
      <w:bookmarkStart w:id="461" w:name="_Toc1048527448"/>
      <w:bookmarkStart w:id="462" w:name="_Toc1857771233"/>
      <w:bookmarkStart w:id="463" w:name="_Toc397583805"/>
      <w:bookmarkStart w:id="464" w:name="_Toc1778593627"/>
      <w:bookmarkStart w:id="465" w:name="_Toc735605609"/>
      <w:bookmarkStart w:id="466" w:name="_Toc1096458021"/>
      <w:bookmarkStart w:id="467" w:name="_Toc1172213035"/>
      <w:bookmarkStart w:id="468" w:name="_Toc2591733"/>
      <w:bookmarkStart w:id="469" w:name="_Toc373610060"/>
      <w:bookmarkStart w:id="470" w:name="_Toc605883160"/>
      <w:bookmarkStart w:id="471" w:name="_Toc1161312397"/>
      <w:bookmarkStart w:id="472" w:name="_Toc2058124048"/>
      <w:bookmarkStart w:id="473" w:name="_Toc1392257598"/>
      <w:bookmarkStart w:id="474" w:name="_Toc991581482"/>
      <w:bookmarkStart w:id="475" w:name="_Toc1635799831"/>
      <w:bookmarkStart w:id="476" w:name="_Toc30817"/>
      <w:bookmarkStart w:id="477" w:name="_Toc1127728576"/>
      <w:bookmarkStart w:id="478" w:name="_Toc1103512303"/>
      <w:bookmarkStart w:id="479" w:name="_Toc80037675"/>
      <w:bookmarkStart w:id="480" w:name="_Toc23151"/>
      <w:r>
        <w:rPr>
          <w:rFonts w:hint="eastAsia" w:ascii="宋体" w:hAnsi="宋体" w:cs="宋体"/>
          <w:color w:val="auto"/>
          <w:highlight w:val="none"/>
          <w:lang w:val="en-US" w:eastAsia="zh-CN"/>
        </w:rPr>
        <w:t xml:space="preserve">2. </w:t>
      </w:r>
      <w:r>
        <w:rPr>
          <w:rFonts w:hint="eastAsia" w:ascii="宋体" w:hAnsi="宋体" w:eastAsia="宋体" w:cs="宋体"/>
          <w:color w:val="auto"/>
          <w:highlight w:val="none"/>
        </w:rPr>
        <w:t>招标文件</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14:paraId="1EA88973">
      <w:pPr>
        <w:pStyle w:val="4"/>
        <w:rPr>
          <w:rFonts w:hint="eastAsia" w:ascii="宋体" w:hAnsi="宋体" w:eastAsia="宋体" w:cs="宋体"/>
          <w:color w:val="auto"/>
          <w:highlight w:val="none"/>
        </w:rPr>
      </w:pPr>
      <w:bookmarkStart w:id="481" w:name="_Toc1993738955"/>
      <w:bookmarkStart w:id="482" w:name="_Toc1198878139"/>
      <w:bookmarkStart w:id="483" w:name="_Toc1837070569"/>
      <w:bookmarkStart w:id="484" w:name="_Toc2070166338"/>
      <w:bookmarkStart w:id="485" w:name="_Toc1786376365"/>
      <w:bookmarkStart w:id="486" w:name="_Toc1054863273"/>
      <w:bookmarkStart w:id="487" w:name="_Toc1459476199"/>
      <w:bookmarkStart w:id="488" w:name="_Toc588352415"/>
      <w:bookmarkStart w:id="489" w:name="_Toc2129928643"/>
      <w:bookmarkStart w:id="490" w:name="_Toc661125341"/>
      <w:bookmarkStart w:id="491" w:name="_Toc728784465"/>
      <w:bookmarkStart w:id="492" w:name="_Toc1595059608"/>
      <w:bookmarkStart w:id="493" w:name="_Toc487627050"/>
      <w:bookmarkStart w:id="494" w:name="_Toc1005273184"/>
      <w:bookmarkStart w:id="495" w:name="_Toc401478671"/>
      <w:bookmarkStart w:id="496" w:name="_Toc2038179636"/>
      <w:r>
        <w:rPr>
          <w:rFonts w:hint="eastAsia" w:ascii="宋体" w:hAnsi="宋体" w:eastAsia="宋体" w:cs="宋体"/>
          <w:color w:val="auto"/>
          <w:highlight w:val="none"/>
        </w:rPr>
        <w:t>2.1 招标文件的组成</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14:paraId="44AA5C22">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本招标文件包括：</w:t>
      </w:r>
    </w:p>
    <w:p w14:paraId="328FC267">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招标公告</w:t>
      </w:r>
      <w:r>
        <w:rPr>
          <w:rFonts w:hint="eastAsia" w:ascii="宋体" w:hAnsi="宋体" w:eastAsia="宋体" w:cs="宋体"/>
          <w:color w:val="auto"/>
          <w:szCs w:val="21"/>
          <w:highlight w:val="none"/>
          <w:lang w:eastAsia="zh-CN"/>
        </w:rPr>
        <w:t>；</w:t>
      </w:r>
    </w:p>
    <w:p w14:paraId="64005766">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投标人须知；</w:t>
      </w:r>
    </w:p>
    <w:p w14:paraId="020E17D9">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评标办法</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定标规则</w:t>
      </w:r>
      <w:r>
        <w:rPr>
          <w:rFonts w:hint="eastAsia" w:ascii="宋体" w:hAnsi="宋体" w:eastAsia="宋体" w:cs="宋体"/>
          <w:color w:val="auto"/>
          <w:szCs w:val="21"/>
          <w:highlight w:val="none"/>
        </w:rPr>
        <w:t>；</w:t>
      </w:r>
    </w:p>
    <w:p w14:paraId="3492EE77">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合同条款及格式；</w:t>
      </w:r>
    </w:p>
    <w:p w14:paraId="05AC6C4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工程量清单（另附）</w:t>
      </w:r>
    </w:p>
    <w:p w14:paraId="1E5D16B9">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按第五章“工程量清单及工程量清单计价”的有关要求编制的工程量清单及</w:t>
      </w:r>
      <w:r>
        <w:rPr>
          <w:rFonts w:hint="eastAsia" w:ascii="宋体" w:hAnsi="宋体" w:cs="宋体"/>
          <w:color w:val="auto"/>
          <w:szCs w:val="21"/>
          <w:highlight w:val="none"/>
          <w:lang w:eastAsia="zh-CN"/>
        </w:rPr>
        <w:t>最高投标限价</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含</w:t>
      </w:r>
      <w:r>
        <w:rPr>
          <w:rFonts w:hint="eastAsia" w:ascii="宋体" w:hAnsi="宋体" w:eastAsia="宋体" w:cs="宋体"/>
          <w:color w:val="auto"/>
          <w:szCs w:val="21"/>
          <w:highlight w:val="none"/>
        </w:rPr>
        <w:t>最高投标限价、最高投标限价</w:t>
      </w:r>
      <w:r>
        <w:rPr>
          <w:rFonts w:hint="eastAsia" w:ascii="宋体" w:hAnsi="宋体" w:eastAsia="宋体" w:cs="宋体"/>
          <w:color w:val="auto"/>
          <w:szCs w:val="32"/>
          <w:highlight w:val="none"/>
        </w:rPr>
        <w:t>中的分部分项工程</w:t>
      </w:r>
      <w:r>
        <w:rPr>
          <w:rFonts w:hint="eastAsia" w:ascii="宋体" w:hAnsi="宋体" w:cs="宋体"/>
          <w:color w:val="auto"/>
          <w:szCs w:val="32"/>
          <w:highlight w:val="none"/>
          <w:lang w:eastAsia="zh-CN"/>
        </w:rPr>
        <w:t>项目</w:t>
      </w:r>
      <w:r>
        <w:rPr>
          <w:rFonts w:hint="eastAsia" w:ascii="宋体" w:hAnsi="宋体" w:eastAsia="宋体" w:cs="宋体"/>
          <w:color w:val="auto"/>
          <w:szCs w:val="32"/>
          <w:highlight w:val="none"/>
        </w:rPr>
        <w:t>清单计价合计、措施项目清单计价合计、</w:t>
      </w:r>
      <w:r>
        <w:rPr>
          <w:rFonts w:hint="eastAsia" w:ascii="宋体" w:hAnsi="宋体" w:cs="宋体"/>
          <w:color w:val="auto"/>
          <w:szCs w:val="32"/>
          <w:highlight w:val="none"/>
          <w:lang w:eastAsia="zh-CN"/>
        </w:rPr>
        <w:t>安全生产措施费、</w:t>
      </w:r>
      <w:r>
        <w:rPr>
          <w:rFonts w:hint="eastAsia" w:ascii="宋体" w:hAnsi="宋体" w:eastAsia="宋体" w:cs="宋体"/>
          <w:color w:val="auto"/>
          <w:szCs w:val="32"/>
          <w:highlight w:val="none"/>
        </w:rPr>
        <w:t>其他项目清单计价合计、</w:t>
      </w:r>
      <w:r>
        <w:rPr>
          <w:rFonts w:hint="eastAsia" w:ascii="宋体" w:hAnsi="宋体" w:cs="宋体"/>
          <w:color w:val="auto"/>
          <w:szCs w:val="32"/>
          <w:highlight w:val="none"/>
          <w:lang w:eastAsia="zh-CN"/>
        </w:rPr>
        <w:t>暂列金额（如有）、含税专业工程暂估价（如有）、增值税</w:t>
      </w:r>
      <w:r>
        <w:rPr>
          <w:rFonts w:hint="eastAsia" w:ascii="宋体" w:hAnsi="宋体" w:eastAsia="宋体" w:cs="宋体"/>
          <w:color w:val="auto"/>
          <w:szCs w:val="32"/>
          <w:highlight w:val="none"/>
        </w:rPr>
        <w:t>合计</w:t>
      </w:r>
      <w:r>
        <w:rPr>
          <w:rFonts w:hint="eastAsia" w:ascii="仿宋_GB2312" w:hAnsi="宋体"/>
          <w:color w:val="auto"/>
          <w:szCs w:val="32"/>
          <w:highlight w:val="none"/>
          <w:lang w:eastAsia="zh-CN"/>
        </w:rPr>
        <w:t>、材料暂估价明细（如有）等</w:t>
      </w:r>
      <w:r>
        <w:rPr>
          <w:rFonts w:hint="eastAsia" w:ascii="宋体" w:hAnsi="宋体" w:eastAsia="宋体" w:cs="宋体"/>
          <w:color w:val="auto"/>
          <w:szCs w:val="21"/>
          <w:highlight w:val="none"/>
        </w:rPr>
        <w:t>）；</w:t>
      </w:r>
    </w:p>
    <w:p w14:paraId="57869D98">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图纸（另附）；</w:t>
      </w:r>
    </w:p>
    <w:p w14:paraId="158DD05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技术标准和要求；</w:t>
      </w:r>
    </w:p>
    <w:p w14:paraId="18D3D2D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投标文件格式；</w:t>
      </w:r>
    </w:p>
    <w:p w14:paraId="029CD00A">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9</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rPr>
        <w:t>招标人对招标文件范本条款的修改</w:t>
      </w:r>
      <w:r>
        <w:rPr>
          <w:rFonts w:hint="eastAsia" w:ascii="宋体" w:hAnsi="宋体" w:eastAsia="宋体" w:cs="宋体"/>
          <w:b w:val="0"/>
          <w:bCs w:val="0"/>
          <w:color w:val="auto"/>
          <w:szCs w:val="21"/>
          <w:highlight w:val="none"/>
          <w:lang w:val="en-US" w:eastAsia="zh-CN"/>
        </w:rPr>
        <w:t>。</w:t>
      </w:r>
    </w:p>
    <w:p w14:paraId="778CD94C">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根据本章第1.10款、第2.2款和第2.3款对招标文件所作的澄清、修改，构成招标文件的组成部</w:t>
      </w:r>
      <w:r>
        <w:rPr>
          <w:rFonts w:hint="eastAsia" w:ascii="宋体" w:hAnsi="宋体" w:eastAsia="宋体" w:cs="宋体"/>
          <w:color w:val="auto"/>
          <w:szCs w:val="21"/>
          <w:highlight w:val="none"/>
          <w:lang w:val="en-US" w:eastAsia="zh-CN"/>
        </w:rPr>
        <w:t>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当招标文件、招标文件的澄清或修改等在同一内容的表述上不一致时，以最后发出的书面文件为准。</w:t>
      </w:r>
    </w:p>
    <w:p w14:paraId="3DEAA584">
      <w:pPr>
        <w:pStyle w:val="4"/>
        <w:bidi w:val="0"/>
        <w:rPr>
          <w:rFonts w:hint="eastAsia" w:ascii="宋体" w:hAnsi="宋体" w:eastAsia="宋体" w:cs="宋体"/>
          <w:color w:val="auto"/>
          <w:highlight w:val="none"/>
        </w:rPr>
      </w:pPr>
      <w:bookmarkStart w:id="497" w:name="_Toc813164679"/>
      <w:bookmarkStart w:id="498" w:name="_Toc955182665"/>
      <w:bookmarkStart w:id="499" w:name="_Toc2016664990"/>
      <w:bookmarkStart w:id="500" w:name="_Toc1319359301"/>
      <w:bookmarkStart w:id="501" w:name="_Toc903171053"/>
      <w:bookmarkStart w:id="502" w:name="_Toc1672373726"/>
      <w:bookmarkStart w:id="503" w:name="_Toc1348617105"/>
      <w:bookmarkStart w:id="504" w:name="_Toc1292674500"/>
      <w:bookmarkStart w:id="505" w:name="_Toc107170471"/>
      <w:bookmarkStart w:id="506" w:name="_Toc141209939"/>
      <w:bookmarkStart w:id="507" w:name="_Toc919725044"/>
      <w:bookmarkStart w:id="508" w:name="_Toc930779359"/>
      <w:bookmarkStart w:id="509" w:name="_Toc1633980970"/>
      <w:bookmarkStart w:id="510" w:name="_Toc175718226"/>
      <w:bookmarkStart w:id="511" w:name="_Toc21733198"/>
      <w:bookmarkStart w:id="512" w:name="_Toc2131974786"/>
      <w:bookmarkStart w:id="513" w:name="_Toc628691870"/>
      <w:r>
        <w:rPr>
          <w:rFonts w:hint="eastAsia" w:ascii="宋体" w:hAnsi="宋体" w:eastAsia="宋体" w:cs="宋体"/>
          <w:color w:val="auto"/>
          <w:highlight w:val="none"/>
        </w:rPr>
        <w:t>2.2 招标文件的澄清</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40B60B4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2.2.1 投标人应仔细阅读和检查招标文件的全部内容。如发现缺页或附件不全，应及时向招标人提出，以便补齐。如有疑问，应在投标人须知前附表规定的时间前以网络形式，要求招标人对招标文件予以澄清。</w:t>
      </w:r>
    </w:p>
    <w:p w14:paraId="323356C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2.2.2 招标文件的澄清</w:t>
      </w:r>
      <w:r>
        <w:rPr>
          <w:rFonts w:hint="eastAsia"/>
          <w:color w:val="auto"/>
          <w:highlight w:val="none"/>
        </w:rPr>
        <w:t>内容可能影响投标文件编制的，</w:t>
      </w:r>
      <w:r>
        <w:rPr>
          <w:rFonts w:hint="eastAsia" w:ascii="宋体" w:hAnsi="宋体"/>
          <w:color w:val="auto"/>
          <w:szCs w:val="21"/>
          <w:highlight w:val="none"/>
        </w:rPr>
        <w:t>将在投标人须知前附表规定的投标截止时间15天前在广东省公共资源交易平台（中山市）发布给所有投标人，但不指明澄清问题的来源。如果澄清发出的时间距投标截</w:t>
      </w:r>
      <w:r>
        <w:rPr>
          <w:rFonts w:hint="eastAsia" w:ascii="宋体" w:hAnsi="宋体"/>
          <w:color w:val="auto"/>
          <w:szCs w:val="21"/>
          <w:highlight w:val="none"/>
          <w:lang w:eastAsia="zh-CN"/>
        </w:rPr>
        <w:t>止</w:t>
      </w:r>
      <w:r>
        <w:rPr>
          <w:rFonts w:hint="eastAsia" w:ascii="宋体" w:hAnsi="宋体"/>
          <w:color w:val="auto"/>
          <w:szCs w:val="21"/>
          <w:highlight w:val="none"/>
        </w:rPr>
        <w:t>时间不足15天，相应延长投标截止时间。</w:t>
      </w:r>
    </w:p>
    <w:p w14:paraId="3546AD41">
      <w:pPr>
        <w:spacing w:line="360" w:lineRule="auto"/>
        <w:ind w:firstLine="420" w:firstLineChars="200"/>
        <w:rPr>
          <w:rFonts w:ascii="宋体" w:hAnsi="宋体"/>
          <w:color w:val="auto"/>
          <w:szCs w:val="21"/>
          <w:highlight w:val="none"/>
        </w:rPr>
      </w:pPr>
      <w:r>
        <w:rPr>
          <w:rFonts w:ascii="宋体" w:hAnsi="宋体"/>
          <w:color w:val="auto"/>
          <w:szCs w:val="21"/>
          <w:highlight w:val="none"/>
        </w:rPr>
        <w:t>2.2.3</w:t>
      </w:r>
      <w:r>
        <w:rPr>
          <w:rFonts w:hint="eastAsia" w:ascii="宋体" w:hAnsi="宋体"/>
          <w:color w:val="auto"/>
          <w:szCs w:val="21"/>
          <w:highlight w:val="none"/>
          <w:lang w:val="en-US" w:eastAsia="zh-CN"/>
        </w:rPr>
        <w:t xml:space="preserve"> </w:t>
      </w:r>
      <w:r>
        <w:rPr>
          <w:rFonts w:hint="eastAsia"/>
          <w:color w:val="auto"/>
          <w:highlight w:val="none"/>
        </w:rPr>
        <w:t>投标人应随时关注</w:t>
      </w:r>
      <w:r>
        <w:rPr>
          <w:rFonts w:hint="eastAsia" w:ascii="宋体" w:hAnsi="宋体"/>
          <w:color w:val="auto"/>
          <w:szCs w:val="21"/>
          <w:highlight w:val="none"/>
        </w:rPr>
        <w:t>广东省公共资源交易平台（中山市）</w:t>
      </w:r>
      <w:r>
        <w:rPr>
          <w:rFonts w:hint="eastAsia"/>
          <w:color w:val="auto"/>
          <w:highlight w:val="none"/>
        </w:rPr>
        <w:t>，自行在</w:t>
      </w:r>
      <w:r>
        <w:rPr>
          <w:rFonts w:hint="eastAsia" w:ascii="宋体" w:hAnsi="宋体"/>
          <w:color w:val="auto"/>
          <w:szCs w:val="21"/>
          <w:highlight w:val="none"/>
        </w:rPr>
        <w:t>广东省公共资源交易平台（中山市）“招标公告及资格预审”</w:t>
      </w:r>
      <w:r>
        <w:rPr>
          <w:rFonts w:hint="eastAsia"/>
          <w:color w:val="auto"/>
          <w:highlight w:val="none"/>
        </w:rPr>
        <w:t>栏目或工程建设交易系统下载答疑纪要（补遗书），招标人不再另行通知。投标人因自身原因未能获取答疑资料造成的后果，由投标人自行承担。</w:t>
      </w:r>
    </w:p>
    <w:p w14:paraId="0D30BBCC">
      <w:pPr>
        <w:pStyle w:val="4"/>
        <w:bidi w:val="0"/>
        <w:rPr>
          <w:rFonts w:hint="eastAsia" w:ascii="宋体" w:hAnsi="宋体" w:eastAsia="宋体" w:cs="宋体"/>
          <w:b/>
          <w:bCs/>
          <w:color w:val="auto"/>
          <w:highlight w:val="none"/>
        </w:rPr>
      </w:pPr>
      <w:bookmarkStart w:id="514" w:name="_Toc983374798"/>
      <w:bookmarkStart w:id="515" w:name="_Toc189399573"/>
      <w:bookmarkStart w:id="516" w:name="_Toc1251092059"/>
      <w:bookmarkStart w:id="517" w:name="_Toc1501507321"/>
      <w:bookmarkStart w:id="518" w:name="_Toc1992500739"/>
      <w:bookmarkStart w:id="519" w:name="_Toc1354082160"/>
      <w:bookmarkStart w:id="520" w:name="_Toc1980646457"/>
      <w:bookmarkStart w:id="521" w:name="_Toc445622301"/>
      <w:bookmarkStart w:id="522" w:name="_Toc239802610"/>
      <w:bookmarkStart w:id="523" w:name="_Toc1448809256"/>
      <w:bookmarkStart w:id="524" w:name="_Toc439900539"/>
      <w:bookmarkStart w:id="525" w:name="_Toc1391917897"/>
      <w:bookmarkStart w:id="526" w:name="_Toc266290225"/>
      <w:bookmarkStart w:id="527" w:name="_Toc532406449"/>
      <w:bookmarkStart w:id="528" w:name="_Toc1975086366"/>
      <w:bookmarkStart w:id="529" w:name="_Toc1350232831"/>
      <w:bookmarkStart w:id="530" w:name="_Toc1480338128"/>
      <w:r>
        <w:rPr>
          <w:rFonts w:hint="eastAsia" w:ascii="宋体" w:hAnsi="宋体" w:eastAsia="宋体" w:cs="宋体"/>
          <w:b/>
          <w:bCs/>
          <w:color w:val="auto"/>
          <w:highlight w:val="none"/>
        </w:rPr>
        <w:t>2.3 招标文件的修改</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14:paraId="7B5A9174">
      <w:pPr>
        <w:pageBreakBefore w:val="0"/>
        <w:kinsoku/>
        <w:wordWrap/>
        <w:overflowPunct/>
        <w:topLinePunct w:val="0"/>
        <w:bidi w:val="0"/>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2.3.1 在投标截止时间15天前，招标人可以网络形式修改招标文件，并通知所有投标人。</w:t>
      </w:r>
      <w:r>
        <w:rPr>
          <w:rFonts w:hint="eastAsia"/>
          <w:color w:val="auto"/>
          <w:highlight w:val="none"/>
        </w:rPr>
        <w:t>修改的内容可能影响投标文件编制的，招标人应当在投标截止时间至少</w:t>
      </w:r>
      <w:r>
        <w:rPr>
          <w:rFonts w:hint="eastAsia" w:ascii="宋体" w:hAnsi="宋体"/>
          <w:color w:val="auto"/>
          <w:szCs w:val="21"/>
          <w:highlight w:val="none"/>
        </w:rPr>
        <w:t>15</w:t>
      </w:r>
      <w:r>
        <w:rPr>
          <w:rFonts w:hint="eastAsia"/>
          <w:color w:val="auto"/>
          <w:highlight w:val="none"/>
        </w:rPr>
        <w:t>日前，以书面形式通知所有获取招标文件的潜在投标人，</w:t>
      </w:r>
      <w:r>
        <w:rPr>
          <w:rFonts w:hint="eastAsia" w:ascii="宋体" w:hAnsi="宋体"/>
          <w:color w:val="auto"/>
          <w:szCs w:val="21"/>
          <w:highlight w:val="none"/>
        </w:rPr>
        <w:t>不足15天的，</w:t>
      </w:r>
      <w:r>
        <w:rPr>
          <w:rFonts w:hint="eastAsia"/>
          <w:color w:val="auto"/>
          <w:highlight w:val="none"/>
        </w:rPr>
        <w:t>招标人</w:t>
      </w:r>
      <w:r>
        <w:rPr>
          <w:rFonts w:hint="eastAsia" w:ascii="宋体" w:hAnsi="宋体"/>
          <w:color w:val="auto"/>
          <w:szCs w:val="21"/>
          <w:highlight w:val="none"/>
        </w:rPr>
        <w:t>应延长投标截止时间。</w:t>
      </w:r>
    </w:p>
    <w:p w14:paraId="6EAA5F9E">
      <w:pPr>
        <w:spacing w:line="360" w:lineRule="auto"/>
        <w:ind w:firstLine="420" w:firstLineChars="200"/>
        <w:rPr>
          <w:rFonts w:hint="eastAsia"/>
          <w:color w:val="auto"/>
          <w:highlight w:val="none"/>
        </w:rPr>
      </w:pPr>
      <w:r>
        <w:rPr>
          <w:rFonts w:hint="eastAsia" w:ascii="宋体" w:hAnsi="宋体"/>
          <w:color w:val="auto"/>
          <w:szCs w:val="21"/>
          <w:highlight w:val="none"/>
        </w:rPr>
        <w:t>2.3.2</w:t>
      </w:r>
      <w:r>
        <w:rPr>
          <w:rFonts w:hint="eastAsia" w:ascii="宋体" w:hAnsi="宋体"/>
          <w:color w:val="auto"/>
          <w:szCs w:val="21"/>
          <w:highlight w:val="none"/>
          <w:lang w:val="en-US" w:eastAsia="zh-CN"/>
        </w:rPr>
        <w:t xml:space="preserve"> </w:t>
      </w:r>
      <w:r>
        <w:rPr>
          <w:rFonts w:hint="eastAsia"/>
          <w:color w:val="auto"/>
          <w:highlight w:val="none"/>
        </w:rPr>
        <w:t>投标人应随时关注</w:t>
      </w:r>
      <w:r>
        <w:rPr>
          <w:rFonts w:hint="eastAsia" w:ascii="宋体" w:hAnsi="宋体"/>
          <w:color w:val="auto"/>
          <w:szCs w:val="21"/>
          <w:highlight w:val="none"/>
        </w:rPr>
        <w:t>广东省公共资源交易平台（中山市）</w:t>
      </w:r>
      <w:r>
        <w:rPr>
          <w:rFonts w:hint="eastAsia"/>
          <w:color w:val="auto"/>
          <w:highlight w:val="none"/>
        </w:rPr>
        <w:t>，自行在</w:t>
      </w:r>
      <w:r>
        <w:rPr>
          <w:rFonts w:hint="eastAsia" w:ascii="宋体" w:hAnsi="宋体"/>
          <w:color w:val="auto"/>
          <w:szCs w:val="21"/>
          <w:highlight w:val="none"/>
        </w:rPr>
        <w:t>广东省公共资源交易平台（中山市）“招标公告及资格预审”</w:t>
      </w:r>
      <w:r>
        <w:rPr>
          <w:rFonts w:hint="eastAsia"/>
          <w:color w:val="auto"/>
          <w:highlight w:val="none"/>
        </w:rPr>
        <w:t>栏目或工程建设交易系统下载答疑纪要（补遗书），招标人不再另行通知。投标人因自身原因未能获取答疑资料造成的后果，由投标人自行承担。</w:t>
      </w:r>
    </w:p>
    <w:p w14:paraId="78ACE21F">
      <w:pPr>
        <w:pStyle w:val="3"/>
        <w:numPr>
          <w:ilvl w:val="0"/>
          <w:numId w:val="0"/>
        </w:numPr>
        <w:bidi w:val="0"/>
        <w:rPr>
          <w:rFonts w:hint="eastAsia" w:ascii="宋体" w:hAnsi="宋体" w:eastAsia="宋体" w:cs="宋体"/>
          <w:color w:val="auto"/>
          <w:highlight w:val="none"/>
        </w:rPr>
      </w:pPr>
      <w:bookmarkStart w:id="531" w:name="_Toc1742637633"/>
      <w:bookmarkStart w:id="532" w:name="_Toc2103264936"/>
      <w:bookmarkStart w:id="533" w:name="_Toc1066567224"/>
      <w:bookmarkStart w:id="534" w:name="_Toc814117166"/>
      <w:bookmarkStart w:id="535" w:name="_Toc6175"/>
      <w:bookmarkStart w:id="536" w:name="_Toc1854920780"/>
      <w:bookmarkStart w:id="537" w:name="_Toc1697360306"/>
      <w:bookmarkStart w:id="538" w:name="_Toc500412629"/>
      <w:bookmarkStart w:id="539" w:name="_Toc24333"/>
      <w:bookmarkStart w:id="540" w:name="_Toc1843692016"/>
      <w:bookmarkStart w:id="541" w:name="_Toc185969171"/>
      <w:bookmarkStart w:id="542" w:name="_Toc18080"/>
      <w:bookmarkStart w:id="543" w:name="_Toc1291355785"/>
      <w:bookmarkStart w:id="544" w:name="_Toc367972941"/>
      <w:bookmarkStart w:id="545" w:name="_Toc1411972902"/>
      <w:bookmarkStart w:id="546" w:name="_Toc867510363"/>
      <w:bookmarkStart w:id="547" w:name="_Toc445351706"/>
      <w:bookmarkStart w:id="548" w:name="_Toc590465976"/>
      <w:bookmarkStart w:id="549" w:name="_Toc545323043"/>
      <w:bookmarkStart w:id="550" w:name="_Toc2591734"/>
      <w:bookmarkStart w:id="551" w:name="_Toc1228235539"/>
      <w:bookmarkStart w:id="552" w:name="_Toc732460747"/>
      <w:bookmarkStart w:id="553" w:name="_Toc1197113767"/>
      <w:bookmarkStart w:id="554" w:name="_Toc1488432332"/>
      <w:bookmarkStart w:id="555" w:name="_Toc213496320"/>
      <w:bookmarkStart w:id="556" w:name="_Toc5159"/>
      <w:bookmarkStart w:id="557" w:name="_Toc1349843308"/>
      <w:bookmarkStart w:id="558" w:name="_Toc1230865537"/>
      <w:bookmarkStart w:id="559" w:name="_Toc10108220"/>
      <w:bookmarkStart w:id="560" w:name="_Toc1188514427"/>
      <w:bookmarkStart w:id="561" w:name="_Toc853633934"/>
      <w:bookmarkStart w:id="562" w:name="_Toc473067656"/>
      <w:bookmarkStart w:id="563" w:name="_Toc1642360851"/>
      <w:bookmarkStart w:id="564" w:name="_Toc25384"/>
      <w:bookmarkStart w:id="565" w:name="_Toc1189224874"/>
      <w:bookmarkStart w:id="566" w:name="_Toc2045848306"/>
      <w:bookmarkStart w:id="567" w:name="_Toc690211012"/>
      <w:bookmarkStart w:id="568" w:name="_Toc6918"/>
      <w:bookmarkStart w:id="569" w:name="_Toc816197483"/>
      <w:bookmarkStart w:id="570" w:name="_Toc1008686941"/>
      <w:bookmarkStart w:id="571" w:name="_Toc700"/>
      <w:bookmarkStart w:id="572" w:name="_Toc1935816224"/>
      <w:r>
        <w:rPr>
          <w:rFonts w:hint="eastAsia" w:ascii="宋体" w:hAnsi="宋体" w:cs="宋体"/>
          <w:color w:val="auto"/>
          <w:highlight w:val="none"/>
          <w:lang w:val="en-US" w:eastAsia="zh-CN"/>
        </w:rPr>
        <w:t xml:space="preserve">3. </w:t>
      </w:r>
      <w:r>
        <w:rPr>
          <w:rFonts w:hint="eastAsia" w:ascii="宋体" w:hAnsi="宋体" w:eastAsia="宋体" w:cs="宋体"/>
          <w:color w:val="auto"/>
          <w:highlight w:val="none"/>
        </w:rPr>
        <w:t>投标文件</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7B7FE30D">
      <w:pPr>
        <w:pStyle w:val="4"/>
        <w:bidi w:val="0"/>
        <w:rPr>
          <w:rFonts w:hint="eastAsia" w:ascii="宋体" w:hAnsi="宋体" w:eastAsia="宋体" w:cs="宋体"/>
          <w:b/>
          <w:bCs/>
          <w:color w:val="auto"/>
          <w:highlight w:val="none"/>
        </w:rPr>
      </w:pPr>
      <w:bookmarkStart w:id="573" w:name="_Toc1660772257"/>
      <w:bookmarkStart w:id="574" w:name="_Toc717937585"/>
      <w:bookmarkStart w:id="575" w:name="_Toc768783240"/>
      <w:bookmarkStart w:id="576" w:name="_Toc1445523858"/>
      <w:bookmarkStart w:id="577" w:name="_Toc1474559038"/>
      <w:bookmarkStart w:id="578" w:name="_Toc419044187"/>
      <w:bookmarkStart w:id="579" w:name="_Toc46453059"/>
      <w:bookmarkStart w:id="580" w:name="_Toc71725335"/>
      <w:bookmarkStart w:id="581" w:name="_Toc292329096"/>
      <w:bookmarkStart w:id="582" w:name="_Toc1858717114"/>
      <w:bookmarkStart w:id="583" w:name="_Toc860084685"/>
      <w:bookmarkStart w:id="584" w:name="_Toc1168768111"/>
      <w:bookmarkStart w:id="585" w:name="_Toc64318422"/>
      <w:bookmarkStart w:id="586" w:name="_Toc1857379263"/>
      <w:bookmarkStart w:id="587" w:name="_Toc1334678313"/>
      <w:bookmarkStart w:id="588" w:name="_Toc2015065742"/>
      <w:bookmarkStart w:id="589" w:name="_Toc426356768"/>
      <w:r>
        <w:rPr>
          <w:rFonts w:hint="eastAsia" w:ascii="宋体" w:hAnsi="宋体" w:eastAsia="宋体" w:cs="宋体"/>
          <w:b/>
          <w:bCs/>
          <w:color w:val="auto"/>
          <w:highlight w:val="none"/>
        </w:rPr>
        <w:t>3.1 投标文件的组成</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14:paraId="6F40497E">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3.1.1 投标文件应包括下列内容：</w:t>
      </w:r>
    </w:p>
    <w:p w14:paraId="2A535E2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3.1.1.1 资格标</w:t>
      </w:r>
    </w:p>
    <w:p w14:paraId="6F898E86">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（1）封面；</w:t>
      </w:r>
    </w:p>
    <w:p w14:paraId="5C5473A8">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（2）目录；</w:t>
      </w:r>
    </w:p>
    <w:p w14:paraId="40E5CFA1">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（3）法定代表人</w:t>
      </w:r>
      <w:r>
        <w:rPr>
          <w:rFonts w:hint="eastAsia" w:ascii="宋体" w:hAnsi="宋体" w:eastAsia="宋体" w:cs="宋体"/>
          <w:color w:val="auto"/>
          <w:szCs w:val="21"/>
          <w:highlight w:val="none"/>
          <w:lang w:val="en-US" w:eastAsia="zh-CN"/>
        </w:rPr>
        <w:t>身份证明（</w:t>
      </w:r>
      <w:r>
        <w:rPr>
          <w:rFonts w:hint="eastAsia" w:ascii="宋体" w:hAnsi="宋体" w:eastAsia="宋体" w:cs="宋体"/>
          <w:color w:val="auto"/>
          <w:szCs w:val="21"/>
          <w:highlight w:val="none"/>
        </w:rPr>
        <w:t>联合体投标的，由牵头单位提供</w:t>
      </w:r>
      <w:r>
        <w:rPr>
          <w:rFonts w:hint="eastAsia" w:ascii="宋体" w:hAnsi="宋体" w:eastAsia="宋体" w:cs="宋体"/>
          <w:color w:val="auto"/>
          <w:szCs w:val="21"/>
          <w:highlight w:val="none"/>
          <w:lang w:val="en-US" w:eastAsia="zh-CN"/>
        </w:rPr>
        <w:t>）；</w:t>
      </w:r>
    </w:p>
    <w:p w14:paraId="35329212">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（4）授权委托书（适用于有代理人的情况。</w:t>
      </w:r>
      <w:r>
        <w:rPr>
          <w:rFonts w:hint="eastAsia" w:ascii="宋体" w:hAnsi="宋体" w:eastAsia="宋体" w:cs="宋体"/>
          <w:color w:val="auto"/>
          <w:szCs w:val="21"/>
          <w:highlight w:val="none"/>
        </w:rPr>
        <w:t>联合体投标的，由牵头单位提供</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w:t>
      </w:r>
    </w:p>
    <w:p w14:paraId="03A3F66D">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投标人基本情况表；</w:t>
      </w:r>
    </w:p>
    <w:p w14:paraId="1A35B4E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）联合体协议书（适用于联合体投标的情况）</w:t>
      </w:r>
      <w:r>
        <w:rPr>
          <w:rFonts w:hint="eastAsia" w:ascii="宋体" w:hAnsi="宋体" w:eastAsia="宋体" w:cs="宋体"/>
          <w:color w:val="auto"/>
          <w:szCs w:val="21"/>
          <w:highlight w:val="none"/>
        </w:rPr>
        <w:t>；</w:t>
      </w:r>
    </w:p>
    <w:p w14:paraId="6D38E494">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《信用中国》</w:t>
      </w:r>
      <w:r>
        <w:rPr>
          <w:rFonts w:hint="eastAsia" w:ascii="宋体" w:hAnsi="宋体" w:eastAsia="宋体" w:cs="宋体"/>
          <w:color w:val="auto"/>
          <w:highlight w:val="none"/>
        </w:rPr>
        <w:t>网站</w:t>
      </w:r>
      <w:r>
        <w:rPr>
          <w:rFonts w:hint="eastAsia" w:ascii="宋体" w:hAnsi="宋体" w:eastAsia="宋体" w:cs="宋体"/>
          <w:color w:val="auto"/>
          <w:highlight w:val="none"/>
          <w:lang w:val="en-US" w:eastAsia="zh-CN"/>
        </w:rPr>
        <w:t>下载</w:t>
      </w:r>
      <w:r>
        <w:rPr>
          <w:rFonts w:hint="eastAsia" w:ascii="宋体" w:hAnsi="宋体" w:eastAsia="宋体" w:cs="宋体"/>
          <w:color w:val="auto"/>
          <w:highlight w:val="none"/>
        </w:rPr>
        <w:t>的信用</w:t>
      </w:r>
      <w:r>
        <w:rPr>
          <w:rFonts w:hint="eastAsia" w:ascii="宋体" w:hAnsi="宋体" w:eastAsia="宋体" w:cs="宋体"/>
          <w:color w:val="auto"/>
          <w:highlight w:val="none"/>
          <w:lang w:val="en-US" w:eastAsia="zh-CN"/>
        </w:rPr>
        <w:t>信息</w:t>
      </w:r>
      <w:r>
        <w:rPr>
          <w:rFonts w:hint="eastAsia" w:ascii="宋体" w:hAnsi="宋体" w:eastAsia="宋体" w:cs="宋体"/>
          <w:color w:val="auto"/>
          <w:highlight w:val="none"/>
        </w:rPr>
        <w:t>报告</w:t>
      </w:r>
      <w:r>
        <w:rPr>
          <w:rFonts w:hint="eastAsia" w:ascii="宋体" w:hAnsi="宋体" w:eastAsia="宋体" w:cs="宋体"/>
          <w:color w:val="auto"/>
          <w:highlight w:val="none"/>
          <w:lang w:eastAsia="zh-CN"/>
        </w:rPr>
        <w:t>；</w:t>
      </w:r>
    </w:p>
    <w:p w14:paraId="3FA5ACB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国家企业信用信息公示系统的企业信用信息公示报告</w:t>
      </w:r>
      <w:r>
        <w:rPr>
          <w:rFonts w:hint="eastAsia" w:ascii="宋体" w:hAnsi="宋体" w:eastAsia="宋体" w:cs="宋体"/>
          <w:color w:val="auto"/>
          <w:highlight w:val="none"/>
          <w:lang w:eastAsia="zh-CN"/>
        </w:rPr>
        <w:t>；</w:t>
      </w:r>
    </w:p>
    <w:p w14:paraId="2F171806">
      <w:pPr>
        <w:pageBreakBefore w:val="0"/>
        <w:kinsoku/>
        <w:wordWrap/>
        <w:overflowPunct/>
        <w:topLinePunct w:val="0"/>
        <w:bidi w:val="0"/>
        <w:spacing w:line="360" w:lineRule="auto"/>
        <w:ind w:left="420" w:leftChars="200" w:firstLine="0" w:firstLineChars="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）类似工程业绩表（如需）；</w:t>
      </w:r>
    </w:p>
    <w:p w14:paraId="7B5D988E">
      <w:pPr>
        <w:pStyle w:val="14"/>
        <w:spacing w:line="360" w:lineRule="auto"/>
        <w:ind w:firstLine="420" w:firstLineChars="200"/>
        <w:rPr>
          <w:rFonts w:hint="eastAsia" w:hAnsi="宋体" w:eastAsia="宋体" w:cs="宋体"/>
          <w:color w:val="auto"/>
          <w:highlight w:val="none"/>
          <w:lang w:eastAsia="zh-CN"/>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投标保证金承诺书（如需）</w:t>
      </w:r>
      <w:r>
        <w:rPr>
          <w:rFonts w:hint="eastAsia" w:hAnsi="宋体" w:eastAsia="宋体" w:cs="宋体"/>
          <w:color w:val="auto"/>
          <w:highlight w:val="none"/>
          <w:lang w:eastAsia="zh-CN"/>
        </w:rPr>
        <w:t>；</w:t>
      </w:r>
    </w:p>
    <w:p w14:paraId="72948611">
      <w:pPr>
        <w:pStyle w:val="14"/>
        <w:spacing w:line="360" w:lineRule="auto"/>
        <w:ind w:firstLine="420" w:firstLineChars="200"/>
        <w:rPr>
          <w:rFonts w:hint="eastAsia" w:ascii="宋体" w:hAnsi="宋体" w:eastAsia="宋体" w:cs="宋体"/>
          <w:color w:val="auto"/>
          <w:highlight w:val="none"/>
          <w:lang w:eastAsia="zh-CN"/>
        </w:rPr>
      </w:pPr>
      <w:r>
        <w:rPr>
          <w:rFonts w:hint="eastAsia" w:hAnsi="宋体" w:eastAsia="宋体" w:cs="宋体"/>
          <w:color w:val="auto"/>
          <w:highlight w:val="none"/>
          <w:lang w:eastAsia="zh-CN"/>
        </w:rPr>
        <w:t>（11）低于投标报价警戒值的证明材料（如需）</w:t>
      </w:r>
      <w:r>
        <w:rPr>
          <w:rFonts w:hint="eastAsia" w:hAnsi="宋体" w:cs="宋体"/>
          <w:color w:val="auto"/>
          <w:highlight w:val="none"/>
          <w:lang w:eastAsia="zh-CN"/>
        </w:rPr>
        <w:t>；</w:t>
      </w:r>
    </w:p>
    <w:p w14:paraId="50A7EFEA">
      <w:pPr>
        <w:pageBreakBefore w:val="0"/>
        <w:kinsoku/>
        <w:wordWrap/>
        <w:overflowPunct/>
        <w:topLinePunct w:val="0"/>
        <w:bidi w:val="0"/>
        <w:spacing w:line="360" w:lineRule="auto"/>
        <w:ind w:left="399" w:leftChars="190"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szCs w:val="21"/>
          <w:highlight w:val="none"/>
          <w:lang w:eastAsia="zh-CN"/>
        </w:rPr>
        <w:t>投标人认为需要补充的材料。</w:t>
      </w:r>
    </w:p>
    <w:p w14:paraId="07EAC020">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3.1.1.</w:t>
      </w:r>
      <w:r>
        <w:rPr>
          <w:rFonts w:hint="eastAsia" w:ascii="宋体" w:hAnsi="宋体" w:eastAsia="宋体" w:cs="宋体"/>
          <w:color w:val="auto"/>
          <w:szCs w:val="21"/>
          <w:highlight w:val="none"/>
          <w:lang w:val="en-US" w:eastAsia="zh-CN"/>
        </w:rPr>
        <w:t>2 经济标</w:t>
      </w:r>
    </w:p>
    <w:p w14:paraId="3CD47323">
      <w:pPr>
        <w:pageBreakBefore w:val="0"/>
        <w:kinsoku/>
        <w:wordWrap/>
        <w:overflowPunct/>
        <w:topLinePunct w:val="0"/>
        <w:bidi w:val="0"/>
        <w:spacing w:line="360" w:lineRule="auto"/>
        <w:ind w:left="420" w:leftChars="200"/>
        <w:textAlignment w:val="auto"/>
        <w:rPr>
          <w:rFonts w:hint="eastAsia" w:ascii="宋体" w:hAnsi="宋体"/>
          <w:color w:val="auto"/>
          <w:szCs w:val="21"/>
          <w:highlight w:val="none"/>
          <w:lang w:eastAsia="zh-CN"/>
        </w:rPr>
      </w:pPr>
      <w:r>
        <w:rPr>
          <w:rFonts w:hint="eastAsia" w:ascii="宋体" w:hAnsi="宋体"/>
          <w:bCs/>
          <w:color w:val="auto"/>
          <w:szCs w:val="21"/>
        </w:rPr>
        <w:t>已标价工程量清单（按招标人提供的工程量清单填写）</w:t>
      </w:r>
    </w:p>
    <w:p w14:paraId="63F5CE5F">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3.1.1.</w:t>
      </w:r>
      <w:r>
        <w:rPr>
          <w:rFonts w:hint="eastAsia" w:ascii="宋体" w:hAnsi="宋体" w:eastAsia="宋体" w:cs="宋体"/>
          <w:color w:val="auto"/>
          <w:szCs w:val="21"/>
          <w:highlight w:val="none"/>
          <w:lang w:val="en-US" w:eastAsia="zh-CN"/>
        </w:rPr>
        <w:t>3 技术标</w:t>
      </w:r>
    </w:p>
    <w:p w14:paraId="4B275C3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（一）封面、目录</w:t>
      </w:r>
    </w:p>
    <w:p w14:paraId="7283BD9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（二）</w:t>
      </w:r>
      <w:r>
        <w:rPr>
          <w:rFonts w:hint="eastAsia" w:ascii="宋体" w:hAnsi="宋体" w:eastAsia="宋体" w:cs="宋体"/>
          <w:color w:val="auto"/>
          <w:szCs w:val="21"/>
          <w:highlight w:val="none"/>
        </w:rPr>
        <w:t>基本资料</w:t>
      </w:r>
    </w:p>
    <w:p w14:paraId="470101C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投标</w:t>
      </w:r>
      <w:r>
        <w:rPr>
          <w:rFonts w:hint="eastAsia" w:ascii="宋体" w:hAnsi="宋体" w:eastAsia="宋体" w:cs="宋体"/>
          <w:color w:val="auto"/>
          <w:szCs w:val="21"/>
          <w:highlight w:val="none"/>
        </w:rPr>
        <w:t>承诺书；</w:t>
      </w:r>
    </w:p>
    <w:p w14:paraId="33D9D72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b w:val="0"/>
          <w:color w:val="auto"/>
          <w:szCs w:val="21"/>
          <w:highlight w:val="none"/>
        </w:rPr>
        <w:t>项目管理机构</w:t>
      </w:r>
      <w:r>
        <w:rPr>
          <w:rFonts w:hint="eastAsia" w:ascii="宋体" w:hAnsi="宋体" w:eastAsia="宋体" w:cs="宋体"/>
          <w:color w:val="auto"/>
          <w:szCs w:val="21"/>
          <w:highlight w:val="none"/>
        </w:rPr>
        <w:t>；</w:t>
      </w:r>
    </w:p>
    <w:p w14:paraId="1CE146B1">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（3）危险性较大的分部分项工程清单及安全管理</w:t>
      </w:r>
      <w:r>
        <w:rPr>
          <w:rFonts w:hint="eastAsia" w:ascii="宋体" w:hAnsi="宋体" w:eastAsia="宋体" w:cs="宋体"/>
          <w:color w:val="auto"/>
          <w:szCs w:val="21"/>
          <w:highlight w:val="none"/>
        </w:rPr>
        <w:t>措施（如需）</w:t>
      </w:r>
      <w:r>
        <w:rPr>
          <w:rFonts w:hint="eastAsia" w:ascii="宋体" w:hAnsi="宋体" w:eastAsia="宋体" w:cs="宋体"/>
          <w:color w:val="auto"/>
          <w:szCs w:val="21"/>
          <w:highlight w:val="none"/>
          <w:lang w:eastAsia="zh-CN"/>
        </w:rPr>
        <w:t>；</w:t>
      </w:r>
    </w:p>
    <w:p w14:paraId="2C62997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投标人认为需要补充的材料。</w:t>
      </w:r>
    </w:p>
    <w:p w14:paraId="6B0F4F8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（三）施工组织设计</w:t>
      </w:r>
    </w:p>
    <w:p w14:paraId="3252C88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编制内容见第八章“投标文件格式”中技术标的“二、施工组织设计”。</w:t>
      </w:r>
    </w:p>
    <w:p w14:paraId="46D6ABFA">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3.1.1.</w:t>
      </w:r>
      <w:r>
        <w:rPr>
          <w:rFonts w:hint="eastAsia" w:ascii="宋体" w:hAnsi="宋体" w:eastAsia="宋体" w:cs="宋体"/>
          <w:bCs/>
          <w:color w:val="auto"/>
          <w:szCs w:val="21"/>
          <w:highlight w:val="none"/>
          <w:lang w:val="en-US" w:eastAsia="zh-CN"/>
        </w:rPr>
        <w:t xml:space="preserve">4 </w:t>
      </w:r>
      <w:r>
        <w:rPr>
          <w:rFonts w:hint="eastAsia" w:ascii="宋体" w:hAnsi="宋体" w:eastAsia="宋体" w:cs="宋体"/>
          <w:color w:val="auto"/>
          <w:szCs w:val="21"/>
          <w:highlight w:val="none"/>
          <w:lang w:eastAsia="zh-CN"/>
        </w:rPr>
        <w:t>资信标</w:t>
      </w:r>
    </w:p>
    <w:p w14:paraId="50FEE185">
      <w:pPr>
        <w:pageBreakBefore w:val="0"/>
        <w:kinsoku/>
        <w:wordWrap/>
        <w:overflowPunct/>
        <w:topLinePunct w:val="0"/>
        <w:bidi w:val="0"/>
        <w:spacing w:line="360" w:lineRule="auto"/>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（1）封面；</w:t>
      </w:r>
    </w:p>
    <w:p w14:paraId="7FE7DBFA">
      <w:pPr>
        <w:pageBreakBefore w:val="0"/>
        <w:kinsoku/>
        <w:wordWrap/>
        <w:overflowPunct/>
        <w:topLinePunct w:val="0"/>
        <w:bidi w:val="0"/>
        <w:spacing w:line="360" w:lineRule="auto"/>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（2）目录；</w:t>
      </w:r>
    </w:p>
    <w:p w14:paraId="599F3663">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3</w:t>
      </w:r>
      <w:r>
        <w:rPr>
          <w:rFonts w:hint="eastAsia" w:ascii="宋体" w:hAnsi="宋体" w:eastAsia="宋体" w:cs="宋体"/>
          <w:bCs/>
          <w:color w:val="auto"/>
          <w:szCs w:val="21"/>
          <w:highlight w:val="none"/>
          <w:lang w:eastAsia="zh-CN"/>
        </w:rPr>
        <w:t>）</w:t>
      </w:r>
      <w:r>
        <w:rPr>
          <w:rFonts w:hint="eastAsia" w:ascii="宋体" w:hAnsi="宋体" w:eastAsia="宋体" w:cs="宋体"/>
          <w:color w:val="auto"/>
          <w:sz w:val="21"/>
          <w:szCs w:val="21"/>
          <w:highlight w:val="none"/>
          <w:lang w:val="en-US" w:eastAsia="zh-CN"/>
        </w:rPr>
        <w:t>资信标函内容索引</w:t>
      </w:r>
      <w:r>
        <w:rPr>
          <w:rFonts w:hint="eastAsia" w:ascii="宋体" w:hAnsi="宋体" w:cs="宋体"/>
          <w:color w:val="auto"/>
          <w:sz w:val="21"/>
          <w:szCs w:val="21"/>
          <w:highlight w:val="none"/>
          <w:lang w:val="en-US" w:eastAsia="zh-CN"/>
        </w:rPr>
        <w:t>；</w:t>
      </w:r>
    </w:p>
    <w:p w14:paraId="2BEE2223">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（4）投标人资信情况汇总表</w:t>
      </w:r>
      <w:r>
        <w:rPr>
          <w:rFonts w:hint="eastAsia" w:ascii="宋体" w:hAnsi="宋体" w:cs="宋体"/>
          <w:color w:val="auto"/>
          <w:sz w:val="21"/>
          <w:szCs w:val="21"/>
          <w:highlight w:val="none"/>
          <w:lang w:val="en-US" w:eastAsia="zh-CN"/>
        </w:rPr>
        <w:t>；</w:t>
      </w:r>
    </w:p>
    <w:p w14:paraId="790D936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5</w:t>
      </w:r>
      <w:r>
        <w:rPr>
          <w:rFonts w:hint="eastAsia" w:ascii="宋体" w:hAnsi="宋体" w:eastAsia="宋体" w:cs="宋体"/>
          <w:bCs/>
          <w:color w:val="auto"/>
          <w:szCs w:val="21"/>
          <w:highlight w:val="none"/>
          <w:lang w:eastAsia="zh-CN"/>
        </w:rPr>
        <w:t>）</w:t>
      </w:r>
      <w:r>
        <w:rPr>
          <w:rFonts w:hint="eastAsia" w:ascii="宋体" w:hAnsi="宋体" w:eastAsia="宋体" w:cs="宋体"/>
          <w:color w:val="auto"/>
          <w:szCs w:val="21"/>
          <w:highlight w:val="none"/>
          <w:lang w:eastAsia="zh-CN"/>
        </w:rPr>
        <w:t>资信评审资料</w:t>
      </w:r>
      <w:r>
        <w:rPr>
          <w:rFonts w:hint="eastAsia" w:ascii="宋体" w:hAnsi="宋体" w:eastAsia="宋体" w:cs="宋体"/>
          <w:color w:val="auto"/>
          <w:szCs w:val="21"/>
          <w:highlight w:val="none"/>
        </w:rPr>
        <w:t>，由投标人根据工程项目的特点及第三章</w:t>
      </w:r>
      <w:r>
        <w:rPr>
          <w:rFonts w:hint="eastAsia" w:ascii="宋体" w:hAnsi="宋体" w:eastAsia="宋体" w:cs="宋体"/>
          <w:color w:val="auto"/>
          <w:szCs w:val="21"/>
          <w:highlight w:val="none"/>
          <w:lang w:eastAsia="zh-CN"/>
        </w:rPr>
        <w:t>“评标办法、定标规则”第一部分的“评标办法前附表”及第二部分“</w:t>
      </w:r>
      <w:r>
        <w:rPr>
          <w:rFonts w:hint="eastAsia" w:ascii="宋体" w:hAnsi="宋体" w:eastAsia="宋体" w:cs="宋体"/>
          <w:color w:val="auto"/>
          <w:szCs w:val="21"/>
          <w:highlight w:val="none"/>
          <w:lang w:val="en-US" w:eastAsia="zh-CN"/>
        </w:rPr>
        <w:t>2. 定标因素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中</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eastAsia="zh-CN"/>
        </w:rPr>
        <w:t>《资信要素一览表》</w:t>
      </w:r>
      <w:r>
        <w:rPr>
          <w:rFonts w:hint="eastAsia" w:ascii="宋体" w:hAnsi="宋体" w:cs="宋体"/>
          <w:color w:val="auto"/>
          <w:szCs w:val="21"/>
          <w:highlight w:val="none"/>
          <w:lang w:eastAsia="zh-CN"/>
        </w:rPr>
        <w:t>的要求，逐项提交资料（如有）</w:t>
      </w:r>
      <w:r>
        <w:rPr>
          <w:rFonts w:hint="eastAsia" w:ascii="宋体" w:hAnsi="宋体" w:eastAsia="宋体" w:cs="宋体"/>
          <w:color w:val="auto"/>
          <w:szCs w:val="21"/>
          <w:highlight w:val="none"/>
          <w:lang w:eastAsia="zh-CN"/>
        </w:rPr>
        <w:t>。</w:t>
      </w:r>
    </w:p>
    <w:p w14:paraId="0A712124">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highlight w:val="none"/>
          <w:lang w:val="en-US" w:eastAsia="zh-CN"/>
        </w:rPr>
        <w:t>投标人在评标过程中作出的符合法律法规和招标文件规定的澄清确认，构成投标文件的组成部分。</w:t>
      </w:r>
      <w:r>
        <w:rPr>
          <w:rFonts w:hint="eastAsia" w:ascii="宋体" w:hAnsi="宋体" w:eastAsia="宋体" w:cs="宋体"/>
          <w:color w:val="auto"/>
          <w:szCs w:val="21"/>
          <w:highlight w:val="none"/>
        </w:rPr>
        <w:t>投标人应对所递交的投标文件以及与投标有关的证明资料的真实性负责，若以弄虚作假骗取中标的，中标无效，给招标人造成损失的依法承担赔偿责任。</w:t>
      </w:r>
    </w:p>
    <w:p w14:paraId="323D82EA">
      <w:pPr>
        <w:spacing w:line="360" w:lineRule="auto"/>
        <w:ind w:firstLine="42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3.1.2 投标人须知前附表规定不接受联合体投标的，或投标人没有组成联合体的，投标文件不包括本章第3.1.1.1（6）目所指的联合体协议书。</w:t>
      </w:r>
    </w:p>
    <w:p w14:paraId="1CAE4DDA">
      <w:pPr>
        <w:pStyle w:val="4"/>
        <w:bidi w:val="0"/>
        <w:rPr>
          <w:rFonts w:hint="eastAsia" w:ascii="宋体" w:hAnsi="宋体" w:eastAsia="宋体" w:cs="宋体"/>
          <w:color w:val="auto"/>
          <w:highlight w:val="none"/>
          <w:lang w:val="en-US" w:eastAsia="zh-CN"/>
        </w:rPr>
      </w:pPr>
      <w:bookmarkStart w:id="590" w:name="_Toc133582662"/>
      <w:bookmarkStart w:id="591" w:name="_Toc2120235021"/>
      <w:bookmarkStart w:id="592" w:name="_Toc755900283"/>
      <w:bookmarkStart w:id="593" w:name="_Toc1346997669"/>
      <w:bookmarkStart w:id="594" w:name="_Toc163852775"/>
      <w:bookmarkStart w:id="595" w:name="_Toc186554195"/>
      <w:bookmarkStart w:id="596" w:name="_Toc1028776639"/>
      <w:bookmarkStart w:id="597" w:name="_Toc1548698290"/>
      <w:bookmarkStart w:id="598" w:name="_Toc1964210568"/>
      <w:bookmarkStart w:id="599" w:name="_Toc2116100442"/>
      <w:bookmarkStart w:id="600" w:name="_Toc1278967675"/>
      <w:bookmarkStart w:id="601" w:name="_Toc1781372652"/>
      <w:bookmarkStart w:id="602" w:name="_Toc1460867768"/>
      <w:bookmarkStart w:id="603" w:name="_Toc1608280663"/>
      <w:bookmarkStart w:id="604" w:name="_Toc8050539"/>
      <w:bookmarkStart w:id="605" w:name="_Toc889494209"/>
      <w:bookmarkStart w:id="606" w:name="_Toc1323233486"/>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投标</w:t>
      </w:r>
      <w:r>
        <w:rPr>
          <w:rFonts w:hint="eastAsia" w:ascii="宋体" w:hAnsi="宋体" w:eastAsia="宋体" w:cs="宋体"/>
          <w:color w:val="auto"/>
          <w:highlight w:val="none"/>
          <w:lang w:val="en-US" w:eastAsia="zh-CN"/>
        </w:rPr>
        <w:t>报价</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14:paraId="47D5679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3.2.1</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投标人应按第五章“工程量清单及工程量清单计价”</w:t>
      </w:r>
      <w:r>
        <w:rPr>
          <w:rFonts w:hint="eastAsia" w:ascii="宋体" w:hAnsi="宋体" w:eastAsia="宋体" w:cs="宋体"/>
          <w:color w:val="auto"/>
          <w:szCs w:val="21"/>
          <w:highlight w:val="none"/>
          <w:lang w:val="en-US" w:eastAsia="zh-CN"/>
        </w:rPr>
        <w:t>及第八章“投标文件格式”的要求报价</w:t>
      </w:r>
      <w:r>
        <w:rPr>
          <w:rFonts w:hint="eastAsia" w:ascii="宋体" w:hAnsi="宋体" w:eastAsia="宋体" w:cs="宋体"/>
          <w:color w:val="auto"/>
          <w:szCs w:val="21"/>
          <w:highlight w:val="none"/>
        </w:rPr>
        <w:t>。</w:t>
      </w:r>
    </w:p>
    <w:p w14:paraId="52D838E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3.2.2 </w:t>
      </w:r>
      <w:r>
        <w:rPr>
          <w:rFonts w:hint="eastAsia" w:ascii="宋体" w:hAnsi="宋体" w:eastAsia="宋体" w:cs="Times New Roman"/>
          <w:color w:val="auto"/>
          <w:szCs w:val="21"/>
          <w:highlight w:val="none"/>
          <w:lang w:val="en-US" w:eastAsia="zh-CN"/>
        </w:rPr>
        <w:t>投标人应充分了解该项目的总体情况以及影响投标报价的其他要素。</w:t>
      </w:r>
      <w:r>
        <w:rPr>
          <w:rFonts w:hint="eastAsia" w:ascii="宋体" w:hAnsi="宋体" w:eastAsia="宋体" w:cs="宋体"/>
          <w:color w:val="auto"/>
          <w:szCs w:val="21"/>
          <w:highlight w:val="none"/>
        </w:rPr>
        <w:t>投标人在投标截止时间前修改投标报价</w:t>
      </w:r>
      <w:r>
        <w:rPr>
          <w:rFonts w:hint="eastAsia" w:ascii="宋体" w:hAnsi="宋体" w:cs="宋体"/>
          <w:color w:val="auto"/>
          <w:szCs w:val="21"/>
          <w:highlight w:val="none"/>
          <w:lang w:eastAsia="zh-CN"/>
        </w:rPr>
        <w:t>的</w:t>
      </w:r>
      <w:r>
        <w:rPr>
          <w:rFonts w:hint="eastAsia" w:ascii="宋体" w:hAnsi="宋体" w:eastAsia="宋体" w:cs="宋体"/>
          <w:color w:val="auto"/>
          <w:szCs w:val="21"/>
          <w:highlight w:val="none"/>
        </w:rPr>
        <w:t>，应同时修改经济标（投标报价）中清单的相应报价。此修改须符合本章第4.3款的有关要求。</w:t>
      </w:r>
    </w:p>
    <w:p w14:paraId="095C61A8">
      <w:pPr>
        <w:spacing w:line="360" w:lineRule="auto"/>
        <w:ind w:firstLine="422" w:firstLineChars="200"/>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val="en-US" w:eastAsia="zh-CN"/>
        </w:rPr>
        <w:t xml:space="preserve">3.2.3 </w:t>
      </w:r>
      <w:r>
        <w:rPr>
          <w:rFonts w:hint="eastAsia" w:ascii="宋体" w:hAnsi="宋体" w:eastAsia="宋体" w:cs="宋体"/>
          <w:b/>
          <w:bCs/>
          <w:i w:val="0"/>
          <w:color w:val="auto"/>
          <w:kern w:val="0"/>
          <w:sz w:val="20"/>
          <w:szCs w:val="20"/>
          <w:highlight w:val="none"/>
          <w:u w:val="none"/>
          <w:lang w:val="en-US" w:eastAsia="zh-CN" w:bidi="ar"/>
        </w:rPr>
        <w:t>最高投标限价</w:t>
      </w:r>
      <w:r>
        <w:rPr>
          <w:rFonts w:hint="eastAsia" w:ascii="宋体" w:hAnsi="宋体" w:eastAsia="宋体" w:cs="宋体"/>
          <w:b/>
          <w:bCs/>
          <w:color w:val="auto"/>
          <w:szCs w:val="21"/>
          <w:highlight w:val="none"/>
        </w:rPr>
        <w:t>及</w:t>
      </w:r>
      <w:r>
        <w:rPr>
          <w:rFonts w:hint="eastAsia" w:ascii="宋体" w:hAnsi="宋体" w:cs="宋体"/>
          <w:b/>
          <w:bCs/>
          <w:color w:val="auto"/>
          <w:szCs w:val="21"/>
          <w:highlight w:val="none"/>
          <w:lang w:eastAsia="zh-CN"/>
        </w:rPr>
        <w:t>安全生产措施费</w:t>
      </w:r>
    </w:p>
    <w:p w14:paraId="6B9F9FD3">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本工程</w:t>
      </w:r>
      <w:r>
        <w:rPr>
          <w:rFonts w:hint="eastAsia" w:ascii="宋体" w:hAnsi="宋体" w:eastAsia="宋体" w:cs="宋体"/>
          <w:color w:val="auto"/>
          <w:szCs w:val="21"/>
          <w:highlight w:val="none"/>
          <w:lang w:eastAsia="zh-CN"/>
        </w:rPr>
        <w:t>的</w:t>
      </w:r>
      <w:r>
        <w:rPr>
          <w:rFonts w:hint="eastAsia" w:ascii="宋体" w:hAnsi="宋体" w:eastAsia="宋体" w:cs="宋体"/>
          <w:b/>
          <w:bCs/>
          <w:i w:val="0"/>
          <w:color w:val="auto"/>
          <w:kern w:val="0"/>
          <w:sz w:val="20"/>
          <w:szCs w:val="20"/>
          <w:highlight w:val="none"/>
          <w:u w:val="none"/>
          <w:lang w:val="en-US" w:eastAsia="zh-CN" w:bidi="ar"/>
        </w:rPr>
        <w:t>最高投标限价</w:t>
      </w:r>
      <w:r>
        <w:rPr>
          <w:rFonts w:hint="eastAsia" w:ascii="宋体" w:hAnsi="宋体" w:eastAsia="宋体" w:cs="宋体"/>
          <w:color w:val="auto"/>
          <w:szCs w:val="21"/>
          <w:highlight w:val="none"/>
          <w:lang w:eastAsia="zh-CN"/>
        </w:rPr>
        <w:t>及</w:t>
      </w:r>
      <w:r>
        <w:rPr>
          <w:rFonts w:hint="eastAsia" w:ascii="宋体" w:hAnsi="宋体" w:cs="宋体"/>
          <w:color w:val="auto"/>
          <w:szCs w:val="21"/>
          <w:highlight w:val="none"/>
          <w:lang w:eastAsia="zh-CN"/>
        </w:rPr>
        <w:t>安全生产措施费</w:t>
      </w:r>
      <w:r>
        <w:rPr>
          <w:rFonts w:hint="eastAsia" w:ascii="宋体" w:hAnsi="宋体" w:eastAsia="宋体" w:cs="宋体"/>
          <w:color w:val="auto"/>
          <w:szCs w:val="21"/>
          <w:highlight w:val="none"/>
          <w:lang w:eastAsia="zh-CN"/>
        </w:rPr>
        <w:t>见投标人须知前附表。投标人的</w:t>
      </w:r>
      <w:r>
        <w:rPr>
          <w:rFonts w:hint="eastAsia" w:ascii="宋体" w:hAnsi="宋体" w:eastAsia="宋体" w:cs="宋体"/>
          <w:color w:val="auto"/>
          <w:szCs w:val="21"/>
          <w:highlight w:val="none"/>
        </w:rPr>
        <w:t>投标报价超出</w:t>
      </w:r>
      <w:r>
        <w:rPr>
          <w:rFonts w:hint="eastAsia" w:ascii="宋体" w:hAnsi="宋体" w:cs="宋体"/>
          <w:color w:val="auto"/>
          <w:szCs w:val="21"/>
          <w:highlight w:val="none"/>
          <w:lang w:eastAsia="zh-CN"/>
        </w:rPr>
        <w:t>最高投标限价</w:t>
      </w:r>
      <w:r>
        <w:rPr>
          <w:rFonts w:hint="eastAsia" w:ascii="宋体" w:hAnsi="宋体" w:eastAsia="宋体" w:cs="宋体"/>
          <w:color w:val="auto"/>
          <w:szCs w:val="21"/>
          <w:highlight w:val="none"/>
        </w:rPr>
        <w:t>的或</w:t>
      </w:r>
      <w:r>
        <w:rPr>
          <w:rFonts w:hint="eastAsia" w:ascii="宋体" w:hAnsi="宋体" w:cs="宋体"/>
          <w:color w:val="auto"/>
          <w:szCs w:val="21"/>
          <w:highlight w:val="none"/>
          <w:lang w:eastAsia="zh-CN"/>
        </w:rPr>
        <w:t>安全生产措施费</w:t>
      </w:r>
      <w:r>
        <w:rPr>
          <w:rFonts w:hint="eastAsia" w:ascii="宋体" w:hAnsi="宋体" w:eastAsia="宋体" w:cs="宋体"/>
          <w:color w:val="auto"/>
          <w:szCs w:val="21"/>
          <w:highlight w:val="none"/>
        </w:rPr>
        <w:t>小于本工程</w:t>
      </w:r>
      <w:r>
        <w:rPr>
          <w:rFonts w:hint="eastAsia" w:ascii="宋体" w:hAnsi="宋体" w:cs="宋体"/>
          <w:color w:val="auto"/>
          <w:szCs w:val="21"/>
          <w:highlight w:val="none"/>
          <w:lang w:eastAsia="zh-CN"/>
        </w:rPr>
        <w:t>最高投标限价</w:t>
      </w:r>
      <w:r>
        <w:rPr>
          <w:rFonts w:hint="eastAsia" w:ascii="宋体" w:hAnsi="宋体" w:eastAsia="宋体" w:cs="宋体"/>
          <w:color w:val="auto"/>
          <w:szCs w:val="21"/>
          <w:highlight w:val="none"/>
        </w:rPr>
        <w:t>中</w:t>
      </w:r>
      <w:r>
        <w:rPr>
          <w:rFonts w:hint="eastAsia" w:ascii="宋体" w:hAnsi="宋体" w:cs="宋体"/>
          <w:color w:val="auto"/>
          <w:szCs w:val="21"/>
          <w:highlight w:val="none"/>
          <w:lang w:eastAsia="zh-CN"/>
        </w:rPr>
        <w:t>安全生产措施费</w:t>
      </w:r>
      <w:r>
        <w:rPr>
          <w:rFonts w:hint="eastAsia" w:ascii="宋体" w:hAnsi="宋体" w:eastAsia="宋体" w:cs="宋体"/>
          <w:color w:val="auto"/>
          <w:szCs w:val="21"/>
          <w:highlight w:val="none"/>
        </w:rPr>
        <w:t>的作</w:t>
      </w:r>
      <w:r>
        <w:rPr>
          <w:rFonts w:hint="eastAsia" w:ascii="宋体" w:hAnsi="宋体" w:eastAsia="宋体" w:cs="宋体"/>
          <w:color w:val="auto"/>
          <w:szCs w:val="21"/>
          <w:highlight w:val="none"/>
          <w:lang w:eastAsia="zh-CN"/>
        </w:rPr>
        <w:t>否决投标处理</w:t>
      </w:r>
      <w:r>
        <w:rPr>
          <w:rFonts w:hint="eastAsia" w:ascii="宋体" w:hAnsi="宋体" w:eastAsia="宋体" w:cs="宋体"/>
          <w:color w:val="auto"/>
          <w:szCs w:val="21"/>
          <w:highlight w:val="none"/>
        </w:rPr>
        <w:t>。</w:t>
      </w:r>
    </w:p>
    <w:p w14:paraId="07F5EE3D">
      <w:pPr>
        <w:pageBreakBefore w:val="0"/>
        <w:kinsoku/>
        <w:wordWrap/>
        <w:overflowPunct/>
        <w:topLinePunct w:val="0"/>
        <w:bidi w:val="0"/>
        <w:spacing w:line="360" w:lineRule="auto"/>
        <w:ind w:firstLine="422" w:firstLineChars="200"/>
        <w:textAlignment w:val="auto"/>
        <w:rPr>
          <w:rFonts w:hint="eastAsia" w:ascii="宋体" w:hAnsi="宋体" w:eastAsia="宋体" w:cs="宋体"/>
          <w:b/>
          <w:color w:val="auto"/>
          <w:szCs w:val="21"/>
          <w:highlight w:val="none"/>
          <w:lang w:eastAsia="zh-CN"/>
        </w:rPr>
      </w:pPr>
      <w:r>
        <w:rPr>
          <w:rFonts w:hint="eastAsia" w:ascii="宋体" w:hAnsi="宋体" w:eastAsia="宋体" w:cs="宋体"/>
          <w:b/>
          <w:bCs/>
          <w:color w:val="auto"/>
          <w:szCs w:val="21"/>
          <w:highlight w:val="none"/>
          <w:lang w:val="en-US" w:eastAsia="zh-CN"/>
        </w:rPr>
        <w:t xml:space="preserve">3.2.4 </w:t>
      </w:r>
      <w:r>
        <w:rPr>
          <w:rFonts w:hint="eastAsia" w:ascii="宋体" w:hAnsi="宋体" w:eastAsia="宋体" w:cs="宋体"/>
          <w:b/>
          <w:bCs/>
          <w:color w:val="auto"/>
          <w:szCs w:val="21"/>
          <w:highlight w:val="none"/>
        </w:rPr>
        <w:t>投标报价警戒值</w:t>
      </w:r>
    </w:p>
    <w:p w14:paraId="74B006E1">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投标报价警戒值见投标人须知前附表。</w:t>
      </w:r>
    </w:p>
    <w:p w14:paraId="55A541D2">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szCs w:val="21"/>
          <w:highlight w:val="none"/>
          <w:lang w:val="en-US" w:eastAsia="zh-CN"/>
        </w:rPr>
        <w:t>投</w:t>
      </w:r>
      <w:r>
        <w:rPr>
          <w:rFonts w:hint="eastAsia" w:ascii="宋体" w:hAnsi="宋体" w:eastAsia="宋体" w:cs="宋体"/>
          <w:color w:val="auto"/>
          <w:highlight w:val="none"/>
        </w:rPr>
        <w:t>标人的投标报价低于投标报价警戒值的，</w:t>
      </w:r>
      <w:r>
        <w:rPr>
          <w:rFonts w:hint="eastAsia" w:ascii="宋体" w:hAnsi="宋体" w:cs="宋体"/>
          <w:color w:val="auto"/>
          <w:highlight w:val="none"/>
          <w:lang w:eastAsia="zh-CN"/>
        </w:rPr>
        <w:t>必须按《中山市建设工程施工招标投标报价合理性评审操作指引》的有关规定主动在投标文件附上相关的分析依据、证明材料（如材料价格可提供购销发票、供货承诺书等佐证资料），由评标委员会判定其是否低于企业自身成本。相关的分析依据、证明材料编制到资格标的“低于投标报价警戒值的证明材料”中。</w:t>
      </w:r>
    </w:p>
    <w:p w14:paraId="0664479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3.2.</w:t>
      </w:r>
      <w:r>
        <w:rPr>
          <w:rFonts w:hint="default"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val="en-US" w:eastAsia="zh-CN"/>
        </w:rPr>
        <w:t xml:space="preserve"> 投标报价的其他要求见投标人须知前附表。</w:t>
      </w:r>
    </w:p>
    <w:p w14:paraId="60666604">
      <w:pPr>
        <w:pStyle w:val="4"/>
        <w:bidi w:val="0"/>
        <w:rPr>
          <w:rFonts w:hint="eastAsia" w:ascii="宋体" w:hAnsi="宋体" w:eastAsia="宋体" w:cs="宋体"/>
          <w:color w:val="auto"/>
          <w:highlight w:val="none"/>
        </w:rPr>
      </w:pPr>
      <w:bookmarkStart w:id="607" w:name="_Toc14426095"/>
      <w:bookmarkStart w:id="608" w:name="_Toc381514627"/>
      <w:bookmarkStart w:id="609" w:name="_Toc227731149"/>
      <w:bookmarkStart w:id="610" w:name="_Toc2015679162"/>
      <w:bookmarkStart w:id="611" w:name="_Toc1821669601"/>
      <w:bookmarkStart w:id="612" w:name="_Toc1870326547"/>
      <w:bookmarkStart w:id="613" w:name="_Toc1284996308"/>
      <w:bookmarkStart w:id="614" w:name="_Toc2129283928"/>
      <w:bookmarkStart w:id="615" w:name="_Toc204255057"/>
      <w:bookmarkStart w:id="616" w:name="_Toc530496944"/>
      <w:bookmarkStart w:id="617" w:name="_Toc100891594"/>
      <w:bookmarkStart w:id="618" w:name="_Toc2032716353"/>
      <w:bookmarkStart w:id="619" w:name="_Toc207908402"/>
      <w:bookmarkStart w:id="620" w:name="_Toc1836920378"/>
      <w:bookmarkStart w:id="621" w:name="_Toc2001900125"/>
      <w:bookmarkStart w:id="622" w:name="_Toc1605666462"/>
      <w:bookmarkStart w:id="623" w:name="_Toc1585384705"/>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3</w:t>
      </w:r>
      <w:r>
        <w:rPr>
          <w:rFonts w:hint="eastAsia" w:ascii="宋体" w:hAnsi="宋体" w:cs="宋体"/>
          <w:color w:val="auto"/>
          <w:highlight w:val="none"/>
          <w:lang w:val="en-US" w:eastAsia="zh-CN"/>
        </w:rPr>
        <w:t xml:space="preserve"> </w:t>
      </w:r>
      <w:r>
        <w:rPr>
          <w:rFonts w:hint="eastAsia" w:ascii="宋体" w:hAnsi="宋体" w:eastAsia="宋体" w:cs="宋体"/>
          <w:color w:val="auto"/>
          <w:highlight w:val="none"/>
        </w:rPr>
        <w:t>投标有效期</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14:paraId="61E674E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.1 在投标人须知前附表规定的投标有效期内，投标人不得要求撤销或修改其投标文件。</w:t>
      </w:r>
    </w:p>
    <w:p w14:paraId="188D457F">
      <w:pPr>
        <w:widowControl/>
        <w:tabs>
          <w:tab w:val="left" w:pos="12596"/>
        </w:tabs>
        <w:spacing w:line="360" w:lineRule="auto"/>
        <w:ind w:firstLine="420" w:firstLineChars="200"/>
        <w:jc w:val="left"/>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.2 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或申请注销电子保函。</w:t>
      </w:r>
    </w:p>
    <w:p w14:paraId="6D46D2F9">
      <w:pPr>
        <w:pStyle w:val="4"/>
        <w:bidi w:val="0"/>
        <w:rPr>
          <w:rFonts w:hint="eastAsia" w:ascii="宋体" w:hAnsi="宋体" w:eastAsia="宋体" w:cs="宋体"/>
          <w:color w:val="auto"/>
          <w:highlight w:val="none"/>
          <w:lang w:val="en-US" w:eastAsia="zh-CN"/>
        </w:rPr>
      </w:pPr>
      <w:bookmarkStart w:id="624" w:name="_Toc526654174"/>
      <w:bookmarkStart w:id="625" w:name="_Toc1270253580"/>
      <w:bookmarkStart w:id="626" w:name="_Toc2087159217"/>
      <w:bookmarkStart w:id="627" w:name="_Toc1665037551"/>
      <w:bookmarkStart w:id="628" w:name="_Toc317548068"/>
      <w:bookmarkStart w:id="629" w:name="_Toc657036948"/>
      <w:bookmarkStart w:id="630" w:name="_Toc1834964684"/>
      <w:bookmarkStart w:id="631" w:name="_Toc901775659"/>
      <w:bookmarkStart w:id="632" w:name="_Toc702534831"/>
      <w:bookmarkStart w:id="633" w:name="_Toc666334002"/>
      <w:bookmarkStart w:id="634" w:name="_Toc1441343651"/>
      <w:r>
        <w:rPr>
          <w:rFonts w:hint="eastAsia" w:ascii="宋体" w:hAnsi="宋体" w:eastAsia="宋体" w:cs="宋体"/>
          <w:color w:val="auto"/>
          <w:highlight w:val="none"/>
          <w:lang w:val="en-US" w:eastAsia="zh-CN"/>
        </w:rPr>
        <w:t xml:space="preserve">3.4 </w:t>
      </w:r>
      <w:r>
        <w:rPr>
          <w:rFonts w:hint="eastAsia" w:ascii="宋体" w:hAnsi="宋体" w:eastAsia="宋体" w:cs="宋体"/>
          <w:color w:val="auto"/>
          <w:highlight w:val="none"/>
          <w:lang w:eastAsia="zh-CN"/>
        </w:rPr>
        <w:t>投标保证金</w:t>
      </w:r>
      <w:bookmarkEnd w:id="624"/>
      <w:bookmarkEnd w:id="625"/>
      <w:bookmarkEnd w:id="626"/>
      <w:bookmarkEnd w:id="627"/>
      <w:bookmarkEnd w:id="628"/>
      <w:bookmarkEnd w:id="629"/>
      <w:bookmarkEnd w:id="630"/>
      <w:bookmarkEnd w:id="631"/>
      <w:bookmarkEnd w:id="632"/>
      <w:bookmarkEnd w:id="633"/>
      <w:bookmarkEnd w:id="634"/>
    </w:p>
    <w:p w14:paraId="0C688FB3">
      <w:pPr>
        <w:widowControl/>
        <w:tabs>
          <w:tab w:val="left" w:pos="12596"/>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.1 投标人应按投标人须知前附表规定的金额、形式和时间提交投标保证金。联合体投标的，其投标保证金由牵头人提交，并应符合投标人须知前附表的规定。</w:t>
      </w:r>
    </w:p>
    <w:p w14:paraId="387F5FD3">
      <w:pPr>
        <w:widowControl/>
        <w:tabs>
          <w:tab w:val="left" w:pos="12596"/>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以转账方式提交投标保证金的，招标人不接受同一账户分多次转账或由多个账户转账的方式</w:t>
      </w:r>
      <w:r>
        <w:rPr>
          <w:rFonts w:hint="eastAsia" w:ascii="宋体" w:hAnsi="宋体"/>
          <w:color w:val="auto"/>
          <w:kern w:val="0"/>
          <w:szCs w:val="21"/>
          <w:highlight w:val="none"/>
        </w:rPr>
        <w:t>提交</w:t>
      </w:r>
      <w:r>
        <w:rPr>
          <w:rFonts w:hint="eastAsia" w:ascii="宋体" w:hAnsi="宋体" w:cs="宋体"/>
          <w:color w:val="auto"/>
          <w:kern w:val="0"/>
          <w:szCs w:val="21"/>
          <w:highlight w:val="none"/>
        </w:rPr>
        <w:t>投标保证金。</w:t>
      </w:r>
      <w:r>
        <w:rPr>
          <w:rFonts w:hint="eastAsia" w:ascii="宋体" w:hAnsi="宋体" w:eastAsia="宋体" w:cs="宋体"/>
          <w:color w:val="auto"/>
          <w:kern w:val="0"/>
          <w:szCs w:val="21"/>
          <w:highlight w:val="none"/>
        </w:rPr>
        <w:t>银行转账的投标保证金必须通过投标人已在“中山市公共资源交易中心-基础应用支撑平台”中登记的基本账户（基本账户的企业名称须与投标人名称一致）转入相关账户</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详见“缴纳投标保证金通知书”</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：投标人凭电子招投标数字证书</w:t>
      </w:r>
      <w:r>
        <w:rPr>
          <w:rFonts w:hint="eastAsia" w:ascii="宋体" w:hAnsi="宋体" w:eastAsia="宋体" w:cs="宋体"/>
          <w:color w:val="auto"/>
          <w:kern w:val="0"/>
          <w:szCs w:val="21"/>
          <w:highlight w:val="none"/>
          <w:lang w:eastAsia="zh-CN"/>
        </w:rPr>
        <w:t>登录</w:t>
      </w:r>
      <w:r>
        <w:rPr>
          <w:rFonts w:hint="eastAsia" w:ascii="宋体" w:hAnsi="宋体" w:eastAsia="宋体" w:cs="宋体"/>
          <w:color w:val="auto"/>
          <w:highlight w:val="none"/>
          <w:lang w:val="en-US" w:eastAsia="zh-CN"/>
        </w:rPr>
        <w:t>工程建设交易系统</w:t>
      </w:r>
      <w:r>
        <w:rPr>
          <w:rFonts w:hint="eastAsia" w:ascii="宋体" w:hAnsi="宋体" w:eastAsia="宋体" w:cs="宋体"/>
          <w:color w:val="auto"/>
          <w:kern w:val="0"/>
          <w:szCs w:val="21"/>
          <w:highlight w:val="none"/>
        </w:rPr>
        <w:t>，在“投标管理--参与项目”栏目页面，选择参与投标的项目获取保证金提交子账号，并严格按照“缴纳投标保证金通知书”的要求足额提交投标保证金。</w:t>
      </w:r>
      <w:r>
        <w:rPr>
          <w:rFonts w:hint="eastAsia" w:ascii="宋体" w:hAnsi="宋体" w:cs="宋体"/>
          <w:color w:val="auto"/>
          <w:kern w:val="0"/>
          <w:szCs w:val="21"/>
          <w:highlight w:val="none"/>
        </w:rPr>
        <w:t>投标保证金只向提交投标保证金的账户退还。</w:t>
      </w:r>
    </w:p>
    <w:p w14:paraId="0E9CF994">
      <w:pPr>
        <w:widowControl/>
        <w:tabs>
          <w:tab w:val="left" w:pos="12596"/>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禁止投标单位采用EFT系统（广东金融结算系统）方式提交投标保证金，如采用此方式导致招投标系统无法识别提交投标保证金账号信息，视为未按要求提交投标保证金，由此造成废标的后果由投标单位自行承担。</w:t>
      </w:r>
    </w:p>
    <w:p w14:paraId="61F08E8D">
      <w:pPr>
        <w:widowControl/>
        <w:tabs>
          <w:tab w:val="left" w:pos="12596"/>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提交投标保证金时如遇到银行系统升级，使投标人基本账号改变，导致招标投标系统判断投标人未提交投标保证金的，投标人应及时向相关银行索取书面说明，到中山市公共资源交易中心办理基本账户新号备案手续。</w:t>
      </w:r>
    </w:p>
    <w:p w14:paraId="2E9F2A84">
      <w:pPr>
        <w:widowControl/>
        <w:tabs>
          <w:tab w:val="left" w:pos="12596"/>
        </w:tabs>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以电子保函方式提交投标保证金的，投标人凭电子招投标数字证书</w:t>
      </w:r>
      <w:r>
        <w:rPr>
          <w:rFonts w:hint="eastAsia" w:ascii="宋体" w:hAnsi="宋体" w:cs="宋体"/>
          <w:color w:val="auto"/>
          <w:kern w:val="0"/>
          <w:szCs w:val="21"/>
          <w:highlight w:val="none"/>
          <w:lang w:eastAsia="zh-CN"/>
        </w:rPr>
        <w:t>登录工程建设交易系统</w:t>
      </w:r>
      <w:r>
        <w:rPr>
          <w:rFonts w:hint="eastAsia" w:ascii="宋体" w:hAnsi="宋体" w:cs="宋体"/>
          <w:color w:val="auto"/>
          <w:kern w:val="0"/>
          <w:szCs w:val="21"/>
          <w:highlight w:val="none"/>
        </w:rPr>
        <w:t>，在“投标管理--参与项目”栏目页面，选择参与投标的项目，选择相关金融机构办理电子保函。电子保函的出具时间视同于保证金提交时间。电子保函有效期限到期后自动失效，若在有效期间内办理注销的，则在注销之日起失效。电子保函办理的申请流程及操作指引详见广东省公共资源交易平台（中山市）→“服务指南”。</w:t>
      </w:r>
    </w:p>
    <w:p w14:paraId="32AFD899">
      <w:pPr>
        <w:widowControl/>
        <w:tabs>
          <w:tab w:val="left" w:pos="12596"/>
        </w:tabs>
        <w:spacing w:line="360" w:lineRule="auto"/>
        <w:ind w:firstLine="420" w:firstLineChars="200"/>
        <w:jc w:val="left"/>
        <w:rPr>
          <w:rFonts w:ascii="宋体" w:hAnsi="宋体"/>
          <w:b/>
          <w:color w:val="auto"/>
          <w:kern w:val="0"/>
          <w:szCs w:val="21"/>
          <w:highlight w:val="none"/>
        </w:rPr>
      </w:pPr>
      <w:r>
        <w:rPr>
          <w:rFonts w:hint="eastAsia" w:ascii="宋体" w:hAnsi="宋体" w:cs="宋体"/>
          <w:color w:val="auto"/>
          <w:kern w:val="0"/>
          <w:szCs w:val="21"/>
          <w:highlight w:val="none"/>
        </w:rPr>
        <w:t>投标保证金提交时间以保证金转账到账时间或电子保函出具时间为准，投标人应提前提交投标保证金，由于投标保证金提交时间超过投标保证金提交截止时间而导致</w:t>
      </w:r>
      <w:r>
        <w:rPr>
          <w:rFonts w:hint="eastAsia" w:ascii="宋体" w:hAnsi="宋体" w:cs="宋体"/>
          <w:color w:val="auto"/>
          <w:kern w:val="0"/>
          <w:szCs w:val="21"/>
          <w:highlight w:val="none"/>
          <w:lang w:eastAsia="zh-CN"/>
        </w:rPr>
        <w:t>被否决投标</w:t>
      </w:r>
      <w:r>
        <w:rPr>
          <w:rFonts w:hint="eastAsia" w:ascii="宋体" w:hAnsi="宋体" w:cs="宋体"/>
          <w:color w:val="auto"/>
          <w:kern w:val="0"/>
          <w:szCs w:val="21"/>
          <w:highlight w:val="none"/>
        </w:rPr>
        <w:t>的，由投标人自负责任。提交投标保证金时，投标人必须按“缴纳投标保证金通知书”中的收款账号填写完整或按电子保函的申请程序办理手续，如因收款账号填写不完整造成保证金不能按时到账或因操作不当等造成电子保函不能按时出具导致</w:t>
      </w:r>
      <w:r>
        <w:rPr>
          <w:rFonts w:hint="eastAsia" w:ascii="宋体" w:hAnsi="宋体" w:cs="宋体"/>
          <w:color w:val="auto"/>
          <w:kern w:val="0"/>
          <w:szCs w:val="21"/>
          <w:highlight w:val="none"/>
          <w:lang w:eastAsia="zh-CN"/>
        </w:rPr>
        <w:t>被否决投标</w:t>
      </w:r>
      <w:r>
        <w:rPr>
          <w:rFonts w:hint="eastAsia" w:ascii="宋体" w:hAnsi="宋体" w:cs="宋体"/>
          <w:color w:val="auto"/>
          <w:kern w:val="0"/>
          <w:szCs w:val="21"/>
          <w:highlight w:val="none"/>
        </w:rPr>
        <w:t>的，后果由投标人自行承担。</w:t>
      </w:r>
    </w:p>
    <w:p w14:paraId="65754BB7">
      <w:pPr>
        <w:spacing w:line="360" w:lineRule="auto"/>
        <w:ind w:firstLine="401" w:firstLineChars="191"/>
        <w:rPr>
          <w:rFonts w:ascii="宋体" w:hAnsi="宋体"/>
          <w:color w:val="auto"/>
          <w:kern w:val="0"/>
          <w:szCs w:val="21"/>
          <w:highlight w:val="none"/>
        </w:rPr>
      </w:pPr>
      <w:r>
        <w:rPr>
          <w:rFonts w:hint="eastAsia" w:ascii="宋体" w:hAnsi="宋体" w:cs="宋体"/>
          <w:color w:val="auto"/>
          <w:kern w:val="0"/>
          <w:szCs w:val="21"/>
          <w:highlight w:val="none"/>
        </w:rPr>
        <w:t>3.</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.2 投标人不按本章第3.</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.1项要求提交投标保证金或投标保证金承诺书的，其投标</w:t>
      </w:r>
      <w:r>
        <w:rPr>
          <w:rFonts w:hint="eastAsia" w:ascii="宋体" w:hAnsi="宋体" w:cs="宋体"/>
          <w:color w:val="auto"/>
          <w:kern w:val="0"/>
          <w:szCs w:val="21"/>
          <w:highlight w:val="none"/>
          <w:lang w:val="en-US" w:eastAsia="zh-CN"/>
        </w:rPr>
        <w:t>将被否决</w:t>
      </w:r>
      <w:r>
        <w:rPr>
          <w:rFonts w:hint="eastAsia" w:ascii="宋体" w:hAnsi="宋体" w:cs="宋体"/>
          <w:color w:val="auto"/>
          <w:kern w:val="0"/>
          <w:szCs w:val="21"/>
          <w:highlight w:val="none"/>
        </w:rPr>
        <w:t>。</w:t>
      </w:r>
    </w:p>
    <w:p w14:paraId="74D499CB">
      <w:pPr>
        <w:spacing w:line="360" w:lineRule="auto"/>
        <w:ind w:firstLine="401" w:firstLineChars="191"/>
        <w:rPr>
          <w:rFonts w:ascii="宋体" w:hAnsi="宋体"/>
          <w:color w:val="auto"/>
          <w:szCs w:val="21"/>
          <w:highlight w:val="none"/>
        </w:rPr>
      </w:pPr>
      <w:r>
        <w:rPr>
          <w:rFonts w:hint="eastAsia" w:ascii="宋体" w:hAnsi="宋体" w:cs="宋体"/>
          <w:color w:val="auto"/>
          <w:kern w:val="0"/>
          <w:szCs w:val="21"/>
          <w:highlight w:val="none"/>
        </w:rPr>
        <w:t>3.</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.3</w:t>
      </w:r>
      <w:r>
        <w:rPr>
          <w:rFonts w:hint="eastAsia" w:ascii="宋体" w:hAnsi="宋体" w:cs="宋体"/>
          <w:color w:val="auto"/>
          <w:kern w:val="0"/>
          <w:szCs w:val="21"/>
          <w:highlight w:val="none"/>
          <w:lang w:val="en-US" w:eastAsia="zh-CN"/>
        </w:rPr>
        <w:t xml:space="preserve"> </w:t>
      </w:r>
      <w:r>
        <w:rPr>
          <w:rFonts w:hint="eastAsia" w:ascii="宋体" w:hAnsi="宋体"/>
          <w:color w:val="auto"/>
          <w:szCs w:val="21"/>
          <w:highlight w:val="none"/>
        </w:rPr>
        <w:t>投标保证金的退还</w:t>
      </w:r>
    </w:p>
    <w:p w14:paraId="220DCB18">
      <w:pPr>
        <w:numPr>
          <w:ilvl w:val="0"/>
          <w:numId w:val="0"/>
        </w:numPr>
        <w:spacing w:line="360" w:lineRule="auto"/>
        <w:ind w:firstLine="420" w:firstLineChars="200"/>
        <w:rPr>
          <w:rFonts w:hint="eastAsia" w:ascii="宋体" w:hAnsi="宋体" w:cs="宋体"/>
          <w:color w:val="auto"/>
          <w:kern w:val="0"/>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w:t>
      </w:r>
      <w:r>
        <w:rPr>
          <w:rFonts w:hint="eastAsia" w:ascii="宋体" w:hAnsi="宋体" w:cs="宋体"/>
          <w:color w:val="auto"/>
          <w:kern w:val="0"/>
          <w:szCs w:val="21"/>
          <w:highlight w:val="none"/>
        </w:rPr>
        <w:t>中标候选人以外的投标人的投标保证金退付。在发出中标通知书后5日内（法定节假日顺延），由交易中心代招标人将转账提交的投标保证金及银行同期存款利息退回中标候选人以外的投标人，电子保函的则予以注销；</w:t>
      </w:r>
    </w:p>
    <w:p w14:paraId="681D8965">
      <w:pPr>
        <w:numPr>
          <w:ilvl w:val="0"/>
          <w:numId w:val="0"/>
        </w:numPr>
        <w:spacing w:line="360" w:lineRule="auto"/>
        <w:ind w:firstLine="420" w:firstLineChars="200"/>
        <w:rPr>
          <w:rFonts w:hint="eastAsia" w:ascii="宋体" w:hAnsi="宋体" w:cs="宋体"/>
          <w:color w:val="auto"/>
          <w:kern w:val="0"/>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w:t>
      </w:r>
      <w:r>
        <w:rPr>
          <w:rFonts w:hint="eastAsia" w:ascii="宋体" w:hAnsi="宋体" w:cs="宋体"/>
          <w:color w:val="auto"/>
          <w:kern w:val="0"/>
          <w:szCs w:val="21"/>
          <w:highlight w:val="none"/>
        </w:rPr>
        <w:t>中标人和其他中标候选人的投标保证金退付。招标人发出已与中标人签订合同的通知后5日内（法定节假日顺延），由交易中心代招标人将转账提交的投标保证金及银行同期存款利息</w:t>
      </w:r>
      <w:r>
        <w:rPr>
          <w:rFonts w:hint="eastAsia" w:ascii="宋体" w:hAnsi="宋体" w:cs="宋体"/>
          <w:color w:val="auto"/>
          <w:kern w:val="0"/>
          <w:szCs w:val="21"/>
          <w:highlight w:val="none"/>
          <w:lang w:eastAsia="zh-CN"/>
        </w:rPr>
        <w:t>退回</w:t>
      </w:r>
      <w:r>
        <w:rPr>
          <w:rFonts w:hint="eastAsia" w:ascii="宋体" w:hAnsi="宋体" w:cs="宋体"/>
          <w:color w:val="auto"/>
          <w:kern w:val="0"/>
          <w:szCs w:val="21"/>
          <w:highlight w:val="none"/>
        </w:rPr>
        <w:t>中标人和其他中标候选人，电子保函的则予以注销；</w:t>
      </w:r>
    </w:p>
    <w:p w14:paraId="0D82C706">
      <w:pPr>
        <w:numPr>
          <w:ilvl w:val="0"/>
          <w:numId w:val="0"/>
        </w:numPr>
        <w:spacing w:line="360" w:lineRule="auto"/>
        <w:ind w:firstLine="420" w:firstLineChars="200"/>
        <w:rPr>
          <w:rFonts w:ascii="宋体" w:hAnsi="宋体"/>
          <w:color w:val="auto"/>
          <w:kern w:val="0"/>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3</w:t>
      </w:r>
      <w:r>
        <w:rPr>
          <w:rFonts w:hint="eastAsia" w:ascii="宋体" w:hAnsi="宋体"/>
          <w:color w:val="auto"/>
          <w:szCs w:val="21"/>
          <w:highlight w:val="none"/>
          <w:lang w:eastAsia="zh-CN"/>
        </w:rPr>
        <w:t>）</w:t>
      </w:r>
      <w:r>
        <w:rPr>
          <w:rFonts w:hint="eastAsia" w:ascii="宋体" w:hAnsi="宋体" w:cs="宋体"/>
          <w:color w:val="auto"/>
          <w:kern w:val="0"/>
          <w:szCs w:val="21"/>
          <w:highlight w:val="none"/>
        </w:rPr>
        <w:t>项目招标失败或终止招标的投标保证金退付。招标人发出的招标失败或终止招标的有关文件后5日内（法定节假日顺延），由交易中心代招标人将转账提交的投标保证金及银行同期存款利息退还所有投标人，电子保函的则予以注销。</w:t>
      </w:r>
    </w:p>
    <w:p w14:paraId="1DDF12E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w:t>
      </w:r>
      <w:r>
        <w:rPr>
          <w:rFonts w:hint="eastAsia" w:ascii="宋体" w:hAnsi="宋体"/>
          <w:color w:val="auto"/>
          <w:szCs w:val="21"/>
          <w:highlight w:val="none"/>
          <w:lang w:val="en-US" w:eastAsia="zh-CN"/>
        </w:rPr>
        <w:t>4</w:t>
      </w:r>
      <w:r>
        <w:rPr>
          <w:rFonts w:hint="eastAsia" w:ascii="宋体" w:hAnsi="宋体"/>
          <w:color w:val="auto"/>
          <w:szCs w:val="21"/>
          <w:highlight w:val="none"/>
        </w:rPr>
        <w:t>.4 有下列情形之一的，投标保证金将不予退还：</w:t>
      </w:r>
    </w:p>
    <w:p w14:paraId="6D2B725D">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w:t>
      </w:r>
      <w:r>
        <w:rPr>
          <w:rFonts w:hint="eastAsia" w:ascii="宋体" w:hAnsi="宋体"/>
          <w:color w:val="auto"/>
          <w:szCs w:val="21"/>
          <w:highlight w:val="none"/>
        </w:rPr>
        <w:t>投标人在规定的投标有效期内撤销（中标候选人弃标亦视为撤销行为）或修改其投标文件；</w:t>
      </w:r>
    </w:p>
    <w:p w14:paraId="591BA6AD">
      <w:pPr>
        <w:spacing w:line="360" w:lineRule="auto"/>
        <w:ind w:firstLine="315" w:firstLineChars="15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w:t>
      </w:r>
      <w:r>
        <w:rPr>
          <w:rFonts w:hint="eastAsia" w:ascii="宋体" w:hAnsi="宋体"/>
          <w:color w:val="auto"/>
          <w:szCs w:val="21"/>
          <w:highlight w:val="none"/>
        </w:rPr>
        <w:t>中标人在收到中标通知书后，无正当理由拒签合同协议书或未按招标文件规定提交履约担保。</w:t>
      </w:r>
    </w:p>
    <w:p w14:paraId="6C755BB6">
      <w:pPr>
        <w:pStyle w:val="4"/>
        <w:bidi w:val="0"/>
        <w:rPr>
          <w:rFonts w:hint="eastAsia" w:ascii="宋体" w:hAnsi="宋体" w:eastAsia="宋体" w:cs="宋体"/>
          <w:color w:val="auto"/>
          <w:highlight w:val="none"/>
        </w:rPr>
      </w:pPr>
      <w:bookmarkStart w:id="635" w:name="_Toc1529310022"/>
      <w:bookmarkStart w:id="636" w:name="_Toc709770374"/>
      <w:bookmarkStart w:id="637" w:name="_Toc1635805957"/>
      <w:bookmarkStart w:id="638" w:name="_Toc178646261"/>
      <w:bookmarkStart w:id="639" w:name="_Toc2075756828"/>
      <w:bookmarkStart w:id="640" w:name="_Toc720060438"/>
      <w:bookmarkStart w:id="641" w:name="_Toc1200518534"/>
      <w:bookmarkStart w:id="642" w:name="_Toc906635894"/>
      <w:bookmarkStart w:id="643" w:name="_Toc992828599"/>
      <w:bookmarkStart w:id="644" w:name="_Toc1948242665"/>
      <w:bookmarkStart w:id="645" w:name="_Toc1085400718"/>
      <w:bookmarkStart w:id="646" w:name="_Toc1960659565"/>
      <w:bookmarkStart w:id="647" w:name="_Toc425611206"/>
      <w:bookmarkStart w:id="648" w:name="_Toc1986683362"/>
      <w:bookmarkStart w:id="649" w:name="_Toc975226592"/>
      <w:bookmarkStart w:id="650" w:name="_Toc1435415558"/>
      <w:bookmarkStart w:id="651" w:name="_Toc1522711528"/>
      <w:r>
        <w:rPr>
          <w:rFonts w:hint="eastAsia" w:ascii="宋体" w:hAnsi="宋体" w:eastAsia="宋体" w:cs="宋体"/>
          <w:color w:val="auto"/>
          <w:highlight w:val="none"/>
          <w:lang w:val="en-US" w:eastAsia="zh-CN"/>
        </w:rPr>
        <w:t>3.5</w:t>
      </w:r>
      <w:r>
        <w:rPr>
          <w:rFonts w:hint="eastAsia" w:ascii="宋体" w:hAnsi="宋体" w:cs="宋体"/>
          <w:color w:val="auto"/>
          <w:highlight w:val="none"/>
          <w:lang w:val="en-US" w:eastAsia="zh-CN"/>
        </w:rPr>
        <w:t xml:space="preserve"> </w:t>
      </w:r>
      <w:r>
        <w:rPr>
          <w:rFonts w:hint="eastAsia" w:ascii="宋体" w:hAnsi="宋体" w:eastAsia="宋体" w:cs="宋体"/>
          <w:color w:val="auto"/>
          <w:highlight w:val="none"/>
        </w:rPr>
        <w:t>资格审查资料</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14:paraId="364453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投标人须按</w:t>
      </w:r>
      <w:r>
        <w:rPr>
          <w:rFonts w:hint="eastAsia" w:ascii="宋体" w:hAnsi="宋体" w:eastAsia="宋体" w:cs="宋体"/>
          <w:color w:val="auto"/>
          <w:szCs w:val="21"/>
          <w:highlight w:val="none"/>
          <w:lang w:eastAsia="zh-CN"/>
        </w:rPr>
        <w:t>本章</w:t>
      </w:r>
      <w:r>
        <w:rPr>
          <w:rFonts w:hint="eastAsia" w:ascii="宋体" w:hAnsi="宋体" w:eastAsia="宋体" w:cs="宋体"/>
          <w:color w:val="auto"/>
          <w:szCs w:val="21"/>
          <w:highlight w:val="none"/>
          <w:lang w:val="en-US" w:eastAsia="zh-CN"/>
        </w:rPr>
        <w:t>3.1.1.1及</w:t>
      </w:r>
      <w:r>
        <w:rPr>
          <w:rFonts w:hint="eastAsia" w:ascii="宋体" w:hAnsi="宋体" w:eastAsia="宋体" w:cs="宋体"/>
          <w:color w:val="auto"/>
          <w:szCs w:val="21"/>
          <w:highlight w:val="none"/>
        </w:rPr>
        <w:t>招标文件第</w:t>
      </w:r>
      <w:r>
        <w:rPr>
          <w:rFonts w:hint="eastAsia" w:ascii="宋体" w:hAnsi="宋体" w:eastAsia="宋体" w:cs="宋体"/>
          <w:color w:val="auto"/>
          <w:szCs w:val="21"/>
          <w:highlight w:val="none"/>
          <w:lang w:eastAsia="zh-CN"/>
        </w:rPr>
        <w:t>八</w:t>
      </w:r>
      <w:r>
        <w:rPr>
          <w:rFonts w:hint="eastAsia" w:ascii="宋体" w:hAnsi="宋体" w:eastAsia="宋体" w:cs="宋体"/>
          <w:color w:val="auto"/>
          <w:szCs w:val="21"/>
          <w:highlight w:val="none"/>
        </w:rPr>
        <w:t>章“投标文件格式”</w:t>
      </w:r>
      <w:r>
        <w:rPr>
          <w:rFonts w:hint="eastAsia" w:ascii="宋体" w:hAnsi="宋体" w:eastAsia="宋体" w:cs="宋体"/>
          <w:color w:val="auto"/>
          <w:szCs w:val="21"/>
          <w:highlight w:val="none"/>
          <w:lang w:eastAsia="zh-CN"/>
        </w:rPr>
        <w:t>要求提供</w:t>
      </w:r>
      <w:r>
        <w:rPr>
          <w:rFonts w:hint="eastAsia" w:ascii="宋体" w:hAnsi="宋体" w:eastAsia="宋体" w:cs="宋体"/>
          <w:color w:val="auto"/>
          <w:szCs w:val="21"/>
          <w:highlight w:val="none"/>
        </w:rPr>
        <w:t>相关证件及证明材料，以证实其各项资格条件能满足要求，具备承担本项目的资质条件、能力。</w:t>
      </w:r>
    </w:p>
    <w:p w14:paraId="19C29A1B">
      <w:pPr>
        <w:spacing w:line="360" w:lineRule="auto"/>
        <w:ind w:firstLine="420" w:firstLineChars="200"/>
        <w:rPr>
          <w:rFonts w:hint="default" w:ascii="宋体" w:hAnsi="宋体" w:eastAsia="宋体" w:cs="宋体"/>
          <w:b w:val="0"/>
          <w:bCs w:val="0"/>
          <w:color w:val="auto"/>
          <w:kern w:val="2"/>
          <w:szCs w:val="21"/>
          <w:highlight w:val="none"/>
          <w:lang w:val="en-US" w:eastAsia="zh-CN" w:bidi="ar-SA"/>
        </w:rPr>
      </w:pPr>
      <w:r>
        <w:rPr>
          <w:rFonts w:hint="eastAsia" w:ascii="宋体" w:hAnsi="宋体" w:eastAsia="宋体" w:cs="宋体"/>
          <w:b w:val="0"/>
          <w:bCs w:val="0"/>
          <w:color w:val="auto"/>
          <w:kern w:val="2"/>
          <w:szCs w:val="21"/>
          <w:highlight w:val="none"/>
          <w:lang w:val="en-US" w:eastAsia="zh-CN" w:bidi="ar-SA"/>
        </w:rPr>
        <w:t>3.5.1 《投标人基本情况表》应附投标人营业执照、资质证书（园林绿化项目免）、安全生产许可证（园林绿化项目免）等材料的复印件或扫描件</w:t>
      </w:r>
      <w:r>
        <w:rPr>
          <w:rFonts w:hint="eastAsia" w:ascii="宋体" w:hAnsi="宋体" w:cs="宋体"/>
          <w:b w:val="0"/>
          <w:bCs w:val="0"/>
          <w:color w:val="auto"/>
          <w:kern w:val="2"/>
          <w:szCs w:val="21"/>
          <w:highlight w:val="none"/>
          <w:lang w:val="en-US" w:eastAsia="zh-CN" w:bidi="ar-SA"/>
        </w:rPr>
        <w:t>或电子件</w:t>
      </w:r>
      <w:r>
        <w:rPr>
          <w:rFonts w:hint="eastAsia" w:ascii="宋体" w:hAnsi="宋体" w:eastAsia="宋体" w:cs="宋体"/>
          <w:b w:val="0"/>
          <w:bCs w:val="0"/>
          <w:color w:val="auto"/>
          <w:kern w:val="2"/>
          <w:szCs w:val="21"/>
          <w:highlight w:val="none"/>
          <w:lang w:val="en-US" w:eastAsia="zh-CN" w:bidi="ar-SA"/>
        </w:rPr>
        <w:t>。</w:t>
      </w:r>
    </w:p>
    <w:p w14:paraId="55DAA80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3.5.</w:t>
      </w:r>
      <w:r>
        <w:rPr>
          <w:rFonts w:hint="default"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val="en-US" w:eastAsia="zh-CN"/>
        </w:rPr>
        <w:t xml:space="preserve"> “《信用中国》网站下载的信用信息报告”“国家企业信用信息公示系统的企业信用信息公示报告”应为招标公告发布后、投标截止时间前下载的报告</w:t>
      </w:r>
      <w:r>
        <w:rPr>
          <w:rFonts w:hint="eastAsia" w:ascii="Times New Roman" w:hAnsi="Times New Roman" w:eastAsia="宋体" w:cs="Times New Roman"/>
          <w:bCs/>
          <w:color w:val="auto"/>
          <w:sz w:val="21"/>
          <w:szCs w:val="21"/>
          <w:highlight w:val="none"/>
          <w:lang w:val="en-US" w:eastAsia="zh-CN"/>
        </w:rPr>
        <w:t>，</w:t>
      </w:r>
      <w:r>
        <w:rPr>
          <w:rFonts w:hint="eastAsia" w:ascii="宋体" w:hAnsi="宋体"/>
          <w:color w:val="auto"/>
          <w:szCs w:val="21"/>
          <w:highlight w:val="none"/>
        </w:rPr>
        <w:t>具体版式以</w:t>
      </w:r>
      <w:r>
        <w:rPr>
          <w:rFonts w:hint="eastAsia" w:ascii="宋体" w:hAnsi="宋体"/>
          <w:color w:val="auto"/>
          <w:szCs w:val="21"/>
          <w:highlight w:val="none"/>
          <w:lang w:eastAsia="zh-CN"/>
        </w:rPr>
        <w:t>《信用中国》</w:t>
      </w:r>
      <w:r>
        <w:rPr>
          <w:rFonts w:hint="eastAsia" w:ascii="宋体" w:hAnsi="宋体"/>
          <w:color w:val="auto"/>
          <w:szCs w:val="21"/>
          <w:highlight w:val="none"/>
        </w:rPr>
        <w:t>网站、国家企业信用信息公示系统的版式为准</w:t>
      </w:r>
      <w:r>
        <w:rPr>
          <w:rFonts w:hint="eastAsia" w:ascii="宋体" w:hAnsi="宋体" w:eastAsia="宋体" w:cs="宋体"/>
          <w:color w:val="auto"/>
          <w:szCs w:val="21"/>
          <w:highlight w:val="none"/>
          <w:lang w:val="en-US" w:eastAsia="zh-CN"/>
        </w:rPr>
        <w:t>。招标人在开标当天查询复核，如与投标人递交信息不一致，以开标当日（投标截止日）查询的结果为准。</w:t>
      </w:r>
    </w:p>
    <w:p w14:paraId="656AFF2C">
      <w:pPr>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3.5.3 《类似工程业绩表》应按表格备注的要求附相关证明材料的复印件或扫描、截图。（如有）</w:t>
      </w:r>
    </w:p>
    <w:p w14:paraId="11BDA89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3.5.</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lang w:val="en-US" w:eastAsia="zh-CN"/>
        </w:rPr>
        <w:t xml:space="preserve"> “投标人须知前附表”规定接受联合体投标的，本章第3.5.1项、3.5.2项规定的资料应包括联合体各方相关情况。</w:t>
      </w:r>
    </w:p>
    <w:p w14:paraId="5A134257">
      <w:pPr>
        <w:pStyle w:val="4"/>
        <w:bidi w:val="0"/>
        <w:rPr>
          <w:rFonts w:hint="eastAsia" w:ascii="宋体" w:hAnsi="宋体" w:eastAsia="宋体" w:cs="宋体"/>
          <w:b/>
          <w:bCs/>
          <w:color w:val="auto"/>
          <w:highlight w:val="none"/>
          <w:lang w:val="en-US" w:eastAsia="zh-CN"/>
        </w:rPr>
      </w:pPr>
      <w:bookmarkStart w:id="652" w:name="_Toc1789858183"/>
      <w:bookmarkStart w:id="653" w:name="_Toc322239916"/>
      <w:bookmarkStart w:id="654" w:name="_Toc1438900985"/>
      <w:bookmarkStart w:id="655" w:name="_Toc1838582229"/>
      <w:bookmarkStart w:id="656" w:name="_Toc642100125"/>
      <w:bookmarkStart w:id="657" w:name="_Toc511319589"/>
      <w:bookmarkStart w:id="658" w:name="_Toc2115619270"/>
      <w:bookmarkStart w:id="659" w:name="_Toc1479622445"/>
      <w:bookmarkStart w:id="660" w:name="_Toc1299570235"/>
      <w:bookmarkStart w:id="661" w:name="_Toc95425903"/>
      <w:bookmarkStart w:id="662" w:name="_Toc1347312064"/>
      <w:bookmarkStart w:id="663" w:name="_Toc992581238"/>
      <w:bookmarkStart w:id="664" w:name="_Toc76011404"/>
      <w:bookmarkStart w:id="665" w:name="_Toc1647734597"/>
      <w:bookmarkStart w:id="666" w:name="_Toc226707348"/>
      <w:bookmarkStart w:id="667" w:name="_Toc160658084"/>
      <w:bookmarkStart w:id="668" w:name="_Toc1531854503"/>
      <w:r>
        <w:rPr>
          <w:rFonts w:hint="eastAsia" w:ascii="宋体" w:hAnsi="宋体" w:eastAsia="宋体" w:cs="宋体"/>
          <w:b/>
          <w:bCs/>
          <w:color w:val="auto"/>
          <w:highlight w:val="none"/>
          <w:lang w:val="en-US" w:eastAsia="zh-CN"/>
        </w:rPr>
        <w:t>3.6 备选投标方案</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14:paraId="463ECC62">
      <w:pPr>
        <w:spacing w:line="360" w:lineRule="auto"/>
        <w:ind w:firstLine="420" w:firstLineChars="200"/>
        <w:rPr>
          <w:rFonts w:hint="eastAsia" w:ascii="宋体" w:hAnsi="宋体"/>
          <w:color w:val="auto"/>
          <w:szCs w:val="21"/>
          <w:highlight w:val="none"/>
        </w:rPr>
      </w:pPr>
      <w:bookmarkStart w:id="669" w:name="_Toc1270851488"/>
      <w:bookmarkStart w:id="670" w:name="_Toc178447995"/>
      <w:bookmarkStart w:id="671" w:name="_Toc1898964506"/>
      <w:bookmarkStart w:id="672" w:name="_Toc1120598720"/>
      <w:bookmarkStart w:id="673" w:name="_Toc1099599545"/>
      <w:bookmarkStart w:id="674" w:name="_Toc1457197106"/>
      <w:bookmarkStart w:id="675" w:name="_Toc1854770997"/>
      <w:bookmarkStart w:id="676" w:name="_Toc1189484807"/>
      <w:bookmarkStart w:id="677" w:name="_Toc970515607"/>
      <w:bookmarkStart w:id="678" w:name="_Toc1712401541"/>
      <w:bookmarkStart w:id="679" w:name="_Toc1624883719"/>
      <w:bookmarkStart w:id="680" w:name="_Toc872472796"/>
      <w:bookmarkStart w:id="681" w:name="_Toc1856949925"/>
      <w:bookmarkStart w:id="682" w:name="_Toc638969221"/>
      <w:bookmarkStart w:id="683" w:name="_Toc1992357145"/>
      <w:bookmarkStart w:id="684" w:name="_Toc431339956"/>
      <w:bookmarkStart w:id="685" w:name="_Toc623856748"/>
      <w:r>
        <w:rPr>
          <w:rFonts w:hint="eastAsia" w:ascii="宋体" w:hAnsi="宋体"/>
          <w:color w:val="auto"/>
          <w:szCs w:val="21"/>
          <w:highlight w:val="none"/>
        </w:rPr>
        <w:t>除投标人须知前附表另有规定外，投标人不得递交备选投标方案。允许投标人递交备选投标方案的，只有中标人所递交的备选投标方案方可予以考虑。评标委员会认为中标人的</w:t>
      </w:r>
      <w:r>
        <w:rPr>
          <w:rFonts w:hint="eastAsia" w:ascii="宋体" w:hAnsi="宋体"/>
          <w:color w:val="auto"/>
          <w:szCs w:val="21"/>
          <w:highlight w:val="none"/>
          <w:lang w:val="en-US" w:eastAsia="zh-CN"/>
        </w:rPr>
        <w:t>备</w:t>
      </w:r>
      <w:r>
        <w:rPr>
          <w:rFonts w:hint="eastAsia" w:ascii="宋体" w:hAnsi="宋体"/>
          <w:color w:val="auto"/>
          <w:szCs w:val="21"/>
          <w:highlight w:val="none"/>
        </w:rPr>
        <w:t>选投标方案优于其按照招标文件要求编制的投标方案的，招标人可以接受该备选投标方案。</w:t>
      </w:r>
    </w:p>
    <w:p w14:paraId="6AECF036">
      <w:pPr>
        <w:pStyle w:val="4"/>
        <w:bidi w:val="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3.7 投标文件的编制</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14:paraId="1A8BE2F9">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3.7.1 投标文件应按第八章“投标文件格式”进行编写，如有必要，可以增加附页，作为投标文件的组成部分。其中，</w:t>
      </w:r>
      <w:r>
        <w:rPr>
          <w:rFonts w:hint="eastAsia" w:ascii="宋体" w:hAnsi="宋体" w:eastAsia="宋体" w:cs="宋体"/>
          <w:color w:val="auto"/>
          <w:szCs w:val="21"/>
          <w:highlight w:val="none"/>
          <w:lang w:eastAsia="zh-CN"/>
        </w:rPr>
        <w:t>投标承诺书</w:t>
      </w:r>
      <w:r>
        <w:rPr>
          <w:rFonts w:hint="eastAsia" w:ascii="宋体" w:hAnsi="宋体" w:eastAsia="宋体" w:cs="宋体"/>
          <w:color w:val="auto"/>
          <w:szCs w:val="21"/>
          <w:highlight w:val="none"/>
        </w:rPr>
        <w:t>在满足招标文件实质性要求的基础上，可以提出比招标文件要求更有利于招标人的承诺。</w:t>
      </w:r>
    </w:p>
    <w:p w14:paraId="1FC9951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3.7.2 投标文件应当对招标文件</w:t>
      </w:r>
      <w:r>
        <w:rPr>
          <w:rFonts w:hint="eastAsia" w:ascii="宋体" w:hAnsi="宋体" w:eastAsia="宋体" w:cs="宋体"/>
          <w:color w:val="auto"/>
          <w:szCs w:val="21"/>
          <w:highlight w:val="none"/>
          <w:lang w:eastAsia="zh-CN"/>
        </w:rPr>
        <w:t>有关人员要求、</w:t>
      </w:r>
      <w:r>
        <w:rPr>
          <w:rFonts w:hint="eastAsia" w:ascii="宋体" w:hAnsi="宋体" w:eastAsia="宋体" w:cs="宋体"/>
          <w:color w:val="auto"/>
          <w:szCs w:val="21"/>
          <w:highlight w:val="none"/>
        </w:rPr>
        <w:t>工期、投标有效期、质量要求、技术标准和要求、招标范围等实质性内容作出响应。</w:t>
      </w:r>
    </w:p>
    <w:p w14:paraId="7A316001">
      <w:pPr>
        <w:pageBreakBefore w:val="0"/>
        <w:kinsoku/>
        <w:wordWrap/>
        <w:overflowPunct/>
        <w:topLinePunct w:val="0"/>
        <w:bidi w:val="0"/>
        <w:spacing w:line="360" w:lineRule="auto"/>
        <w:ind w:firstLine="420" w:firstLineChars="200"/>
        <w:textAlignment w:val="auto"/>
        <w:rPr>
          <w:rFonts w:hint="eastAsia" w:ascii="宋体" w:hAnsi="宋体"/>
          <w:color w:val="auto"/>
          <w:szCs w:val="21"/>
          <w:highlight w:val="none"/>
          <w:lang w:eastAsia="zh-CN"/>
        </w:rPr>
      </w:pPr>
      <w:r>
        <w:rPr>
          <w:rFonts w:ascii="宋体" w:hAnsi="宋体"/>
          <w:color w:val="auto"/>
          <w:szCs w:val="21"/>
          <w:highlight w:val="none"/>
        </w:rPr>
        <w:t>3.</w:t>
      </w:r>
      <w:r>
        <w:rPr>
          <w:rFonts w:hint="eastAsia" w:ascii="宋体" w:hAnsi="宋体"/>
          <w:color w:val="auto"/>
          <w:szCs w:val="21"/>
          <w:highlight w:val="none"/>
          <w:lang w:val="en-US" w:eastAsia="zh-CN"/>
        </w:rPr>
        <w:t>7</w:t>
      </w:r>
      <w:r>
        <w:rPr>
          <w:rFonts w:ascii="宋体" w:hAnsi="宋体"/>
          <w:color w:val="auto"/>
          <w:szCs w:val="21"/>
          <w:highlight w:val="none"/>
        </w:rPr>
        <w:t>.</w:t>
      </w:r>
      <w:r>
        <w:rPr>
          <w:rFonts w:hint="eastAsia" w:ascii="宋体" w:hAnsi="宋体"/>
          <w:color w:val="auto"/>
          <w:szCs w:val="21"/>
          <w:highlight w:val="none"/>
          <w:lang w:val="en-US" w:eastAsia="zh-CN"/>
        </w:rPr>
        <w:t>3</w:t>
      </w:r>
      <w:r>
        <w:rPr>
          <w:rFonts w:hint="default" w:ascii="宋体" w:hAnsi="宋体"/>
          <w:color w:val="auto"/>
          <w:szCs w:val="21"/>
          <w:highlight w:val="none"/>
          <w:lang w:val="en" w:eastAsia="zh-CN"/>
        </w:rPr>
        <w:t xml:space="preserve"> </w:t>
      </w:r>
      <w:r>
        <w:rPr>
          <w:rFonts w:hint="eastAsia" w:ascii="宋体" w:hAnsi="宋体"/>
          <w:color w:val="auto"/>
          <w:szCs w:val="21"/>
          <w:highlight w:val="none"/>
          <w:lang w:eastAsia="zh-CN"/>
        </w:rPr>
        <w:t>投标文件须按招标文件要求在注明要电子签名、加盖电子印章的位置由规定人员（含法定代表人）完成个人电子签名、加盖企业电子印章。所有投标文件中的投标人名称、招标人名称必须使用企业（单位）全称，自然人名字必须使用法定姓名（与本人身份证姓名一致）。如投标文件由代理人签名的，投标文件应附法定代表人签署的授权委托书。签名或盖章的其他要求见投标人须知前附表。</w:t>
      </w:r>
    </w:p>
    <w:p w14:paraId="5B830242">
      <w:pPr>
        <w:pageBreakBefore w:val="0"/>
        <w:kinsoku/>
        <w:wordWrap/>
        <w:overflowPunct/>
        <w:topLinePunct w:val="0"/>
        <w:bidi w:val="0"/>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lang w:eastAsia="zh-CN"/>
        </w:rPr>
        <w:t>如评委对投标文件中的签名、印章是否为电子签名、企业电子印章提出质疑的，可通过电子印章客户端进行核验，并以电子印章客户端核验结果为准，电子签名、电子印章不符合上述要求的投标文件将被否决。</w:t>
      </w:r>
    </w:p>
    <w:p w14:paraId="02ABEB43">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lang w:val="en-US" w:eastAsia="zh-CN"/>
        </w:rPr>
        <w:t>7</w:t>
      </w:r>
      <w:r>
        <w:rPr>
          <w:rFonts w:ascii="宋体" w:hAnsi="宋体"/>
          <w:color w:val="auto"/>
          <w:szCs w:val="21"/>
          <w:highlight w:val="none"/>
        </w:rPr>
        <w:t>.</w:t>
      </w:r>
      <w:r>
        <w:rPr>
          <w:rFonts w:hint="eastAsia" w:ascii="宋体" w:hAnsi="宋体"/>
          <w:color w:val="auto"/>
          <w:szCs w:val="21"/>
          <w:highlight w:val="none"/>
          <w:lang w:val="en-US" w:eastAsia="zh-CN"/>
        </w:rPr>
        <w:t>4</w:t>
      </w:r>
      <w:r>
        <w:rPr>
          <w:rFonts w:hint="default" w:ascii="宋体" w:hAnsi="宋体"/>
          <w:color w:val="auto"/>
          <w:szCs w:val="21"/>
          <w:highlight w:val="none"/>
          <w:lang w:val="en" w:eastAsia="zh-CN"/>
        </w:rPr>
        <w:t xml:space="preserve"> </w:t>
      </w:r>
      <w:r>
        <w:rPr>
          <w:rFonts w:hint="eastAsia" w:ascii="宋体" w:hAnsi="宋体"/>
          <w:color w:val="auto"/>
          <w:szCs w:val="21"/>
          <w:highlight w:val="none"/>
          <w:lang w:val="en-US" w:eastAsia="zh-CN"/>
        </w:rPr>
        <w:t>投标文件应制作成电子文件，</w:t>
      </w:r>
      <w:r>
        <w:rPr>
          <w:rFonts w:hint="eastAsia" w:ascii="宋体" w:hAnsi="宋体"/>
          <w:color w:val="auto"/>
          <w:szCs w:val="21"/>
          <w:highlight w:val="none"/>
        </w:rPr>
        <w:t>电子投标文件的编制要求详见投标人须知前附表。</w:t>
      </w:r>
    </w:p>
    <w:p w14:paraId="3A6069F9">
      <w:pPr>
        <w:pStyle w:val="3"/>
        <w:bidi w:val="0"/>
        <w:rPr>
          <w:rFonts w:hint="eastAsia" w:ascii="宋体" w:hAnsi="宋体" w:eastAsia="宋体" w:cs="宋体"/>
          <w:color w:val="auto"/>
          <w:highlight w:val="none"/>
        </w:rPr>
      </w:pPr>
      <w:bookmarkStart w:id="686" w:name="_Toc1327689168"/>
      <w:bookmarkStart w:id="687" w:name="_Toc1079708099"/>
      <w:bookmarkStart w:id="688" w:name="_Toc25303"/>
      <w:bookmarkStart w:id="689" w:name="_Toc14507"/>
      <w:bookmarkStart w:id="690" w:name="_Toc2591735"/>
      <w:bookmarkStart w:id="691" w:name="_Toc502303558"/>
      <w:bookmarkStart w:id="692" w:name="_Toc28239546"/>
      <w:bookmarkStart w:id="693" w:name="_Toc1083219828"/>
      <w:bookmarkStart w:id="694" w:name="_Toc1927365646"/>
      <w:bookmarkStart w:id="695" w:name="_Toc1528273709"/>
      <w:bookmarkStart w:id="696" w:name="_Toc1415581058"/>
      <w:bookmarkStart w:id="697" w:name="_Toc417377113"/>
      <w:bookmarkStart w:id="698" w:name="_Toc1545367479"/>
      <w:bookmarkStart w:id="699" w:name="_Toc90637687"/>
      <w:bookmarkStart w:id="700" w:name="_Toc1003100018"/>
      <w:bookmarkStart w:id="701" w:name="_Toc1331158395"/>
      <w:bookmarkStart w:id="702" w:name="_Toc164401614"/>
      <w:bookmarkStart w:id="703" w:name="_Toc24210772"/>
      <w:bookmarkStart w:id="704" w:name="_Toc2015071169"/>
      <w:bookmarkStart w:id="705" w:name="_Toc208339409"/>
      <w:bookmarkStart w:id="706" w:name="_Toc845240885"/>
      <w:bookmarkStart w:id="707" w:name="_Toc630255548"/>
      <w:bookmarkStart w:id="708" w:name="_Toc1251341739"/>
      <w:bookmarkStart w:id="709" w:name="_Toc20176"/>
      <w:bookmarkStart w:id="710" w:name="_Toc27232"/>
      <w:bookmarkStart w:id="711" w:name="_Toc1086608313"/>
      <w:bookmarkStart w:id="712" w:name="_Toc209686686"/>
      <w:bookmarkStart w:id="713" w:name="_Toc1379113994"/>
      <w:bookmarkStart w:id="714" w:name="_Toc14517"/>
      <w:bookmarkStart w:id="715" w:name="_Toc545972477"/>
      <w:bookmarkStart w:id="716" w:name="_Toc992988618"/>
      <w:bookmarkStart w:id="717" w:name="_Toc139921802"/>
      <w:bookmarkStart w:id="718" w:name="_Toc268185590"/>
      <w:bookmarkStart w:id="719" w:name="_Toc1466120065"/>
      <w:bookmarkStart w:id="720" w:name="_Toc17556"/>
      <w:bookmarkStart w:id="721" w:name="_Toc638185944"/>
      <w:bookmarkStart w:id="722" w:name="_Toc556"/>
      <w:bookmarkStart w:id="723" w:name="_Toc1678195908"/>
      <w:bookmarkStart w:id="724" w:name="_Toc108908747"/>
      <w:bookmarkStart w:id="725" w:name="_Toc2025149720"/>
      <w:bookmarkStart w:id="726" w:name="_Toc2111732514"/>
      <w:bookmarkStart w:id="727" w:name="_Toc980685956"/>
      <w:r>
        <w:rPr>
          <w:rFonts w:hint="eastAsia" w:ascii="宋体" w:hAnsi="宋体" w:cs="宋体"/>
          <w:color w:val="auto"/>
          <w:highlight w:val="none"/>
          <w:lang w:val="en-US" w:eastAsia="zh-CN"/>
        </w:rPr>
        <w:t xml:space="preserve">4. </w:t>
      </w:r>
      <w:r>
        <w:rPr>
          <w:rFonts w:hint="eastAsia" w:ascii="宋体" w:hAnsi="宋体" w:eastAsia="宋体" w:cs="宋体"/>
          <w:color w:val="auto"/>
          <w:highlight w:val="none"/>
        </w:rPr>
        <w:t>投标</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14:paraId="00985214">
      <w:pPr>
        <w:pStyle w:val="4"/>
        <w:bidi w:val="0"/>
        <w:rPr>
          <w:rFonts w:hint="eastAsia" w:ascii="宋体" w:hAnsi="宋体" w:eastAsia="宋体" w:cs="宋体"/>
          <w:b/>
          <w:bCs/>
          <w:color w:val="auto"/>
          <w:highlight w:val="none"/>
          <w:lang w:val="en-US" w:eastAsia="zh-CN"/>
        </w:rPr>
      </w:pPr>
      <w:bookmarkStart w:id="728" w:name="_Toc749583817"/>
      <w:bookmarkStart w:id="729" w:name="_Toc1836418138"/>
      <w:bookmarkStart w:id="730" w:name="_Toc1144842482"/>
      <w:bookmarkStart w:id="731" w:name="_Toc2089426460"/>
      <w:bookmarkStart w:id="732" w:name="_Toc453684775"/>
      <w:bookmarkStart w:id="733" w:name="_Toc454509987"/>
      <w:bookmarkStart w:id="734" w:name="_Toc67480284"/>
      <w:bookmarkStart w:id="735" w:name="_Toc531437504"/>
      <w:bookmarkStart w:id="736" w:name="_Toc1802518243"/>
      <w:bookmarkStart w:id="737" w:name="_Toc1632954347"/>
      <w:bookmarkStart w:id="738" w:name="_Toc1574610489"/>
      <w:bookmarkStart w:id="739" w:name="_Toc771784267"/>
      <w:bookmarkStart w:id="740" w:name="_Toc102075818"/>
      <w:bookmarkStart w:id="741" w:name="_Toc2130726541"/>
      <w:bookmarkStart w:id="742" w:name="_Toc1687488777"/>
      <w:bookmarkStart w:id="743" w:name="_Toc1811397350"/>
      <w:bookmarkStart w:id="744" w:name="_Toc1017012119"/>
      <w:r>
        <w:rPr>
          <w:rFonts w:hint="eastAsia" w:ascii="宋体" w:hAnsi="宋体" w:eastAsia="宋体" w:cs="宋体"/>
          <w:b/>
          <w:bCs/>
          <w:color w:val="auto"/>
          <w:highlight w:val="none"/>
          <w:lang w:val="en-US" w:eastAsia="zh-CN"/>
        </w:rPr>
        <w:t>4.1 投标文件的密封和标记</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14:paraId="2B7A1C6C">
      <w:pPr>
        <w:autoSpaceDE w:val="0"/>
        <w:autoSpaceDN w:val="0"/>
        <w:adjustRightInd w:val="0"/>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Times New Roman"/>
          <w:color w:val="auto"/>
          <w:szCs w:val="21"/>
          <w:highlight w:val="none"/>
          <w:lang w:val="en-US" w:eastAsia="zh-CN"/>
        </w:rPr>
        <w:t xml:space="preserve">4.1.1 </w:t>
      </w:r>
      <w:r>
        <w:rPr>
          <w:rFonts w:hint="eastAsia" w:ascii="宋体" w:hAnsi="宋体" w:eastAsia="宋体" w:cs="宋体"/>
          <w:color w:val="auto"/>
          <w:szCs w:val="21"/>
          <w:highlight w:val="none"/>
        </w:rPr>
        <w:t>投标文件的密封和标记</w:t>
      </w:r>
      <w:r>
        <w:rPr>
          <w:rFonts w:hint="eastAsia" w:ascii="宋体" w:hAnsi="宋体" w:eastAsia="宋体" w:cs="宋体"/>
          <w:color w:val="auto"/>
          <w:szCs w:val="21"/>
          <w:highlight w:val="none"/>
          <w:lang w:eastAsia="zh-CN"/>
        </w:rPr>
        <w:t>见投标人须知前附表。</w:t>
      </w:r>
    </w:p>
    <w:p w14:paraId="0B52936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4.1.2 </w:t>
      </w:r>
      <w:r>
        <w:rPr>
          <w:rFonts w:hint="eastAsia" w:ascii="宋体" w:hAnsi="宋体" w:eastAsia="宋体" w:cs="宋体"/>
          <w:color w:val="auto"/>
          <w:szCs w:val="21"/>
          <w:highlight w:val="none"/>
        </w:rPr>
        <w:t>未按本章要求密封和标记的投标文件，</w:t>
      </w:r>
      <w:r>
        <w:rPr>
          <w:rFonts w:hint="eastAsia" w:ascii="宋体" w:hAnsi="宋体" w:eastAsia="宋体" w:cs="宋体"/>
          <w:color w:val="auto"/>
          <w:szCs w:val="21"/>
          <w:highlight w:val="none"/>
          <w:lang w:val="en-US" w:eastAsia="zh-CN"/>
        </w:rPr>
        <w:t>交易平台将予以拒收</w:t>
      </w:r>
      <w:r>
        <w:rPr>
          <w:rFonts w:hint="eastAsia" w:ascii="宋体" w:hAnsi="宋体" w:eastAsia="宋体" w:cs="宋体"/>
          <w:color w:val="auto"/>
          <w:szCs w:val="21"/>
          <w:highlight w:val="none"/>
        </w:rPr>
        <w:t>。</w:t>
      </w:r>
    </w:p>
    <w:p w14:paraId="4317EA92">
      <w:pPr>
        <w:pStyle w:val="4"/>
        <w:bidi w:val="0"/>
        <w:rPr>
          <w:rFonts w:hint="eastAsia" w:ascii="宋体" w:hAnsi="宋体" w:eastAsia="宋体" w:cs="宋体"/>
          <w:color w:val="auto"/>
          <w:highlight w:val="none"/>
        </w:rPr>
      </w:pPr>
      <w:bookmarkStart w:id="745" w:name="_Toc597775396"/>
      <w:bookmarkStart w:id="746" w:name="_Toc1826939184"/>
      <w:bookmarkStart w:id="747" w:name="_Toc362613621"/>
      <w:bookmarkStart w:id="748" w:name="_Toc1176308074"/>
      <w:bookmarkStart w:id="749" w:name="_Toc792095911"/>
      <w:bookmarkStart w:id="750" w:name="_Toc626164779"/>
      <w:bookmarkStart w:id="751" w:name="_Toc879460163"/>
      <w:bookmarkStart w:id="752" w:name="_Toc773191844"/>
      <w:bookmarkStart w:id="753" w:name="_Toc1577020902"/>
      <w:bookmarkStart w:id="754" w:name="_Toc16931231"/>
      <w:bookmarkStart w:id="755" w:name="_Toc1499433152"/>
      <w:bookmarkStart w:id="756" w:name="_Toc1395819900"/>
      <w:bookmarkStart w:id="757" w:name="_Toc334766825"/>
      <w:bookmarkStart w:id="758" w:name="_Toc1429722895"/>
      <w:bookmarkStart w:id="759" w:name="_Toc794764595"/>
      <w:bookmarkStart w:id="760" w:name="_Toc1836911299"/>
      <w:bookmarkStart w:id="761" w:name="_Toc1123902085"/>
      <w:r>
        <w:rPr>
          <w:rFonts w:hint="eastAsia" w:ascii="宋体" w:hAnsi="宋体" w:eastAsia="宋体" w:cs="宋体"/>
          <w:color w:val="auto"/>
          <w:highlight w:val="none"/>
        </w:rPr>
        <w:t>4.2 投标文件的递交</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14:paraId="73315BE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4.2.1 投标人应在本章“投标人须知前附表”规定的投标截止时间前递交投标文件。</w:t>
      </w:r>
    </w:p>
    <w:p w14:paraId="047BC34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4.2.2 投标人递交投标文件的地点：见投标人须知前附表。</w:t>
      </w:r>
    </w:p>
    <w:p w14:paraId="40AF10F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4.2.3 除投标人须知前附表另有规定外，投标人所递交的投标文件不予退还。</w:t>
      </w:r>
    </w:p>
    <w:p w14:paraId="5C88E7A4">
      <w:pPr>
        <w:spacing w:line="360" w:lineRule="auto"/>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4.2.4 投标人完成电子投标文件上传后，交易平台即时向投标人发出递交回执通知，递交时间以递交回执通知载明的传输完成时间为准</w:t>
      </w:r>
      <w:r>
        <w:rPr>
          <w:rFonts w:hint="eastAsia" w:ascii="宋体" w:hAnsi="宋体" w:eastAsia="宋体" w:cs="宋体"/>
          <w:b w:val="0"/>
          <w:bCs w:val="0"/>
          <w:color w:val="auto"/>
          <w:szCs w:val="21"/>
          <w:highlight w:val="none"/>
        </w:rPr>
        <w:t>。</w:t>
      </w:r>
    </w:p>
    <w:p w14:paraId="28F838B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w:t>
      </w:r>
      <w:r>
        <w:rPr>
          <w:rFonts w:hint="eastAsia" w:ascii="宋体" w:hAnsi="宋体" w:eastAsia="宋体" w:cs="宋体"/>
          <w:color w:val="auto"/>
          <w:szCs w:val="21"/>
          <w:highlight w:val="none"/>
          <w:lang w:val="en-US" w:eastAsia="zh-CN"/>
        </w:rPr>
        <w:t>5</w:t>
      </w:r>
      <w:r>
        <w:rPr>
          <w:rFonts w:hint="eastAsia" w:ascii="宋体" w:hAnsi="宋体" w:eastAsia="宋体" w:cs="宋体"/>
          <w:b w:val="0"/>
          <w:bCs w:val="0"/>
          <w:color w:val="auto"/>
          <w:szCs w:val="21"/>
          <w:highlight w:val="none"/>
          <w:lang w:val="en-US" w:eastAsia="zh-CN"/>
        </w:rPr>
        <w:t xml:space="preserve"> </w:t>
      </w:r>
      <w:r>
        <w:rPr>
          <w:rFonts w:hint="eastAsia" w:ascii="宋体" w:hAnsi="宋体" w:eastAsia="宋体" w:cs="宋体"/>
          <w:color w:val="auto"/>
          <w:szCs w:val="21"/>
          <w:highlight w:val="none"/>
        </w:rPr>
        <w:t>逾期</w:t>
      </w:r>
      <w:r>
        <w:rPr>
          <w:rFonts w:hint="eastAsia" w:ascii="宋体" w:hAnsi="宋体" w:eastAsia="宋体" w:cs="宋体"/>
          <w:color w:val="auto"/>
          <w:szCs w:val="21"/>
          <w:highlight w:val="none"/>
          <w:lang w:eastAsia="zh-CN"/>
        </w:rPr>
        <w:t>上传</w:t>
      </w:r>
      <w:r>
        <w:rPr>
          <w:rFonts w:hint="eastAsia" w:ascii="宋体" w:hAnsi="宋体" w:eastAsia="宋体" w:cs="宋体"/>
          <w:color w:val="auto"/>
          <w:szCs w:val="21"/>
          <w:highlight w:val="none"/>
        </w:rPr>
        <w:t>或者未</w:t>
      </w:r>
      <w:r>
        <w:rPr>
          <w:rFonts w:hint="eastAsia" w:ascii="宋体" w:hAnsi="宋体" w:eastAsia="宋体" w:cs="宋体"/>
          <w:color w:val="auto"/>
          <w:szCs w:val="21"/>
          <w:highlight w:val="none"/>
          <w:lang w:eastAsia="zh-CN"/>
        </w:rPr>
        <w:t>上传</w:t>
      </w:r>
      <w:r>
        <w:rPr>
          <w:rFonts w:hint="eastAsia" w:ascii="宋体" w:hAnsi="宋体" w:eastAsia="宋体" w:cs="宋体"/>
          <w:color w:val="auto"/>
          <w:szCs w:val="21"/>
          <w:highlight w:val="none"/>
        </w:rPr>
        <w:t>指定地点的投标文件，</w:t>
      </w:r>
      <w:r>
        <w:rPr>
          <w:rFonts w:hint="eastAsia" w:ascii="宋体" w:hAnsi="宋体" w:eastAsia="宋体" w:cs="宋体"/>
          <w:color w:val="auto"/>
          <w:szCs w:val="21"/>
          <w:highlight w:val="none"/>
          <w:lang w:val="en-US" w:eastAsia="zh-CN"/>
        </w:rPr>
        <w:t>交易平台将予以拒收</w:t>
      </w:r>
      <w:r>
        <w:rPr>
          <w:rFonts w:hint="eastAsia" w:ascii="宋体" w:hAnsi="宋体" w:eastAsia="宋体" w:cs="宋体"/>
          <w:color w:val="auto"/>
          <w:szCs w:val="21"/>
          <w:highlight w:val="none"/>
        </w:rPr>
        <w:t>。</w:t>
      </w:r>
    </w:p>
    <w:p w14:paraId="0EF07905">
      <w:pPr>
        <w:pStyle w:val="4"/>
        <w:bidi w:val="0"/>
        <w:rPr>
          <w:rFonts w:hint="eastAsia" w:ascii="宋体" w:hAnsi="宋体" w:eastAsia="宋体" w:cs="宋体"/>
          <w:color w:val="auto"/>
          <w:highlight w:val="none"/>
        </w:rPr>
      </w:pPr>
      <w:bookmarkStart w:id="762" w:name="_Toc1539666093"/>
      <w:bookmarkStart w:id="763" w:name="_Toc542409933"/>
      <w:bookmarkStart w:id="764" w:name="_Toc1159545433"/>
      <w:bookmarkStart w:id="765" w:name="_Toc1888417955"/>
      <w:bookmarkStart w:id="766" w:name="_Toc40091713"/>
      <w:bookmarkStart w:id="767" w:name="_Toc1652632507"/>
      <w:bookmarkStart w:id="768" w:name="_Toc1179653814"/>
      <w:bookmarkStart w:id="769" w:name="_Toc1710930945"/>
      <w:bookmarkStart w:id="770" w:name="_Toc1539280089"/>
      <w:bookmarkStart w:id="771" w:name="_Toc791882905"/>
      <w:bookmarkStart w:id="772" w:name="_Toc921625337"/>
      <w:bookmarkStart w:id="773" w:name="_Toc1918664801"/>
      <w:bookmarkStart w:id="774" w:name="_Toc1522746084"/>
      <w:bookmarkStart w:id="775" w:name="_Toc1306173594"/>
      <w:bookmarkStart w:id="776" w:name="_Toc395147310"/>
      <w:bookmarkStart w:id="777" w:name="_Toc1589439219"/>
      <w:bookmarkStart w:id="778" w:name="_Toc1060835909"/>
      <w:r>
        <w:rPr>
          <w:rFonts w:hint="eastAsia" w:ascii="宋体" w:hAnsi="宋体" w:eastAsia="宋体" w:cs="宋体"/>
          <w:color w:val="auto"/>
          <w:highlight w:val="none"/>
        </w:rPr>
        <w:t>4.3 投标文件的修改与撤回</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0ACCF25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在本章“投标人须知前附表”规定的投标截止时间前，投标人可以修改或撤回已递交的投标文件。在投标截止前修改投标文件的，投标人只要把已修改的电子投标文件</w:t>
      </w:r>
      <w:r>
        <w:rPr>
          <w:rFonts w:hint="eastAsia" w:ascii="宋体" w:hAnsi="宋体" w:cs="宋体"/>
          <w:color w:val="auto"/>
          <w:szCs w:val="21"/>
          <w:highlight w:val="none"/>
          <w:lang w:eastAsia="zh-CN"/>
        </w:rPr>
        <w:t>加密后</w:t>
      </w:r>
      <w:r>
        <w:rPr>
          <w:rFonts w:hint="eastAsia" w:ascii="宋体" w:hAnsi="宋体" w:eastAsia="宋体" w:cs="宋体"/>
          <w:color w:val="auto"/>
          <w:szCs w:val="21"/>
          <w:highlight w:val="none"/>
        </w:rPr>
        <w:t>在投标截止前重新上传，计算机以最后收到的投标文件为准。</w:t>
      </w:r>
    </w:p>
    <w:p w14:paraId="23616EEC">
      <w:pPr>
        <w:pStyle w:val="3"/>
        <w:bidi w:val="0"/>
        <w:rPr>
          <w:rFonts w:hint="eastAsia" w:ascii="宋体" w:hAnsi="宋体" w:eastAsia="宋体" w:cs="宋体"/>
          <w:color w:val="auto"/>
          <w:highlight w:val="none"/>
        </w:rPr>
      </w:pPr>
      <w:bookmarkStart w:id="779" w:name="_Toc687658420"/>
      <w:bookmarkStart w:id="780" w:name="_Toc1349346093"/>
      <w:bookmarkStart w:id="781" w:name="_Toc1779592307"/>
      <w:bookmarkStart w:id="782" w:name="_Toc554509282"/>
      <w:bookmarkStart w:id="783" w:name="_Toc1287507731"/>
      <w:bookmarkStart w:id="784" w:name="_Toc27620"/>
      <w:bookmarkStart w:id="785" w:name="_Toc615708589"/>
      <w:bookmarkStart w:id="786" w:name="_Toc1608115554"/>
      <w:bookmarkStart w:id="787" w:name="_Toc26888"/>
      <w:bookmarkStart w:id="788" w:name="_Toc2076182832"/>
      <w:bookmarkStart w:id="789" w:name="_Toc13801"/>
      <w:bookmarkStart w:id="790" w:name="_Toc380005287"/>
      <w:bookmarkStart w:id="791" w:name="_Toc261394263"/>
      <w:bookmarkStart w:id="792" w:name="_Toc16215"/>
      <w:bookmarkStart w:id="793" w:name="_Toc771207505"/>
      <w:bookmarkStart w:id="794" w:name="_Toc17647"/>
      <w:bookmarkStart w:id="795" w:name="_Toc2591736"/>
      <w:bookmarkStart w:id="796" w:name="_Toc1614554908"/>
      <w:bookmarkStart w:id="797" w:name="_Toc8382"/>
      <w:bookmarkStart w:id="798" w:name="_Toc526917071"/>
      <w:bookmarkStart w:id="799" w:name="_Toc1986257352"/>
      <w:bookmarkStart w:id="800" w:name="_Toc865321882"/>
      <w:bookmarkStart w:id="801" w:name="_Toc2106878704"/>
      <w:bookmarkStart w:id="802" w:name="_Toc707522645"/>
      <w:bookmarkStart w:id="803" w:name="_Toc126478629"/>
      <w:bookmarkStart w:id="804" w:name="_Toc1151443889"/>
      <w:bookmarkStart w:id="805" w:name="_Toc1349121509"/>
      <w:bookmarkStart w:id="806" w:name="_Toc595547722"/>
      <w:bookmarkStart w:id="807" w:name="_Toc1427835300"/>
      <w:bookmarkStart w:id="808" w:name="_Toc136059738"/>
      <w:bookmarkStart w:id="809" w:name="_Toc1782305311"/>
      <w:bookmarkStart w:id="810" w:name="_Toc1736232810"/>
      <w:bookmarkStart w:id="811" w:name="_Toc772154646"/>
      <w:bookmarkStart w:id="812" w:name="_Toc710972509"/>
      <w:bookmarkStart w:id="813" w:name="_Toc25391"/>
      <w:bookmarkStart w:id="814" w:name="_Toc1144728685"/>
      <w:bookmarkStart w:id="815" w:name="_Toc908816614"/>
      <w:bookmarkStart w:id="816" w:name="_Toc1144087217"/>
      <w:bookmarkStart w:id="817" w:name="_Toc1778738672"/>
      <w:bookmarkStart w:id="818" w:name="_Toc387243395"/>
      <w:bookmarkStart w:id="819" w:name="_Toc684555555"/>
      <w:bookmarkStart w:id="820" w:name="_Toc378790856"/>
      <w:r>
        <w:rPr>
          <w:rFonts w:hint="eastAsia" w:ascii="宋体" w:hAnsi="宋体" w:cs="宋体"/>
          <w:color w:val="auto"/>
          <w:highlight w:val="none"/>
          <w:lang w:val="en-US" w:eastAsia="zh-CN"/>
        </w:rPr>
        <w:t xml:space="preserve">5. </w:t>
      </w:r>
      <w:r>
        <w:rPr>
          <w:rFonts w:hint="eastAsia" w:ascii="宋体" w:hAnsi="宋体" w:eastAsia="宋体" w:cs="宋体"/>
          <w:color w:val="auto"/>
          <w:highlight w:val="none"/>
        </w:rPr>
        <w:t>开标</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14:paraId="1C71324E">
      <w:pPr>
        <w:pStyle w:val="4"/>
        <w:bidi w:val="0"/>
        <w:rPr>
          <w:rFonts w:hint="eastAsia" w:ascii="宋体" w:hAnsi="宋体" w:eastAsia="宋体" w:cs="宋体"/>
          <w:color w:val="auto"/>
          <w:highlight w:val="none"/>
          <w:lang w:eastAsia="zh-CN"/>
        </w:rPr>
      </w:pPr>
      <w:bookmarkStart w:id="821" w:name="_Toc1085462441"/>
      <w:bookmarkStart w:id="822" w:name="_Toc497378692"/>
      <w:bookmarkStart w:id="823" w:name="_Toc887234681"/>
      <w:bookmarkStart w:id="824" w:name="_Toc1528652666"/>
      <w:bookmarkStart w:id="825" w:name="_Toc908692171"/>
      <w:bookmarkStart w:id="826" w:name="_Toc1362543986"/>
      <w:bookmarkStart w:id="827" w:name="_Toc206412062"/>
      <w:bookmarkStart w:id="828" w:name="_Toc1668644452"/>
      <w:bookmarkStart w:id="829" w:name="_Toc1431193839"/>
      <w:bookmarkStart w:id="830" w:name="_Toc419633405"/>
      <w:bookmarkStart w:id="831" w:name="_Toc1085958079"/>
      <w:bookmarkStart w:id="832" w:name="_Toc73088656"/>
      <w:bookmarkStart w:id="833" w:name="_Toc858025294"/>
      <w:bookmarkStart w:id="834" w:name="_Toc1918478700"/>
      <w:bookmarkStart w:id="835" w:name="_Toc827187948"/>
      <w:bookmarkStart w:id="836" w:name="_Toc538453697"/>
      <w:bookmarkStart w:id="837" w:name="_Toc1388524267"/>
      <w:r>
        <w:rPr>
          <w:rFonts w:hint="eastAsia" w:ascii="宋体" w:hAnsi="宋体" w:eastAsia="宋体" w:cs="宋体"/>
          <w:color w:val="auto"/>
          <w:highlight w:val="none"/>
          <w:lang w:val="en-US"/>
        </w:rPr>
        <w:t>5</w:t>
      </w:r>
      <w:r>
        <w:rPr>
          <w:rFonts w:hint="eastAsia" w:ascii="宋体" w:hAnsi="宋体" w:eastAsia="宋体" w:cs="宋体"/>
          <w:color w:val="auto"/>
          <w:highlight w:val="none"/>
        </w:rPr>
        <w:t>.1 开标时间和地点</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14:paraId="56107F3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招标人在投标人须知前附表规定的开标时间</w:t>
      </w:r>
      <w:r>
        <w:rPr>
          <w:rFonts w:hint="eastAsia" w:ascii="宋体" w:hAnsi="宋体" w:eastAsia="宋体" w:cs="宋体"/>
          <w:color w:val="auto"/>
          <w:szCs w:val="21"/>
          <w:highlight w:val="none"/>
          <w:lang w:val="en-US" w:eastAsia="zh-CN"/>
        </w:rPr>
        <w:t>和</w:t>
      </w:r>
      <w:r>
        <w:rPr>
          <w:rFonts w:hint="eastAsia" w:ascii="宋体" w:hAnsi="宋体" w:eastAsia="宋体" w:cs="宋体"/>
          <w:color w:val="auto"/>
          <w:szCs w:val="21"/>
          <w:highlight w:val="none"/>
        </w:rPr>
        <w:t>地点公开开标</w:t>
      </w:r>
      <w:r>
        <w:rPr>
          <w:rFonts w:hint="eastAsia" w:ascii="宋体" w:hAnsi="宋体" w:eastAsia="宋体" w:cs="宋体"/>
          <w:color w:val="auto"/>
          <w:szCs w:val="21"/>
          <w:highlight w:val="none"/>
          <w:lang w:eastAsia="zh-CN"/>
        </w:rPr>
        <w:t>。</w:t>
      </w:r>
    </w:p>
    <w:p w14:paraId="1929D418">
      <w:pPr>
        <w:pStyle w:val="4"/>
        <w:bidi w:val="0"/>
        <w:rPr>
          <w:rFonts w:hint="eastAsia" w:ascii="宋体" w:hAnsi="宋体" w:eastAsia="宋体" w:cs="宋体"/>
          <w:color w:val="auto"/>
          <w:highlight w:val="none"/>
          <w:lang w:val="en-US" w:eastAsia="zh-CN"/>
        </w:rPr>
      </w:pPr>
      <w:bookmarkStart w:id="838" w:name="_Toc1150406310"/>
      <w:bookmarkStart w:id="839" w:name="_Toc47724694"/>
      <w:bookmarkStart w:id="840" w:name="_Toc1028092712"/>
      <w:bookmarkStart w:id="841" w:name="_Toc1839326027"/>
      <w:bookmarkStart w:id="842" w:name="_Toc1166791762"/>
      <w:bookmarkStart w:id="843" w:name="_Toc735814603"/>
      <w:bookmarkStart w:id="844" w:name="_Toc729796111"/>
      <w:bookmarkStart w:id="845" w:name="_Toc1938026930"/>
      <w:bookmarkStart w:id="846" w:name="_Toc167524368"/>
      <w:bookmarkStart w:id="847" w:name="_Toc641429731"/>
      <w:bookmarkStart w:id="848" w:name="_Toc1669983800"/>
      <w:bookmarkStart w:id="849" w:name="_Toc906671677"/>
      <w:bookmarkStart w:id="850" w:name="_Toc599778292"/>
      <w:bookmarkStart w:id="851" w:name="_Toc2074042709"/>
      <w:bookmarkStart w:id="852" w:name="_Toc888662095"/>
      <w:bookmarkStart w:id="853" w:name="_Toc744831627"/>
      <w:bookmarkStart w:id="854" w:name="_Toc1967102467"/>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.2 开标程序</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14:paraId="1B50341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开标由招标人及其委托的招标代理机构主持；工作组由招标人代表及其委托的招标代理工作人员共同组成。招标人须委派至少一名招标人代表到现场参与开标，且招标人代表须有授权委托书。招标代理机构人员不能同时担任招标人代表。</w:t>
      </w:r>
      <w:r>
        <w:rPr>
          <w:rFonts w:hint="eastAsia" w:ascii="宋体" w:hAnsi="宋体" w:eastAsia="宋体" w:cs="宋体"/>
          <w:color w:val="auto"/>
          <w:szCs w:val="21"/>
          <w:highlight w:val="none"/>
          <w:lang w:val="en-US" w:eastAsia="zh-CN"/>
        </w:rPr>
        <w:t>本招标项目按下列程序进行开标：</w:t>
      </w:r>
    </w:p>
    <w:p w14:paraId="3962928A">
      <w:pPr>
        <w:pageBreakBefore w:val="0"/>
        <w:numPr>
          <w:ilvl w:val="0"/>
          <w:numId w:val="0"/>
        </w:numPr>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（1）工程建设交易系统自动提取所有按规定加密和成功上传的电子投标文件，由投标人在投标人须知前附表规定的解密时间内对已递交的电子投标文件进行解密；</w:t>
      </w:r>
    </w:p>
    <w:p w14:paraId="5E6F317F">
      <w:pPr>
        <w:pageBreakBefore w:val="0"/>
        <w:numPr>
          <w:ilvl w:val="0"/>
          <w:numId w:val="0"/>
        </w:numPr>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（2）招标人或招标代理宣布开标纪律；</w:t>
      </w:r>
    </w:p>
    <w:p w14:paraId="12C94AA5">
      <w:pPr>
        <w:pageBreakBefore w:val="0"/>
        <w:numPr>
          <w:ilvl w:val="0"/>
          <w:numId w:val="0"/>
        </w:numPr>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（3）招标人或招标代理核对评标参数，通过工程建设交易系统公布项目名称、投标人名称、投标保证金缴纳情况、电子投标文件解密情况、投标报价、工期等内容，并如实记录；</w:t>
      </w:r>
    </w:p>
    <w:p w14:paraId="523F31B9">
      <w:pPr>
        <w:pageBreakBefore w:val="0"/>
        <w:numPr>
          <w:ilvl w:val="0"/>
          <w:numId w:val="0"/>
        </w:numPr>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（4）开标结束。</w:t>
      </w:r>
    </w:p>
    <w:p w14:paraId="659EB2E0">
      <w:pPr>
        <w:pStyle w:val="3"/>
        <w:bidi w:val="0"/>
        <w:rPr>
          <w:rFonts w:hint="eastAsia" w:ascii="宋体" w:hAnsi="宋体" w:eastAsia="宋体" w:cs="宋体"/>
          <w:color w:val="auto"/>
          <w:highlight w:val="none"/>
          <w:lang w:eastAsia="zh-CN"/>
        </w:rPr>
      </w:pPr>
      <w:bookmarkStart w:id="855" w:name="_Toc425008346"/>
      <w:bookmarkStart w:id="856" w:name="_Toc741022874"/>
      <w:bookmarkStart w:id="857" w:name="_Toc1085717337"/>
      <w:bookmarkStart w:id="858" w:name="_Toc10471"/>
      <w:bookmarkStart w:id="859" w:name="_Toc1866117671"/>
      <w:bookmarkStart w:id="860" w:name="_Toc92902858"/>
      <w:bookmarkStart w:id="861" w:name="_Toc1197699455"/>
      <w:bookmarkStart w:id="862" w:name="_Toc769444734"/>
      <w:bookmarkStart w:id="863" w:name="_Toc142186837"/>
      <w:bookmarkStart w:id="864" w:name="_Toc1829399625"/>
      <w:bookmarkStart w:id="865" w:name="_Toc36436857"/>
      <w:bookmarkStart w:id="866" w:name="_Toc1605031666"/>
      <w:bookmarkStart w:id="867" w:name="_Toc2092944884"/>
      <w:bookmarkStart w:id="868" w:name="_Toc1480511195"/>
      <w:bookmarkStart w:id="869" w:name="_Toc1241277108"/>
      <w:bookmarkStart w:id="870" w:name="_Toc5751"/>
      <w:bookmarkStart w:id="871" w:name="_Toc823937373"/>
      <w:bookmarkStart w:id="872" w:name="_Toc996522839"/>
      <w:bookmarkStart w:id="873" w:name="_Toc1449795428"/>
      <w:bookmarkStart w:id="874" w:name="_Toc1067727346"/>
      <w:bookmarkStart w:id="875" w:name="_Toc1699102021"/>
      <w:bookmarkStart w:id="876" w:name="_Toc1737377876"/>
      <w:bookmarkStart w:id="877" w:name="_Toc248936941"/>
      <w:bookmarkStart w:id="878" w:name="_Toc4939"/>
      <w:bookmarkStart w:id="879" w:name="_Toc1024549956"/>
      <w:bookmarkStart w:id="880" w:name="_Toc1803011841"/>
      <w:bookmarkStart w:id="881" w:name="_Toc1691213914"/>
      <w:bookmarkStart w:id="882" w:name="_Toc1258320096"/>
      <w:bookmarkStart w:id="883" w:name="_Toc1349038458"/>
      <w:bookmarkStart w:id="884" w:name="_Toc154791868"/>
      <w:bookmarkStart w:id="885" w:name="_Toc273359699"/>
      <w:bookmarkStart w:id="886" w:name="_Toc631157925"/>
      <w:bookmarkStart w:id="887" w:name="_Toc624002126"/>
      <w:bookmarkStart w:id="888" w:name="_Toc1936276248"/>
      <w:bookmarkStart w:id="889" w:name="_Toc73389800"/>
      <w:bookmarkStart w:id="890" w:name="_Toc522136576"/>
      <w:bookmarkStart w:id="891" w:name="_Toc1104709003"/>
      <w:r>
        <w:rPr>
          <w:rFonts w:hint="eastAsia" w:ascii="宋体" w:hAnsi="宋体" w:cs="宋体"/>
          <w:color w:val="auto"/>
          <w:highlight w:val="none"/>
          <w:lang w:val="en-US" w:eastAsia="zh-CN"/>
        </w:rPr>
        <w:t xml:space="preserve">6. </w:t>
      </w:r>
      <w:bookmarkEnd w:id="855"/>
      <w:bookmarkEnd w:id="856"/>
      <w:bookmarkEnd w:id="857"/>
      <w:bookmarkEnd w:id="858"/>
      <w:r>
        <w:rPr>
          <w:rFonts w:hint="eastAsia" w:ascii="宋体" w:hAnsi="宋体" w:cs="宋体"/>
          <w:color w:val="auto"/>
          <w:highlight w:val="none"/>
          <w:lang w:eastAsia="zh-CN"/>
        </w:rPr>
        <w:t>资格审查及入围筛选</w:t>
      </w:r>
      <w:bookmarkEnd w:id="859"/>
      <w:bookmarkEnd w:id="860"/>
      <w:bookmarkEnd w:id="861"/>
      <w:bookmarkEnd w:id="862"/>
    </w:p>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14:paraId="7BE77D5C">
      <w:pPr>
        <w:pStyle w:val="4"/>
        <w:bidi w:val="0"/>
        <w:rPr>
          <w:rFonts w:hint="eastAsia" w:ascii="宋体" w:hAnsi="宋体" w:eastAsia="宋体" w:cs="宋体"/>
          <w:color w:val="auto"/>
          <w:highlight w:val="none"/>
          <w:lang w:val="en-US" w:eastAsia="zh-CN"/>
        </w:rPr>
      </w:pPr>
      <w:bookmarkStart w:id="892" w:name="_Toc886644632"/>
      <w:bookmarkStart w:id="893" w:name="_Toc600825713"/>
      <w:bookmarkStart w:id="894" w:name="_Toc2006147213"/>
      <w:bookmarkStart w:id="895" w:name="_Toc901598058"/>
      <w:bookmarkStart w:id="896" w:name="_Toc169309795"/>
      <w:bookmarkStart w:id="897" w:name="_Toc1940744535"/>
      <w:bookmarkStart w:id="898" w:name="_Toc436110494"/>
      <w:bookmarkStart w:id="899" w:name="_Toc353675057"/>
      <w:bookmarkStart w:id="900" w:name="_Toc1794504865"/>
      <w:bookmarkStart w:id="901" w:name="_Toc722386947"/>
      <w:bookmarkStart w:id="902" w:name="_Toc1775027192"/>
      <w:bookmarkStart w:id="903" w:name="_Toc408209980"/>
      <w:bookmarkStart w:id="904" w:name="_Toc532838355"/>
      <w:bookmarkStart w:id="905" w:name="_Toc515558788"/>
      <w:bookmarkStart w:id="906" w:name="_Toc520492077"/>
      <w:bookmarkStart w:id="907" w:name="_Toc2071551224"/>
      <w:bookmarkStart w:id="908" w:name="_Toc1948106207"/>
      <w:r>
        <w:rPr>
          <w:rFonts w:hint="eastAsia" w:ascii="宋体" w:hAnsi="宋体" w:eastAsia="宋体" w:cs="宋体"/>
          <w:color w:val="auto"/>
          <w:highlight w:val="none"/>
          <w:lang w:val="en-US" w:eastAsia="zh-CN"/>
        </w:rPr>
        <w:t>6.1 资格审查</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14:paraId="6057A88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6.1.1 资格审查工作由招标人组建的资格审查工作小组负责。资格审查工作小组的</w:t>
      </w:r>
      <w:r>
        <w:rPr>
          <w:rFonts w:hint="eastAsia" w:ascii="宋体" w:hAnsi="宋体" w:eastAsia="宋体" w:cs="宋体"/>
          <w:color w:val="auto"/>
          <w:szCs w:val="21"/>
          <w:highlight w:val="none"/>
        </w:rPr>
        <w:t>确定方式见投标人须知前附表</w:t>
      </w:r>
      <w:r>
        <w:rPr>
          <w:rFonts w:hint="eastAsia" w:ascii="宋体" w:hAnsi="宋体" w:eastAsia="宋体" w:cs="宋体"/>
          <w:color w:val="auto"/>
          <w:szCs w:val="21"/>
          <w:highlight w:val="none"/>
          <w:lang w:eastAsia="zh-CN"/>
        </w:rPr>
        <w:t>。</w:t>
      </w:r>
    </w:p>
    <w:p w14:paraId="4A71AA8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6.1.2 资格审查工作应当在开标当天，开标后、评标前进行。</w:t>
      </w:r>
    </w:p>
    <w:p w14:paraId="1E88E9A8">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资格审查工作小组先通过工程建设交易系统对投标人的投标特征码进行检测，经工程建设交易系统检测到投标人与其他投标人的投标特征码一致的，其投标文件将被否决。</w:t>
      </w:r>
    </w:p>
    <w:p w14:paraId="4901584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通过特征码检测的投标单位，资格审查工作小组按照《资格审查要素表》进行资格审查。</w:t>
      </w:r>
    </w:p>
    <w:p w14:paraId="020A5003">
      <w:pPr>
        <w:adjustRightInd w:val="0"/>
        <w:snapToGrid w:val="0"/>
        <w:spacing w:line="360" w:lineRule="auto"/>
        <w:ind w:firstLine="420" w:firstLineChars="200"/>
        <w:rPr>
          <w:rFonts w:hint="eastAsia" w:ascii="宋体" w:hAnsi="宋体" w:eastAsia="宋体" w:cs="宋体"/>
          <w:color w:val="auto"/>
          <w:kern w:val="2"/>
          <w:szCs w:val="21"/>
          <w:highlight w:val="none"/>
        </w:rPr>
      </w:pPr>
      <w:r>
        <w:rPr>
          <w:rFonts w:hint="eastAsia" w:ascii="宋体" w:hAnsi="宋体" w:eastAsia="宋体" w:cs="宋体"/>
          <w:color w:val="auto"/>
          <w:szCs w:val="21"/>
          <w:highlight w:val="none"/>
          <w:lang w:val="en-US" w:eastAsia="zh-CN"/>
        </w:rPr>
        <w:t>6.1.3</w:t>
      </w:r>
      <w:r>
        <w:rPr>
          <w:rFonts w:hint="eastAsia" w:ascii="宋体" w:hAnsi="宋体" w:eastAsia="宋体" w:cs="宋体"/>
          <w:b w:val="0"/>
          <w:bCs w:val="0"/>
          <w:color w:val="auto"/>
          <w:szCs w:val="21"/>
          <w:highlight w:val="none"/>
          <w:lang w:val="en-US" w:eastAsia="zh-CN"/>
        </w:rPr>
        <w:t xml:space="preserve"> 资格审查合格的投标人</w:t>
      </w:r>
      <w:r>
        <w:rPr>
          <w:rFonts w:hint="eastAsia" w:ascii="宋体" w:hAnsi="宋体" w:eastAsia="宋体" w:cs="宋体"/>
          <w:color w:val="auto"/>
          <w:kern w:val="2"/>
          <w:szCs w:val="21"/>
          <w:highlight w:val="none"/>
        </w:rPr>
        <w:t>数量不足3名</w:t>
      </w:r>
      <w:r>
        <w:rPr>
          <w:rFonts w:hint="eastAsia" w:ascii="宋体" w:hAnsi="宋体" w:eastAsia="宋体" w:cs="宋体"/>
          <w:color w:val="auto"/>
          <w:highlight w:val="none"/>
          <w:lang w:val="fr-CH" w:eastAsia="zh-CN"/>
        </w:rPr>
        <w:t>使得投标明显缺乏竞争</w:t>
      </w:r>
      <w:r>
        <w:rPr>
          <w:rFonts w:hint="eastAsia" w:ascii="宋体" w:hAnsi="宋体" w:eastAsia="宋体" w:cs="宋体"/>
          <w:color w:val="auto"/>
          <w:kern w:val="2"/>
          <w:szCs w:val="21"/>
          <w:highlight w:val="none"/>
        </w:rPr>
        <w:t>的，招标人应当宣布本次招标失败，重新招标。</w:t>
      </w:r>
    </w:p>
    <w:p w14:paraId="1A8BB79B">
      <w:pPr>
        <w:pStyle w:val="4"/>
        <w:rPr>
          <w:rFonts w:hint="eastAsia" w:ascii="宋体" w:hAnsi="宋体" w:eastAsia="宋体" w:cs="宋体"/>
          <w:b/>
          <w:bCs w:val="0"/>
          <w:color w:val="auto"/>
          <w:sz w:val="21"/>
          <w:szCs w:val="21"/>
          <w:highlight w:val="none"/>
          <w:lang w:val="en-US" w:eastAsia="zh-CN"/>
        </w:rPr>
      </w:pPr>
      <w:bookmarkStart w:id="909" w:name="_Toc807447030"/>
      <w:bookmarkStart w:id="910" w:name="_Toc1506718782"/>
      <w:bookmarkStart w:id="911" w:name="_Toc517951012"/>
      <w:bookmarkStart w:id="912" w:name="_Toc1820183548"/>
      <w:bookmarkStart w:id="913" w:name="_Toc689962462"/>
      <w:bookmarkStart w:id="914" w:name="_Toc1867474793"/>
      <w:bookmarkStart w:id="915" w:name="_Toc1969153510"/>
      <w:bookmarkStart w:id="916" w:name="_Toc2123545700"/>
      <w:bookmarkStart w:id="917" w:name="_Toc1128540327"/>
      <w:bookmarkStart w:id="918" w:name="_Toc1602478795"/>
      <w:bookmarkStart w:id="919" w:name="_Toc684483558"/>
      <w:bookmarkStart w:id="920" w:name="_Toc143753375"/>
      <w:bookmarkStart w:id="921" w:name="_Toc849943170"/>
      <w:bookmarkStart w:id="922" w:name="_Toc440257641"/>
      <w:bookmarkStart w:id="923" w:name="_Toc1112665535"/>
      <w:bookmarkStart w:id="924" w:name="_Toc1333333750"/>
      <w:bookmarkStart w:id="925" w:name="_Toc1786833990"/>
      <w:r>
        <w:rPr>
          <w:rFonts w:hint="eastAsia" w:ascii="宋体" w:hAnsi="宋体" w:eastAsia="宋体" w:cs="宋体"/>
          <w:color w:val="auto"/>
          <w:highlight w:val="none"/>
          <w:lang w:val="en-US" w:eastAsia="zh-CN"/>
        </w:rPr>
        <w:t>6.2 入围筛选</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14:paraId="2D3DF52B">
      <w:pPr>
        <w:pageBreakBefore w:val="0"/>
        <w:kinsoku/>
        <w:wordWrap/>
        <w:overflowPunct/>
        <w:topLinePunct w:val="0"/>
        <w:bidi w:val="0"/>
        <w:spacing w:line="360" w:lineRule="auto"/>
        <w:ind w:firstLine="420" w:firstLineChars="200"/>
        <w:textAlignment w:val="auto"/>
        <w:rPr>
          <w:rFonts w:hint="eastAsia" w:ascii="宋体" w:hAnsi="宋体"/>
          <w:color w:val="auto"/>
          <w:szCs w:val="21"/>
          <w:highlight w:val="none"/>
          <w:lang w:val="en-US" w:eastAsia="zh-CN"/>
        </w:rPr>
      </w:pPr>
      <w:r>
        <w:rPr>
          <w:rFonts w:hint="eastAsia" w:ascii="宋体" w:hAnsi="宋体"/>
          <w:color w:val="auto"/>
          <w:szCs w:val="21"/>
          <w:highlight w:val="none"/>
        </w:rPr>
        <w:t>入围筛选工作应当在资格审查工作完成的</w:t>
      </w:r>
      <w:r>
        <w:rPr>
          <w:rFonts w:hint="eastAsia" w:ascii="宋体" w:hAnsi="宋体"/>
          <w:color w:val="auto"/>
          <w:szCs w:val="21"/>
          <w:highlight w:val="none"/>
          <w:lang w:eastAsia="zh-CN"/>
        </w:rPr>
        <w:t>当天</w:t>
      </w:r>
      <w:r>
        <w:rPr>
          <w:rFonts w:hint="eastAsia" w:ascii="宋体" w:hAnsi="宋体"/>
          <w:color w:val="auto"/>
          <w:szCs w:val="21"/>
          <w:highlight w:val="none"/>
        </w:rPr>
        <w:t>或次日</w:t>
      </w:r>
      <w:r>
        <w:rPr>
          <w:rFonts w:hint="eastAsia" w:ascii="宋体" w:hAnsi="宋体"/>
          <w:color w:val="auto"/>
          <w:szCs w:val="21"/>
          <w:highlight w:val="none"/>
          <w:lang w:eastAsia="zh-CN"/>
        </w:rPr>
        <w:t>进行。</w:t>
      </w:r>
      <w:r>
        <w:rPr>
          <w:rFonts w:hint="eastAsia" w:ascii="宋体" w:hAnsi="宋体"/>
          <w:color w:val="auto"/>
          <w:szCs w:val="21"/>
          <w:highlight w:val="none"/>
          <w:lang w:val="en-US" w:eastAsia="zh-CN"/>
        </w:rPr>
        <w:t>资格审查合格的投标人数量超过投标人须知前附表规定进入评标程序的投标人数量的，由资格审查工作小组按照招标文件规定的择优方法和规则筛选出规定数量的投标人进入评标环节。</w:t>
      </w:r>
      <w:r>
        <w:rPr>
          <w:rFonts w:hint="eastAsia" w:ascii="宋体" w:hAnsi="宋体" w:eastAsia="宋体" w:cs="Times New Roman"/>
          <w:color w:val="auto"/>
          <w:szCs w:val="21"/>
          <w:highlight w:val="none"/>
          <w:lang w:val="en-US" w:eastAsia="zh-CN"/>
        </w:rPr>
        <w:t>资格审查合格的投标人数量少于（或等于）</w:t>
      </w:r>
      <w:r>
        <w:rPr>
          <w:rFonts w:hint="eastAsia" w:ascii="宋体" w:hAnsi="宋体"/>
          <w:color w:val="auto"/>
          <w:szCs w:val="21"/>
          <w:highlight w:val="none"/>
          <w:lang w:val="en-US" w:eastAsia="zh-CN"/>
        </w:rPr>
        <w:t>投标人须知前附表规定进入评标程序的投标人数量</w:t>
      </w:r>
      <w:r>
        <w:rPr>
          <w:rFonts w:hint="eastAsia" w:ascii="宋体" w:hAnsi="宋体" w:eastAsia="宋体" w:cs="Times New Roman"/>
          <w:color w:val="auto"/>
          <w:szCs w:val="21"/>
          <w:highlight w:val="none"/>
          <w:lang w:val="en-US" w:eastAsia="zh-CN"/>
        </w:rPr>
        <w:t>的，所有资格审查合格的投标人均进入评标环节。资格审查不合格的投标人不得进入后续程序。</w:t>
      </w:r>
      <w:r>
        <w:rPr>
          <w:rFonts w:hint="eastAsia" w:ascii="宋体" w:hAnsi="宋体"/>
          <w:color w:val="auto"/>
          <w:szCs w:val="21"/>
          <w:highlight w:val="none"/>
          <w:lang w:val="en-US" w:eastAsia="zh-CN"/>
        </w:rPr>
        <w:t>入围筛选方法和规则详见投标人须知前附表。</w:t>
      </w:r>
    </w:p>
    <w:p w14:paraId="4B80C6D3">
      <w:pPr>
        <w:pStyle w:val="4"/>
        <w:bidi w:val="0"/>
        <w:rPr>
          <w:rFonts w:hint="eastAsia" w:ascii="宋体" w:hAnsi="宋体" w:cs="宋体"/>
          <w:color w:val="auto"/>
          <w:sz w:val="21"/>
          <w:highlight w:val="none"/>
          <w:lang w:val="en-US" w:eastAsia="zh-CN"/>
        </w:rPr>
      </w:pPr>
      <w:r>
        <w:rPr>
          <w:rFonts w:hint="eastAsia" w:ascii="宋体" w:hAnsi="宋体" w:cs="宋体"/>
          <w:color w:val="auto"/>
          <w:sz w:val="21"/>
          <w:highlight w:val="none"/>
          <w:lang w:val="en-US" w:eastAsia="zh-CN"/>
        </w:rPr>
        <w:t>6.3 资格审核和入围筛选结果</w:t>
      </w:r>
    </w:p>
    <w:p w14:paraId="328C5E43">
      <w:pPr>
        <w:pageBreakBefore w:val="0"/>
        <w:kinsoku/>
        <w:wordWrap/>
        <w:overflowPunct/>
        <w:topLinePunct w:val="0"/>
        <w:bidi w:val="0"/>
        <w:spacing w:line="360" w:lineRule="auto"/>
        <w:ind w:firstLine="420" w:firstLineChars="200"/>
        <w:textAlignment w:val="auto"/>
        <w:rPr>
          <w:rFonts w:hint="eastAsia" w:ascii="宋体" w:hAnsi="宋体" w:eastAsia="宋体" w:cs="Times New Roman"/>
          <w:color w:val="auto"/>
          <w:szCs w:val="21"/>
          <w:highlight w:val="none"/>
          <w:lang w:val="en-US" w:eastAsia="zh-CN"/>
        </w:rPr>
      </w:pPr>
      <w:r>
        <w:rPr>
          <w:rFonts w:hint="eastAsia" w:ascii="宋体" w:hAnsi="宋体"/>
          <w:color w:val="auto"/>
          <w:szCs w:val="21"/>
          <w:highlight w:val="none"/>
          <w:lang w:val="en-US" w:eastAsia="zh-CN"/>
        </w:rPr>
        <w:t>资格审查工作小组完成开标、资格审查及入围筛选工作后，应制作资格审查及入围筛选报告，并签字确认。资格审查及入围筛选</w:t>
      </w:r>
      <w:r>
        <w:rPr>
          <w:rFonts w:hint="eastAsia" w:ascii="宋体" w:hAnsi="宋体" w:eastAsia="宋体" w:cs="Times New Roman"/>
          <w:color w:val="auto"/>
          <w:szCs w:val="21"/>
          <w:highlight w:val="none"/>
          <w:lang w:val="en-US" w:eastAsia="zh-CN"/>
        </w:rPr>
        <w:t>报告应包含参与投标的单位名单、资格审查合格的投标人名单、入围</w:t>
      </w:r>
      <w:r>
        <w:rPr>
          <w:rFonts w:hint="eastAsia" w:ascii="宋体" w:hAnsi="宋体"/>
          <w:color w:val="auto"/>
          <w:szCs w:val="21"/>
          <w:highlight w:val="none"/>
          <w:lang w:val="en-US" w:eastAsia="zh-CN"/>
        </w:rPr>
        <w:t>筛选方式、入围筛选结果等情况</w:t>
      </w:r>
      <w:r>
        <w:rPr>
          <w:rFonts w:hint="eastAsia" w:ascii="宋体" w:hAnsi="宋体" w:eastAsia="宋体" w:cs="Times New Roman"/>
          <w:color w:val="auto"/>
          <w:szCs w:val="21"/>
          <w:highlight w:val="none"/>
          <w:lang w:val="en-US" w:eastAsia="zh-CN"/>
        </w:rPr>
        <w:t>。</w:t>
      </w:r>
    </w:p>
    <w:p w14:paraId="6B5569EA">
      <w:pPr>
        <w:pStyle w:val="3"/>
        <w:bidi w:val="0"/>
        <w:rPr>
          <w:rFonts w:hint="eastAsia" w:ascii="宋体" w:hAnsi="宋体" w:eastAsia="宋体" w:cs="宋体"/>
          <w:color w:val="auto"/>
          <w:highlight w:val="none"/>
          <w:lang w:eastAsia="zh-CN"/>
        </w:rPr>
      </w:pPr>
      <w:bookmarkStart w:id="926" w:name="_Toc185786374"/>
      <w:bookmarkStart w:id="927" w:name="_Toc20113"/>
      <w:bookmarkStart w:id="928" w:name="_Toc2022555772"/>
      <w:bookmarkStart w:id="929" w:name="_Toc2100971795"/>
      <w:bookmarkStart w:id="930" w:name="_Toc954323149"/>
      <w:bookmarkStart w:id="931" w:name="_Toc862987847"/>
      <w:bookmarkStart w:id="932" w:name="_Toc818092128"/>
      <w:bookmarkStart w:id="933" w:name="_Toc632168644"/>
      <w:bookmarkStart w:id="934" w:name="_Toc1460108877"/>
      <w:bookmarkStart w:id="935" w:name="_Toc1077255048"/>
      <w:bookmarkStart w:id="936" w:name="_Toc603361068"/>
      <w:bookmarkStart w:id="937" w:name="_Toc1623051282"/>
      <w:bookmarkStart w:id="938" w:name="_Toc505172788"/>
      <w:bookmarkStart w:id="939" w:name="_Toc2004460011"/>
      <w:bookmarkStart w:id="940" w:name="_Toc338819675"/>
      <w:bookmarkStart w:id="941" w:name="_Toc670885161"/>
      <w:bookmarkStart w:id="942" w:name="_Toc913422083"/>
      <w:bookmarkStart w:id="943" w:name="_Toc1817539951"/>
      <w:bookmarkStart w:id="944" w:name="_Toc1848992782"/>
      <w:bookmarkStart w:id="945" w:name="_Toc1692867394"/>
      <w:bookmarkStart w:id="946" w:name="_Toc1469860178"/>
      <w:bookmarkStart w:id="947" w:name="_Toc1981340481"/>
      <w:bookmarkStart w:id="948" w:name="_Toc1807189324"/>
      <w:bookmarkStart w:id="949" w:name="_Toc1131335324"/>
      <w:bookmarkStart w:id="950" w:name="_Toc1018009787"/>
      <w:r>
        <w:rPr>
          <w:rFonts w:hint="eastAsia" w:ascii="宋体" w:hAnsi="宋体" w:cs="宋体"/>
          <w:color w:val="auto"/>
          <w:highlight w:val="none"/>
          <w:lang w:val="en-US" w:eastAsia="zh-CN"/>
        </w:rPr>
        <w:t xml:space="preserve">7. </w:t>
      </w:r>
      <w:r>
        <w:rPr>
          <w:rFonts w:hint="eastAsia" w:ascii="宋体" w:hAnsi="宋体" w:cs="宋体"/>
          <w:color w:val="auto"/>
          <w:highlight w:val="none"/>
          <w:lang w:eastAsia="zh-CN"/>
        </w:rPr>
        <w:t>评标</w:t>
      </w:r>
      <w:bookmarkEnd w:id="926"/>
      <w:bookmarkEnd w:id="927"/>
      <w:bookmarkEnd w:id="928"/>
      <w:bookmarkEnd w:id="929"/>
      <w:bookmarkEnd w:id="930"/>
      <w:bookmarkEnd w:id="931"/>
      <w:bookmarkEnd w:id="932"/>
      <w:bookmarkEnd w:id="933"/>
    </w:p>
    <w:p w14:paraId="0635E22E">
      <w:pPr>
        <w:pStyle w:val="4"/>
        <w:bidi w:val="0"/>
        <w:rPr>
          <w:rFonts w:hint="eastAsia" w:ascii="宋体" w:hAnsi="宋体" w:eastAsia="宋体" w:cs="宋体"/>
          <w:color w:val="auto"/>
          <w:sz w:val="21"/>
          <w:szCs w:val="32"/>
          <w:highlight w:val="none"/>
        </w:rPr>
      </w:pPr>
      <w:r>
        <w:rPr>
          <w:rFonts w:hint="eastAsia" w:ascii="宋体" w:hAnsi="宋体" w:eastAsia="宋体" w:cs="宋体"/>
          <w:color w:val="auto"/>
          <w:sz w:val="21"/>
          <w:szCs w:val="32"/>
          <w:highlight w:val="none"/>
          <w:lang w:val="en-US" w:eastAsia="zh-CN"/>
        </w:rPr>
        <w:t>7</w:t>
      </w:r>
      <w:r>
        <w:rPr>
          <w:rFonts w:hint="eastAsia" w:ascii="宋体" w:hAnsi="宋体" w:eastAsia="宋体" w:cs="宋体"/>
          <w:color w:val="auto"/>
          <w:sz w:val="21"/>
          <w:szCs w:val="32"/>
          <w:highlight w:val="none"/>
        </w:rPr>
        <w:t>.1 评标委员会</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14:paraId="188D8B7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.1.1 评标工作由招标人依法组建的评标委员会负责。评标委员会由招标人的代表和有关技术、经济等方面的专家组成，成员人数为五人以上的单数，有关技术、经济等方面的专家不得少于成员数量的三分之二。有关技术、经济等方面的专家须在依法成立的专家库抽取，评标委员会成员人数以及技术、经济等方面专家的确定方式见投标人须知前附表。</w:t>
      </w:r>
    </w:p>
    <w:p w14:paraId="73DF028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.1.2 评标委员会成员有下列情形之一的，应当回避：</w:t>
      </w:r>
    </w:p>
    <w:p w14:paraId="0EB05875">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投标人或投标人的主要负责人的近亲属</w:t>
      </w:r>
      <w:r>
        <w:rPr>
          <w:rFonts w:hint="eastAsia" w:ascii="宋体" w:hAnsi="宋体" w:cs="宋体"/>
          <w:color w:val="auto"/>
          <w:szCs w:val="21"/>
          <w:highlight w:val="none"/>
          <w:lang w:eastAsia="zh-CN"/>
        </w:rPr>
        <w:t>；</w:t>
      </w:r>
    </w:p>
    <w:p w14:paraId="13AF7E4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项目主管部门或者行政监督部门的人员</w:t>
      </w:r>
      <w:r>
        <w:rPr>
          <w:rFonts w:hint="eastAsia" w:ascii="宋体" w:hAnsi="宋体" w:cs="宋体"/>
          <w:color w:val="auto"/>
          <w:szCs w:val="21"/>
          <w:highlight w:val="none"/>
          <w:lang w:eastAsia="zh-CN"/>
        </w:rPr>
        <w:t>；</w:t>
      </w:r>
    </w:p>
    <w:p w14:paraId="4F3B4E48">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与投标人有经济利益关系，可能影响对投标公正评审的</w:t>
      </w:r>
      <w:r>
        <w:rPr>
          <w:rFonts w:hint="eastAsia" w:ascii="宋体" w:hAnsi="宋体" w:cs="宋体"/>
          <w:color w:val="auto"/>
          <w:szCs w:val="21"/>
          <w:highlight w:val="none"/>
          <w:lang w:eastAsia="zh-CN"/>
        </w:rPr>
        <w:t>；</w:t>
      </w:r>
    </w:p>
    <w:p w14:paraId="6CD9ABD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曾因在招标、评标以及其他与招标投标有关活动中从事违法行为而受过行政处罚或刑事处罚的。</w:t>
      </w:r>
    </w:p>
    <w:p w14:paraId="664F94BF">
      <w:pPr>
        <w:pStyle w:val="4"/>
        <w:bidi w:val="0"/>
        <w:rPr>
          <w:rFonts w:hint="eastAsia" w:ascii="宋体" w:hAnsi="宋体" w:eastAsia="宋体" w:cs="宋体"/>
          <w:color w:val="auto"/>
          <w:highlight w:val="none"/>
        </w:rPr>
      </w:pPr>
      <w:bookmarkStart w:id="951" w:name="_Toc868693687"/>
      <w:bookmarkStart w:id="952" w:name="_Toc1545735612"/>
      <w:bookmarkStart w:id="953" w:name="_Toc174486492"/>
      <w:bookmarkStart w:id="954" w:name="_Toc246607610"/>
      <w:bookmarkStart w:id="955" w:name="_Toc1727196543"/>
      <w:bookmarkStart w:id="956" w:name="_Toc1929231495"/>
      <w:bookmarkStart w:id="957" w:name="_Toc2122973740"/>
      <w:bookmarkStart w:id="958" w:name="_Toc127297837"/>
      <w:bookmarkStart w:id="959" w:name="_Toc2060298109"/>
      <w:bookmarkStart w:id="960" w:name="_Toc1283833386"/>
      <w:bookmarkStart w:id="961" w:name="_Toc122419026"/>
      <w:bookmarkStart w:id="962" w:name="_Toc509635978"/>
      <w:bookmarkStart w:id="963" w:name="_Toc76859660"/>
      <w:bookmarkStart w:id="964" w:name="_Toc1314654322"/>
      <w:bookmarkStart w:id="965" w:name="_Toc2084280945"/>
      <w:bookmarkStart w:id="966" w:name="_Toc1081633133"/>
      <w:bookmarkStart w:id="967" w:name="_Toc1817711962"/>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.2 评标原则</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14:paraId="61F45D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评标活动遵循公平、公正、科学和择优的原则。</w:t>
      </w:r>
    </w:p>
    <w:p w14:paraId="060E710D">
      <w:pPr>
        <w:pStyle w:val="4"/>
        <w:bidi w:val="0"/>
        <w:rPr>
          <w:rFonts w:hint="eastAsia" w:ascii="宋体" w:hAnsi="宋体" w:eastAsia="宋体" w:cs="宋体"/>
          <w:color w:val="auto"/>
          <w:highlight w:val="none"/>
          <w:lang w:val="en-US" w:eastAsia="zh-CN"/>
        </w:rPr>
      </w:pPr>
      <w:bookmarkStart w:id="968" w:name="_Toc1574777886"/>
      <w:bookmarkStart w:id="969" w:name="_Toc584842749"/>
      <w:bookmarkStart w:id="970" w:name="_Toc819901312"/>
      <w:bookmarkStart w:id="971" w:name="_Toc374657949"/>
      <w:bookmarkStart w:id="972" w:name="_Toc1968668903"/>
      <w:bookmarkStart w:id="973" w:name="_Toc544638755"/>
      <w:bookmarkStart w:id="974" w:name="_Toc347810692"/>
      <w:bookmarkStart w:id="975" w:name="_Toc1788387642"/>
      <w:bookmarkStart w:id="976" w:name="_Toc1240886218"/>
      <w:bookmarkStart w:id="977" w:name="_Toc631254922"/>
      <w:bookmarkStart w:id="978" w:name="_Toc299955757"/>
      <w:bookmarkStart w:id="979" w:name="_Toc333501483"/>
      <w:bookmarkStart w:id="980" w:name="_Toc2009058777"/>
      <w:bookmarkStart w:id="981" w:name="_Toc345339836"/>
      <w:bookmarkStart w:id="982" w:name="_Toc494420116"/>
      <w:bookmarkStart w:id="983" w:name="_Toc1850231219"/>
      <w:bookmarkStart w:id="984" w:name="_Toc1931466305"/>
      <w:r>
        <w:rPr>
          <w:rFonts w:hint="eastAsia" w:ascii="宋体" w:hAnsi="宋体" w:eastAsia="宋体" w:cs="宋体"/>
          <w:color w:val="auto"/>
          <w:highlight w:val="none"/>
          <w:lang w:val="en-US" w:eastAsia="zh-CN"/>
        </w:rPr>
        <w:t>7.3 评标</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14:paraId="32AD9A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7.3.1 评标工作原则上在完成资格审查及入围筛选的同日或次日进行。</w:t>
      </w:r>
      <w:r>
        <w:rPr>
          <w:rFonts w:hint="eastAsia" w:ascii="宋体" w:hAnsi="宋体" w:eastAsia="宋体" w:cs="宋体"/>
          <w:color w:val="auto"/>
          <w:kern w:val="0"/>
          <w:szCs w:val="21"/>
          <w:highlight w:val="none"/>
        </w:rPr>
        <w:t>评标委员会应当根据“投标须知前附表”规定的评标方法，对投标文件进行评审和比较，招标文件中没有规定的标准和方法不得作为评标的依据。</w:t>
      </w:r>
    </w:p>
    <w:p w14:paraId="185A0E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7.3.2</w:t>
      </w:r>
      <w:r>
        <w:rPr>
          <w:rFonts w:hint="eastAsia" w:ascii="宋体" w:hAnsi="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lang w:val="en-US" w:eastAsia="zh-CN"/>
        </w:rPr>
        <w:t>评标完成后，评标委员会应当向招标人提交书面评标报告和定标候选人名单。</w:t>
      </w:r>
    </w:p>
    <w:p w14:paraId="35F2C4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7.3.3 采用定量评审的，评标委员会按投标人评审总得分由高到低，向招标人推荐不少于5名</w:t>
      </w:r>
      <w:r>
        <w:rPr>
          <w:rFonts w:hint="eastAsia" w:ascii="宋体" w:hAnsi="宋体" w:eastAsia="宋体" w:cs="宋体"/>
          <w:color w:val="auto"/>
          <w:szCs w:val="21"/>
          <w:highlight w:val="none"/>
          <w:lang w:val="en-US" w:eastAsia="zh-CN"/>
        </w:rPr>
        <w:t>（含本数）</w:t>
      </w:r>
      <w:r>
        <w:rPr>
          <w:rFonts w:hint="eastAsia" w:ascii="宋体" w:hAnsi="宋体" w:eastAsia="宋体" w:cs="宋体"/>
          <w:color w:val="auto"/>
          <w:kern w:val="0"/>
          <w:szCs w:val="21"/>
          <w:highlight w:val="none"/>
          <w:lang w:val="en-US" w:eastAsia="zh-CN"/>
        </w:rPr>
        <w:t>排名靠前但不排序的</w:t>
      </w:r>
      <w:r>
        <w:rPr>
          <w:rFonts w:hint="eastAsia" w:ascii="宋体" w:hAnsi="宋体" w:eastAsia="宋体" w:cs="宋体"/>
          <w:color w:val="auto"/>
          <w:szCs w:val="21"/>
          <w:highlight w:val="none"/>
          <w:lang w:val="en-US" w:eastAsia="zh-CN"/>
        </w:rPr>
        <w:t>定标候选人。</w:t>
      </w:r>
      <w:r>
        <w:rPr>
          <w:rFonts w:hint="eastAsia" w:ascii="宋体" w:hAnsi="宋体" w:eastAsia="宋体" w:cs="宋体"/>
          <w:color w:val="auto"/>
          <w:kern w:val="0"/>
          <w:szCs w:val="21"/>
          <w:highlight w:val="none"/>
          <w:lang w:val="en-US" w:eastAsia="zh-CN"/>
        </w:rPr>
        <w:t>评标委员会推荐</w:t>
      </w:r>
      <w:r>
        <w:rPr>
          <w:rFonts w:hint="eastAsia" w:ascii="宋体" w:hAnsi="宋体" w:cs="宋体"/>
          <w:color w:val="auto"/>
          <w:kern w:val="0"/>
          <w:szCs w:val="21"/>
          <w:highlight w:val="none"/>
          <w:lang w:val="en-US" w:eastAsia="zh-CN"/>
        </w:rPr>
        <w:t>定</w:t>
      </w:r>
      <w:r>
        <w:rPr>
          <w:rFonts w:hint="eastAsia" w:ascii="宋体" w:hAnsi="宋体" w:eastAsia="宋体" w:cs="宋体"/>
          <w:color w:val="auto"/>
          <w:kern w:val="0"/>
          <w:szCs w:val="21"/>
          <w:highlight w:val="none"/>
          <w:lang w:val="en-US" w:eastAsia="zh-CN"/>
        </w:rPr>
        <w:t>标候选人的人数见投标人须知前附表。当通过评标委员会评审的有效投标人数量已低于（或等于）投标人须知前附表规定的推荐定标候选人数量时，除投标文件出现无效投标情形外，所有投标人均推荐为定标候选人。</w:t>
      </w:r>
    </w:p>
    <w:p w14:paraId="7932CFCE">
      <w:pPr>
        <w:pStyle w:val="4"/>
        <w:bidi w:val="0"/>
        <w:rPr>
          <w:rFonts w:hint="eastAsia" w:ascii="宋体" w:hAnsi="宋体" w:eastAsia="宋体" w:cs="宋体"/>
          <w:color w:val="auto"/>
          <w:highlight w:val="none"/>
          <w:lang w:val="en-US" w:eastAsia="zh-CN"/>
        </w:rPr>
      </w:pPr>
      <w:bookmarkStart w:id="985" w:name="_Toc809314043"/>
      <w:bookmarkStart w:id="986" w:name="_Toc1818190215"/>
      <w:bookmarkStart w:id="987" w:name="_Toc1013168129"/>
      <w:bookmarkStart w:id="988" w:name="_Toc1477977724"/>
      <w:bookmarkStart w:id="989" w:name="_Toc1702444871"/>
      <w:bookmarkStart w:id="990" w:name="_Toc494803224"/>
      <w:bookmarkStart w:id="991" w:name="_Toc1907124289"/>
      <w:bookmarkStart w:id="992" w:name="_Toc2079198041"/>
      <w:bookmarkStart w:id="993" w:name="_Toc163336832"/>
      <w:bookmarkStart w:id="994" w:name="_Toc1613435975"/>
      <w:bookmarkStart w:id="995" w:name="_Toc1283444255"/>
      <w:bookmarkStart w:id="996" w:name="_Toc1932756782"/>
      <w:bookmarkStart w:id="997" w:name="_Toc483850800"/>
      <w:bookmarkStart w:id="998" w:name="_Toc1154299595"/>
      <w:bookmarkStart w:id="999" w:name="_Toc1144568307"/>
      <w:bookmarkStart w:id="1000" w:name="_Toc1207720160"/>
      <w:bookmarkStart w:id="1001" w:name="_Toc2052278080"/>
      <w:r>
        <w:rPr>
          <w:rFonts w:hint="eastAsia" w:ascii="宋体" w:hAnsi="宋体" w:eastAsia="宋体" w:cs="宋体"/>
          <w:color w:val="auto"/>
          <w:highlight w:val="none"/>
          <w:lang w:val="en-US" w:eastAsia="zh-CN"/>
        </w:rPr>
        <w:t>7.4 投标文件的重大偏差</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14:paraId="4287037B">
      <w:pPr>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投标文件存在重大偏差情形的，评标委员会应根据相应的投标文件否决性条款作</w:t>
      </w:r>
      <w:r>
        <w:rPr>
          <w:rFonts w:hint="eastAsia" w:ascii="宋体" w:hAnsi="宋体" w:eastAsia="宋体" w:cs="宋体"/>
          <w:color w:val="auto"/>
          <w:kern w:val="0"/>
          <w:szCs w:val="21"/>
          <w:highlight w:val="none"/>
          <w:lang w:eastAsia="zh-CN"/>
        </w:rPr>
        <w:t>否决投</w:t>
      </w:r>
      <w:r>
        <w:rPr>
          <w:rFonts w:hint="eastAsia" w:ascii="宋体" w:hAnsi="宋体" w:eastAsia="宋体" w:cs="宋体"/>
          <w:color w:val="auto"/>
          <w:kern w:val="0"/>
          <w:szCs w:val="21"/>
          <w:highlight w:val="none"/>
        </w:rPr>
        <w:t>标处理。</w:t>
      </w:r>
    </w:p>
    <w:p w14:paraId="7E4D4FCA">
      <w:pPr>
        <w:pStyle w:val="4"/>
        <w:bidi w:val="0"/>
        <w:rPr>
          <w:rFonts w:hint="eastAsia" w:ascii="宋体" w:hAnsi="宋体" w:eastAsia="宋体" w:cs="宋体"/>
          <w:color w:val="auto"/>
          <w:highlight w:val="none"/>
        </w:rPr>
      </w:pPr>
      <w:bookmarkStart w:id="1002" w:name="_Toc1166282742"/>
      <w:bookmarkStart w:id="1003" w:name="_Toc1046758263"/>
      <w:bookmarkStart w:id="1004" w:name="_Toc72437706"/>
      <w:bookmarkStart w:id="1005" w:name="_Toc1877822149"/>
      <w:bookmarkStart w:id="1006" w:name="_Toc1618825647"/>
      <w:bookmarkStart w:id="1007" w:name="_Toc902470361"/>
      <w:bookmarkStart w:id="1008" w:name="_Toc944137058"/>
      <w:bookmarkStart w:id="1009" w:name="_Toc393153956"/>
      <w:bookmarkStart w:id="1010" w:name="_Toc1918794437"/>
      <w:bookmarkStart w:id="1011" w:name="_Toc553704619"/>
      <w:bookmarkStart w:id="1012" w:name="_Toc1077015951"/>
      <w:bookmarkStart w:id="1013" w:name="_Toc202762048"/>
      <w:bookmarkStart w:id="1014" w:name="_Toc2038097500"/>
      <w:bookmarkStart w:id="1015" w:name="_Toc239323852"/>
      <w:bookmarkStart w:id="1016" w:name="_Toc343655607"/>
      <w:bookmarkStart w:id="1017" w:name="_Toc1963690781"/>
      <w:bookmarkStart w:id="1018" w:name="_Toc1612441280"/>
      <w:r>
        <w:rPr>
          <w:rFonts w:hint="eastAsia" w:ascii="宋体" w:hAnsi="宋体" w:eastAsia="宋体" w:cs="宋体"/>
          <w:color w:val="auto"/>
          <w:highlight w:val="none"/>
          <w:lang w:val="en-US" w:eastAsia="zh-CN"/>
        </w:rPr>
        <w:t>7.5 投标文件的细微偏差</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14:paraId="7A2E0E60">
      <w:pPr>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细微偏差是指投标文件在实质上响应招标文件要求，提供了不完整的技术信息和数据等情况，并且补正这些遗漏或者不完整不会对其他投标人造成不公平的结果。细微偏差不影响投标文件的有效性。</w:t>
      </w:r>
    </w:p>
    <w:p w14:paraId="34CB9727">
      <w:pPr>
        <w:pStyle w:val="4"/>
        <w:bidi w:val="0"/>
        <w:rPr>
          <w:rFonts w:hint="eastAsia" w:ascii="宋体" w:hAnsi="宋体" w:eastAsia="宋体" w:cs="宋体"/>
          <w:b/>
          <w:bCs/>
          <w:color w:val="auto"/>
          <w:highlight w:val="none"/>
          <w:lang w:val="en-US" w:eastAsia="zh-CN"/>
        </w:rPr>
      </w:pPr>
      <w:bookmarkStart w:id="1019" w:name="_Toc368128686"/>
      <w:bookmarkStart w:id="1020" w:name="_Toc536149615"/>
      <w:bookmarkStart w:id="1021" w:name="_Toc1706418676"/>
      <w:bookmarkStart w:id="1022" w:name="_Toc1222476490"/>
      <w:bookmarkStart w:id="1023" w:name="_Toc827676268"/>
      <w:bookmarkStart w:id="1024" w:name="_Toc2060004376"/>
      <w:bookmarkStart w:id="1025" w:name="_Toc1239230957"/>
      <w:bookmarkStart w:id="1026" w:name="_Toc1541508337"/>
      <w:bookmarkStart w:id="1027" w:name="_Toc248891604"/>
      <w:bookmarkStart w:id="1028" w:name="_Toc1206318635"/>
      <w:bookmarkStart w:id="1029" w:name="_Toc965870256"/>
      <w:bookmarkStart w:id="1030" w:name="_Toc2039832617"/>
      <w:bookmarkStart w:id="1031" w:name="_Toc217677233"/>
      <w:bookmarkStart w:id="1032" w:name="_Toc972347478"/>
      <w:bookmarkStart w:id="1033" w:name="_Toc1984992620"/>
      <w:bookmarkStart w:id="1034" w:name="_Toc982508036"/>
      <w:bookmarkStart w:id="1035" w:name="_Toc1948181919"/>
      <w:r>
        <w:rPr>
          <w:rFonts w:hint="eastAsia" w:ascii="宋体" w:hAnsi="宋体" w:eastAsia="宋体" w:cs="宋体"/>
          <w:b/>
          <w:bCs/>
          <w:color w:val="auto"/>
          <w:highlight w:val="none"/>
          <w:lang w:val="en-US" w:eastAsia="zh-CN"/>
        </w:rPr>
        <w:t>7.</w:t>
      </w:r>
      <w:r>
        <w:rPr>
          <w:rFonts w:hint="eastAsia" w:ascii="宋体" w:hAnsi="宋体" w:cs="宋体"/>
          <w:b/>
          <w:bCs/>
          <w:color w:val="auto"/>
          <w:highlight w:val="none"/>
          <w:lang w:val="en-US" w:eastAsia="zh-CN"/>
        </w:rPr>
        <w:t>6</w:t>
      </w:r>
      <w:r>
        <w:rPr>
          <w:rFonts w:hint="eastAsia" w:ascii="宋体" w:hAnsi="宋体" w:eastAsia="宋体" w:cs="宋体"/>
          <w:b/>
          <w:bCs/>
          <w:color w:val="auto"/>
          <w:highlight w:val="none"/>
          <w:lang w:val="en-US" w:eastAsia="zh-CN"/>
        </w:rPr>
        <w:t xml:space="preserve"> 评标结果公示</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14:paraId="37366E0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招标人在收到评标报告之日起3日内，在</w:t>
      </w:r>
      <w:r>
        <w:rPr>
          <w:rFonts w:hint="eastAsia" w:ascii="宋体" w:hAnsi="宋体" w:eastAsia="宋体" w:cs="宋体"/>
          <w:color w:val="auto"/>
          <w:szCs w:val="21"/>
          <w:highlight w:val="none"/>
        </w:rPr>
        <w:t>广东省招标投标监管网</w:t>
      </w:r>
      <w:r>
        <w:rPr>
          <w:rFonts w:hint="eastAsia" w:ascii="宋体" w:hAnsi="宋体" w:eastAsia="宋体" w:cs="Times New Roman"/>
          <w:color w:val="auto"/>
          <w:szCs w:val="21"/>
          <w:highlight w:val="none"/>
          <w:lang w:eastAsia="zh-CN"/>
        </w:rPr>
        <w:t>、</w:t>
      </w:r>
      <w:r>
        <w:rPr>
          <w:rFonts w:hint="eastAsia" w:ascii="宋体" w:hAnsi="宋体" w:eastAsia="宋体" w:cs="宋体"/>
          <w:color w:val="auto"/>
          <w:szCs w:val="21"/>
          <w:highlight w:val="none"/>
        </w:rPr>
        <w:t>广东省公共资源交易平台（中山市）</w:t>
      </w:r>
      <w:r>
        <w:rPr>
          <w:rFonts w:hint="eastAsia" w:ascii="宋体" w:hAnsi="宋体" w:eastAsia="宋体" w:cs="宋体"/>
          <w:color w:val="auto"/>
          <w:szCs w:val="21"/>
          <w:highlight w:val="none"/>
          <w:lang w:eastAsia="zh-CN"/>
        </w:rPr>
        <w:t>上</w:t>
      </w:r>
      <w:r>
        <w:rPr>
          <w:rFonts w:hint="eastAsia" w:ascii="宋体" w:hAnsi="宋体" w:eastAsia="宋体" w:cs="宋体"/>
          <w:color w:val="auto"/>
          <w:szCs w:val="21"/>
          <w:highlight w:val="none"/>
        </w:rPr>
        <w:t>公示</w:t>
      </w:r>
      <w:r>
        <w:rPr>
          <w:rFonts w:hint="eastAsia" w:ascii="宋体" w:hAnsi="宋体" w:eastAsia="宋体" w:cs="宋体"/>
          <w:color w:val="auto"/>
          <w:szCs w:val="21"/>
          <w:highlight w:val="none"/>
          <w:lang w:val="en-US" w:eastAsia="zh-CN"/>
        </w:rPr>
        <w:t>评标结果</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公示期不得少于3日，</w:t>
      </w:r>
      <w:r>
        <w:rPr>
          <w:rFonts w:hint="eastAsia" w:ascii="宋体" w:hAnsi="宋体" w:eastAsia="宋体" w:cs="宋体"/>
          <w:color w:val="auto"/>
          <w:szCs w:val="21"/>
          <w:highlight w:val="none"/>
        </w:rPr>
        <w:t>公示应当附</w:t>
      </w:r>
      <w:r>
        <w:rPr>
          <w:rFonts w:hint="eastAsia" w:ascii="宋体" w:hAnsi="宋体" w:eastAsia="宋体" w:cs="宋体"/>
          <w:color w:val="auto"/>
          <w:szCs w:val="21"/>
          <w:highlight w:val="none"/>
          <w:lang w:eastAsia="zh-CN"/>
        </w:rPr>
        <w:t>资格审查及入围筛选</w:t>
      </w:r>
      <w:r>
        <w:rPr>
          <w:rFonts w:hint="eastAsia" w:ascii="宋体" w:hAnsi="宋体" w:eastAsia="宋体" w:cs="宋体"/>
          <w:color w:val="auto"/>
          <w:szCs w:val="21"/>
          <w:highlight w:val="none"/>
        </w:rPr>
        <w:t>报告、评标报告等材料</w:t>
      </w:r>
      <w:r>
        <w:rPr>
          <w:rFonts w:hint="eastAsia" w:ascii="宋体" w:hAnsi="宋体" w:eastAsia="宋体" w:cs="宋体"/>
          <w:color w:val="auto"/>
          <w:szCs w:val="21"/>
          <w:highlight w:val="none"/>
          <w:lang w:val="en-US" w:eastAsia="zh-CN"/>
        </w:rPr>
        <w:t>。</w:t>
      </w:r>
    </w:p>
    <w:p w14:paraId="49549C83">
      <w:pPr>
        <w:pStyle w:val="3"/>
        <w:bidi w:val="0"/>
        <w:rPr>
          <w:rFonts w:hint="eastAsia" w:ascii="宋体" w:hAnsi="宋体" w:eastAsia="宋体" w:cs="宋体"/>
          <w:color w:val="auto"/>
          <w:highlight w:val="none"/>
          <w:lang w:eastAsia="zh-CN"/>
        </w:rPr>
      </w:pPr>
      <w:bookmarkStart w:id="1036" w:name="_Toc703408520"/>
      <w:bookmarkStart w:id="1037" w:name="_Toc898828062"/>
      <w:bookmarkStart w:id="1038" w:name="_Toc916307499"/>
      <w:bookmarkStart w:id="1039" w:name="_Toc1618166626"/>
      <w:bookmarkStart w:id="1040" w:name="_Toc1949671920"/>
      <w:bookmarkStart w:id="1041" w:name="_Toc1982337138"/>
      <w:bookmarkStart w:id="1042" w:name="_Toc9044"/>
      <w:bookmarkStart w:id="1043" w:name="_Toc2052709876"/>
      <w:bookmarkStart w:id="1044" w:name="_Toc773527796"/>
      <w:bookmarkStart w:id="1045" w:name="_Toc839561503"/>
      <w:bookmarkStart w:id="1046" w:name="_Toc635027814"/>
      <w:bookmarkStart w:id="1047" w:name="_Toc1864258249"/>
      <w:bookmarkStart w:id="1048" w:name="_Toc1368527843"/>
      <w:bookmarkStart w:id="1049" w:name="_Toc912912475"/>
      <w:bookmarkStart w:id="1050" w:name="_Toc1438160857"/>
      <w:bookmarkStart w:id="1051" w:name="_Toc359497978"/>
      <w:bookmarkStart w:id="1052" w:name="_Toc794508430"/>
      <w:bookmarkStart w:id="1053" w:name="_Toc919458295"/>
      <w:bookmarkStart w:id="1054" w:name="_Toc756496350"/>
      <w:bookmarkStart w:id="1055" w:name="_Toc1282807200"/>
      <w:bookmarkStart w:id="1056" w:name="_Toc412754042"/>
      <w:bookmarkStart w:id="1057" w:name="_Toc1989536614"/>
      <w:bookmarkStart w:id="1058" w:name="_Toc1067945691"/>
      <w:bookmarkStart w:id="1059" w:name="_Toc2088436579"/>
      <w:bookmarkStart w:id="1060" w:name="_Toc2054814673"/>
      <w:r>
        <w:rPr>
          <w:rFonts w:hint="eastAsia" w:ascii="宋体" w:hAnsi="宋体" w:cs="宋体"/>
          <w:color w:val="auto"/>
          <w:highlight w:val="none"/>
          <w:lang w:val="en-US" w:eastAsia="zh-CN"/>
        </w:rPr>
        <w:t xml:space="preserve">8. </w:t>
      </w:r>
      <w:r>
        <w:rPr>
          <w:rFonts w:hint="eastAsia" w:ascii="宋体" w:hAnsi="宋体" w:cs="宋体"/>
          <w:color w:val="auto"/>
          <w:highlight w:val="none"/>
          <w:lang w:eastAsia="zh-CN"/>
        </w:rPr>
        <w:t>定标</w:t>
      </w:r>
      <w:bookmarkEnd w:id="1036"/>
      <w:bookmarkEnd w:id="1037"/>
      <w:bookmarkEnd w:id="1038"/>
      <w:bookmarkEnd w:id="1039"/>
      <w:bookmarkEnd w:id="1040"/>
      <w:bookmarkEnd w:id="1041"/>
      <w:bookmarkEnd w:id="1042"/>
      <w:bookmarkEnd w:id="1043"/>
    </w:p>
    <w:p w14:paraId="6A628022">
      <w:pPr>
        <w:pStyle w:val="4"/>
        <w:bidi w:val="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 xml:space="preserve">.1 </w:t>
      </w:r>
      <w:r>
        <w:rPr>
          <w:rFonts w:hint="eastAsia" w:ascii="宋体" w:hAnsi="宋体" w:eastAsia="宋体" w:cs="宋体"/>
          <w:color w:val="auto"/>
          <w:highlight w:val="none"/>
          <w:lang w:val="en-US" w:eastAsia="zh-CN"/>
        </w:rPr>
        <w:t>清标</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14:paraId="7741A020">
      <w:pPr>
        <w:spacing w:line="360" w:lineRule="auto"/>
        <w:ind w:firstLine="420" w:firstLineChars="200"/>
        <w:rPr>
          <w:rFonts w:hint="eastAsia" w:ascii="宋体" w:hAnsi="宋体" w:eastAsia="宋体" w:cs="宋体"/>
          <w:color w:val="auto"/>
          <w:highlight w:val="none"/>
        </w:rPr>
      </w:pPr>
      <w:bookmarkStart w:id="1061" w:name="_Toc27984"/>
      <w:r>
        <w:rPr>
          <w:rFonts w:hint="eastAsia" w:ascii="宋体" w:hAnsi="宋体" w:eastAsia="宋体" w:cs="宋体"/>
          <w:color w:val="auto"/>
          <w:highlight w:val="none"/>
        </w:rPr>
        <w:t>定标前招标人自行或者委托专业机构组建清标工作小组开展清标工作，可以对企业经营现状、投标文件或方案进行澄清与复核，可以对投标人及拟派项目负责人等进行考察，也可以对项目后期可能遇到的风险和问题进行评估等。</w:t>
      </w:r>
      <w:bookmarkEnd w:id="1061"/>
    </w:p>
    <w:p w14:paraId="5360F13F">
      <w:pPr>
        <w:spacing w:line="360" w:lineRule="auto"/>
        <w:ind w:firstLine="420" w:firstLineChars="200"/>
        <w:rPr>
          <w:rFonts w:hint="eastAsia" w:ascii="宋体" w:hAnsi="宋体" w:eastAsia="宋体" w:cs="宋体"/>
          <w:color w:val="auto"/>
          <w:highlight w:val="none"/>
          <w:lang w:val="en-US" w:eastAsia="zh-CN"/>
        </w:rPr>
      </w:pPr>
      <w:bookmarkStart w:id="1062" w:name="_Toc248"/>
      <w:r>
        <w:rPr>
          <w:rFonts w:hint="eastAsia" w:ascii="宋体" w:hAnsi="宋体" w:eastAsia="宋体" w:cs="宋体"/>
          <w:color w:val="auto"/>
          <w:highlight w:val="none"/>
        </w:rPr>
        <w:t>清标工作完成后，招标人形成清标报告，作为定标的辅助。清标报告内容应当客观公正、真实有效，不得有明示或者暗示中标单位的内容。</w:t>
      </w:r>
      <w:bookmarkEnd w:id="1062"/>
    </w:p>
    <w:p w14:paraId="10E46E0E">
      <w:pPr>
        <w:pStyle w:val="4"/>
        <w:bidi w:val="0"/>
        <w:rPr>
          <w:rFonts w:hint="eastAsia" w:ascii="宋体" w:hAnsi="宋体" w:eastAsia="宋体" w:cs="宋体"/>
          <w:color w:val="auto"/>
          <w:highlight w:val="none"/>
          <w:lang w:val="en-US" w:eastAsia="zh-CN"/>
        </w:rPr>
      </w:pPr>
      <w:bookmarkStart w:id="1063" w:name="_Toc1832432163"/>
      <w:bookmarkStart w:id="1064" w:name="_Toc2125462864"/>
      <w:bookmarkStart w:id="1065" w:name="_Toc1275257309"/>
      <w:bookmarkStart w:id="1066" w:name="_Toc1247199041"/>
      <w:bookmarkStart w:id="1067" w:name="_Toc263865740"/>
      <w:bookmarkStart w:id="1068" w:name="_Toc313210026"/>
      <w:bookmarkStart w:id="1069" w:name="_Toc949126572"/>
      <w:bookmarkStart w:id="1070" w:name="_Toc783457556"/>
      <w:bookmarkStart w:id="1071" w:name="_Toc1514805586"/>
      <w:bookmarkStart w:id="1072" w:name="_Toc479158865"/>
      <w:bookmarkStart w:id="1073" w:name="_Toc402711630"/>
      <w:bookmarkStart w:id="1074" w:name="_Toc1860038084"/>
      <w:bookmarkStart w:id="1075" w:name="_Toc1089462737"/>
      <w:bookmarkStart w:id="1076" w:name="_Toc1073900729"/>
      <w:bookmarkStart w:id="1077" w:name="_Toc1196004357"/>
      <w:bookmarkStart w:id="1078" w:name="_Toc1764385154"/>
      <w:bookmarkStart w:id="1079" w:name="_Toc1086066271"/>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定标委员会</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14:paraId="610B8F3A">
      <w:pPr>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8.2.1</w:t>
      </w:r>
      <w:r>
        <w:rPr>
          <w:rFonts w:hint="eastAsia" w:ascii="宋体" w:hAnsi="宋体" w:cs="宋体"/>
          <w:color w:val="auto"/>
          <w:highlight w:val="none"/>
          <w:lang w:val="en-US" w:eastAsia="zh-CN"/>
        </w:rPr>
        <w:t xml:space="preserve"> </w:t>
      </w:r>
      <w:r>
        <w:rPr>
          <w:rFonts w:hint="eastAsia" w:ascii="宋体" w:hAnsi="宋体" w:eastAsia="宋体" w:cs="宋体"/>
          <w:color w:val="auto"/>
          <w:highlight w:val="none"/>
        </w:rPr>
        <w:t>定标委员会由招标人负责组建，招标人的法定代表人或者主要负责人承担定标委员会运行过程中的管理、监督责任。定标委员会成员数量原则上为</w:t>
      </w:r>
      <w:r>
        <w:rPr>
          <w:rFonts w:hint="eastAsia" w:ascii="宋体" w:hAnsi="宋体" w:eastAsia="宋体" w:cs="宋体"/>
          <w:color w:val="auto"/>
          <w:highlight w:val="none"/>
          <w:lang w:val="en-US" w:eastAsia="zh-CN"/>
        </w:rPr>
        <w:t>7人</w:t>
      </w:r>
      <w:r>
        <w:rPr>
          <w:rFonts w:hint="eastAsia" w:ascii="宋体" w:hAnsi="宋体" w:eastAsia="宋体" w:cs="宋体"/>
          <w:color w:val="auto"/>
          <w:highlight w:val="none"/>
        </w:rPr>
        <w:t>或以上单数</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定标委员会名单由招标人</w:t>
      </w:r>
      <w:r>
        <w:rPr>
          <w:rFonts w:hint="eastAsia" w:ascii="宋体" w:hAnsi="宋体" w:eastAsia="宋体" w:cs="宋体"/>
          <w:color w:val="auto"/>
          <w:highlight w:val="none"/>
          <w:lang w:eastAsia="zh-CN"/>
        </w:rPr>
        <w:t>在定标时间开始前2小时内在市公共资源交易中心见证下通过摇珠机从定标成员库中随机抽取确定</w:t>
      </w:r>
      <w:r>
        <w:rPr>
          <w:rFonts w:hint="eastAsia" w:ascii="宋体" w:hAnsi="宋体" w:eastAsia="宋体" w:cs="宋体"/>
          <w:color w:val="auto"/>
          <w:highlight w:val="none"/>
        </w:rPr>
        <w:t>。</w:t>
      </w:r>
      <w:r>
        <w:rPr>
          <w:rFonts w:hint="default" w:ascii="宋体" w:hAnsi="宋体" w:eastAsia="宋体" w:cs="宋体"/>
          <w:color w:val="auto"/>
          <w:highlight w:val="none"/>
        </w:rPr>
        <w:t>招标人的法定代表人或主要负责人</w:t>
      </w:r>
      <w:r>
        <w:rPr>
          <w:rFonts w:hint="eastAsia" w:ascii="宋体" w:hAnsi="宋体" w:eastAsia="宋体" w:cs="宋体"/>
          <w:color w:val="auto"/>
          <w:highlight w:val="none"/>
          <w:lang w:val="en-US" w:eastAsia="zh-CN"/>
        </w:rPr>
        <w:t>也</w:t>
      </w:r>
      <w:r>
        <w:rPr>
          <w:rFonts w:hint="default" w:ascii="宋体" w:hAnsi="宋体" w:eastAsia="宋体" w:cs="宋体"/>
          <w:color w:val="auto"/>
          <w:highlight w:val="none"/>
        </w:rPr>
        <w:t>可从本单位直接指定部分定标委员会成员，或邀请符合法律法规规定的专家作为定标委员会成员，但总数不得超过定标委员会成员总数的三分之一。</w:t>
      </w:r>
      <w:r>
        <w:rPr>
          <w:rFonts w:hint="eastAsia" w:ascii="宋体" w:hAnsi="宋体" w:eastAsia="宋体" w:cs="宋体"/>
          <w:color w:val="auto"/>
          <w:highlight w:val="none"/>
          <w:lang w:val="en-US" w:eastAsia="zh-CN"/>
        </w:rPr>
        <w:t>定标委员会成员数量详见投标人</w:t>
      </w:r>
      <w:r>
        <w:rPr>
          <w:rFonts w:hint="eastAsia" w:ascii="宋体" w:hAnsi="宋体" w:eastAsia="宋体" w:cs="宋体"/>
          <w:color w:val="auto"/>
          <w:highlight w:val="none"/>
        </w:rPr>
        <w:t>须知前附表。</w:t>
      </w:r>
    </w:p>
    <w:p w14:paraId="1782C0E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8.2.2 定标委员会成员有下列情形之一的，应当回避：</w:t>
      </w:r>
    </w:p>
    <w:p w14:paraId="3238F139">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与投标单位有直接利益关系的</w:t>
      </w:r>
      <w:r>
        <w:rPr>
          <w:rFonts w:hint="eastAsia" w:ascii="宋体" w:hAnsi="宋体" w:cs="宋体"/>
          <w:color w:val="auto"/>
          <w:szCs w:val="21"/>
          <w:highlight w:val="none"/>
          <w:lang w:eastAsia="zh-CN"/>
        </w:rPr>
        <w:t>；</w:t>
      </w:r>
    </w:p>
    <w:p w14:paraId="1532D1F5">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作为招标人代表参与本项目评标委员会的</w:t>
      </w:r>
      <w:r>
        <w:rPr>
          <w:rFonts w:hint="eastAsia" w:ascii="宋体" w:hAnsi="宋体" w:cs="宋体"/>
          <w:color w:val="auto"/>
          <w:szCs w:val="21"/>
          <w:highlight w:val="none"/>
          <w:lang w:eastAsia="zh-CN"/>
        </w:rPr>
        <w:t>；</w:t>
      </w:r>
    </w:p>
    <w:p w14:paraId="1625DB15">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与投标人有经济利益关系，可能影响对投标公正评审的</w:t>
      </w:r>
      <w:r>
        <w:rPr>
          <w:rFonts w:hint="eastAsia" w:ascii="宋体" w:hAnsi="宋体" w:cs="宋体"/>
          <w:color w:val="auto"/>
          <w:szCs w:val="21"/>
          <w:highlight w:val="none"/>
          <w:lang w:eastAsia="zh-CN"/>
        </w:rPr>
        <w:t>；</w:t>
      </w:r>
    </w:p>
    <w:p w14:paraId="5B2CECF1">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本项目</w:t>
      </w:r>
      <w:r>
        <w:rPr>
          <w:rFonts w:hint="eastAsia" w:ascii="宋体" w:hAnsi="宋体" w:eastAsia="宋体" w:cs="宋体"/>
          <w:color w:val="auto"/>
          <w:highlight w:val="none"/>
        </w:rPr>
        <w:t>资格审查</w:t>
      </w:r>
      <w:r>
        <w:rPr>
          <w:rFonts w:hint="eastAsia" w:ascii="宋体" w:hAnsi="宋体" w:eastAsia="宋体" w:cs="宋体"/>
          <w:color w:val="auto"/>
          <w:highlight w:val="none"/>
          <w:lang w:val="en-US" w:eastAsia="zh-CN"/>
        </w:rPr>
        <w:t>委</w:t>
      </w:r>
      <w:r>
        <w:rPr>
          <w:rFonts w:hint="eastAsia" w:ascii="宋体" w:hAnsi="宋体" w:eastAsia="宋体" w:cs="宋体"/>
          <w:color w:val="auto"/>
          <w:szCs w:val="21"/>
          <w:highlight w:val="none"/>
          <w:lang w:val="en-US" w:eastAsia="zh-CN"/>
        </w:rPr>
        <w:t>员会成员</w:t>
      </w:r>
      <w:r>
        <w:rPr>
          <w:rFonts w:hint="eastAsia" w:ascii="宋体" w:hAnsi="宋体" w:eastAsia="宋体" w:cs="宋体"/>
          <w:color w:val="auto"/>
          <w:szCs w:val="21"/>
          <w:highlight w:val="none"/>
        </w:rPr>
        <w:t>或清标工作小组成员</w:t>
      </w:r>
      <w:r>
        <w:rPr>
          <w:rFonts w:hint="eastAsia" w:ascii="宋体" w:hAnsi="宋体" w:cs="宋体"/>
          <w:color w:val="auto"/>
          <w:szCs w:val="21"/>
          <w:highlight w:val="none"/>
          <w:lang w:eastAsia="zh-CN"/>
        </w:rPr>
        <w:t>；</w:t>
      </w:r>
    </w:p>
    <w:p w14:paraId="4980499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kern w:val="2"/>
          <w:szCs w:val="21"/>
          <w:highlight w:val="none"/>
          <w:lang w:val="en-US" w:eastAsia="zh-CN"/>
        </w:rPr>
        <w:t>（5）其它影响招标、投标公正评审情形。</w:t>
      </w:r>
    </w:p>
    <w:p w14:paraId="674DF906">
      <w:pPr>
        <w:pStyle w:val="4"/>
        <w:bidi w:val="0"/>
        <w:rPr>
          <w:rFonts w:hint="eastAsia" w:ascii="宋体" w:hAnsi="宋体" w:eastAsia="宋体" w:cs="宋体"/>
          <w:color w:val="auto"/>
          <w:highlight w:val="none"/>
          <w:lang w:val="en-US" w:eastAsia="zh-CN"/>
        </w:rPr>
      </w:pPr>
      <w:bookmarkStart w:id="1080" w:name="_Toc946910884"/>
      <w:bookmarkStart w:id="1081" w:name="_Toc1282803333"/>
      <w:bookmarkStart w:id="1082" w:name="_Toc1197076018"/>
      <w:bookmarkStart w:id="1083" w:name="_Toc945400004"/>
      <w:bookmarkStart w:id="1084" w:name="_Toc1250359010"/>
      <w:bookmarkStart w:id="1085" w:name="_Toc1450892245"/>
      <w:bookmarkStart w:id="1086" w:name="_Toc731730143"/>
      <w:bookmarkStart w:id="1087" w:name="_Toc9087565"/>
      <w:bookmarkStart w:id="1088" w:name="_Toc19606395"/>
      <w:bookmarkStart w:id="1089" w:name="_Toc666070827"/>
      <w:bookmarkStart w:id="1090" w:name="_Toc2012487437"/>
      <w:bookmarkStart w:id="1091" w:name="_Toc1366166086"/>
      <w:bookmarkStart w:id="1092" w:name="_Toc1234034950"/>
      <w:bookmarkStart w:id="1093" w:name="_Toc136357371"/>
      <w:bookmarkStart w:id="1094" w:name="_Toc1733651855"/>
      <w:bookmarkStart w:id="1095" w:name="_Toc896808469"/>
      <w:bookmarkStart w:id="1096" w:name="_Toc918187504"/>
      <w:r>
        <w:rPr>
          <w:rFonts w:hint="eastAsia" w:ascii="宋体" w:hAnsi="宋体" w:eastAsia="宋体" w:cs="宋体"/>
          <w:color w:val="auto"/>
          <w:highlight w:val="none"/>
          <w:lang w:val="en-US" w:eastAsia="zh-CN"/>
        </w:rPr>
        <w:t>8.3 定标原则</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14:paraId="4E6918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定标应坚持择优与竞价相结合，优质优价的原则。</w:t>
      </w:r>
    </w:p>
    <w:p w14:paraId="1F183772">
      <w:pPr>
        <w:pStyle w:val="4"/>
        <w:bidi w:val="0"/>
        <w:rPr>
          <w:rFonts w:hint="eastAsia" w:ascii="宋体" w:hAnsi="宋体" w:eastAsia="宋体" w:cs="宋体"/>
          <w:color w:val="auto"/>
          <w:highlight w:val="none"/>
          <w:lang w:val="en-US" w:eastAsia="zh-CN"/>
        </w:rPr>
      </w:pPr>
      <w:bookmarkStart w:id="1097" w:name="_Toc1382953938"/>
      <w:bookmarkStart w:id="1098" w:name="_Toc407416800"/>
      <w:bookmarkStart w:id="1099" w:name="_Toc1040697064"/>
      <w:bookmarkStart w:id="1100" w:name="_Toc620662444"/>
      <w:bookmarkStart w:id="1101" w:name="_Toc1749490954"/>
      <w:bookmarkStart w:id="1102" w:name="_Toc2141506099"/>
      <w:bookmarkStart w:id="1103" w:name="_Toc458557038"/>
      <w:bookmarkStart w:id="1104" w:name="_Toc341298258"/>
      <w:bookmarkStart w:id="1105" w:name="_Toc194397408"/>
      <w:bookmarkStart w:id="1106" w:name="_Toc643078353"/>
      <w:bookmarkStart w:id="1107" w:name="_Toc1546619393"/>
      <w:bookmarkStart w:id="1108" w:name="_Toc56970955"/>
      <w:bookmarkStart w:id="1109" w:name="_Toc1923010187"/>
      <w:bookmarkStart w:id="1110" w:name="_Toc940453097"/>
      <w:bookmarkStart w:id="1111" w:name="_Toc46577492"/>
      <w:bookmarkStart w:id="1112" w:name="_Toc602349205"/>
      <w:bookmarkStart w:id="1113" w:name="_Toc1843953091"/>
      <w:r>
        <w:rPr>
          <w:rFonts w:hint="eastAsia" w:ascii="宋体" w:hAnsi="宋体" w:eastAsia="宋体" w:cs="宋体"/>
          <w:color w:val="auto"/>
          <w:highlight w:val="none"/>
          <w:lang w:val="en-US" w:eastAsia="zh-CN"/>
        </w:rPr>
        <w:t>8.4 定标</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14:paraId="3CAFCC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Courier New"/>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8.4.1 招标人应当在评标结果公示结束后5个工作日内进入中山市公共资源交易中心进行定标。</w:t>
      </w:r>
      <w:r>
        <w:rPr>
          <w:rFonts w:hint="eastAsia" w:ascii="宋体" w:hAnsi="宋体" w:eastAsia="宋体" w:cs="Courier New"/>
          <w:color w:val="auto"/>
          <w:kern w:val="2"/>
          <w:sz w:val="21"/>
          <w:szCs w:val="21"/>
          <w:highlight w:val="none"/>
          <w:lang w:val="en-US" w:eastAsia="zh-CN" w:bidi="ar-SA"/>
        </w:rPr>
        <w:t>不能按时定标的，应当在</w:t>
      </w:r>
      <w:r>
        <w:rPr>
          <w:rFonts w:hint="eastAsia" w:ascii="宋体" w:hAnsi="宋体" w:eastAsia="宋体" w:cs="Courier New"/>
          <w:color w:val="auto"/>
          <w:szCs w:val="21"/>
          <w:highlight w:val="none"/>
        </w:rPr>
        <w:t>广东省招标投标监管网、广东省公共资源交易平台（中山市）</w:t>
      </w:r>
      <w:r>
        <w:rPr>
          <w:rFonts w:hint="eastAsia" w:ascii="宋体" w:hAnsi="宋体" w:eastAsia="宋体" w:cs="Courier New"/>
          <w:color w:val="auto"/>
          <w:kern w:val="2"/>
          <w:sz w:val="21"/>
          <w:szCs w:val="21"/>
          <w:highlight w:val="none"/>
          <w:lang w:val="en-US" w:eastAsia="zh-CN" w:bidi="ar-SA"/>
        </w:rPr>
        <w:t>上公布延期原因及最终定标时间。</w:t>
      </w:r>
    </w:p>
    <w:p w14:paraId="625E51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8.4.2 定标委员会应该根据招标文件规定的方法、择优因素、标准和程序进行定标，招标文件没有规定的方法、择优因素、标准，不作为定标依据。定标完成后，定标</w:t>
      </w:r>
      <w:r>
        <w:rPr>
          <w:rFonts w:hint="eastAsia" w:ascii="宋体" w:hAnsi="宋体" w:eastAsia="宋体" w:cs="宋体"/>
          <w:color w:val="auto"/>
          <w:kern w:val="2"/>
          <w:sz w:val="21"/>
          <w:szCs w:val="21"/>
          <w:highlight w:val="none"/>
          <w:lang w:val="zh-CN" w:eastAsia="zh-CN" w:bidi="ar-SA"/>
        </w:rPr>
        <w:t>委员会应当向招标人提交书面</w:t>
      </w:r>
      <w:r>
        <w:rPr>
          <w:rFonts w:hint="eastAsia" w:ascii="宋体" w:hAnsi="宋体" w:eastAsia="宋体" w:cs="宋体"/>
          <w:color w:val="auto"/>
          <w:kern w:val="2"/>
          <w:sz w:val="21"/>
          <w:szCs w:val="21"/>
          <w:highlight w:val="none"/>
          <w:lang w:val="en-US" w:eastAsia="zh-CN" w:bidi="ar-SA"/>
        </w:rPr>
        <w:t>定</w:t>
      </w:r>
      <w:r>
        <w:rPr>
          <w:rFonts w:hint="eastAsia" w:ascii="宋体" w:hAnsi="宋体" w:eastAsia="宋体" w:cs="宋体"/>
          <w:color w:val="auto"/>
          <w:kern w:val="2"/>
          <w:sz w:val="21"/>
          <w:szCs w:val="21"/>
          <w:highlight w:val="none"/>
          <w:lang w:val="zh-CN" w:eastAsia="zh-CN" w:bidi="ar-SA"/>
        </w:rPr>
        <w:t>标报告</w:t>
      </w:r>
      <w:r>
        <w:rPr>
          <w:rFonts w:hint="eastAsia" w:ascii="宋体" w:hAnsi="宋体" w:eastAsia="宋体" w:cs="宋体"/>
          <w:color w:val="auto"/>
          <w:kern w:val="2"/>
          <w:sz w:val="21"/>
          <w:szCs w:val="21"/>
          <w:highlight w:val="none"/>
          <w:lang w:val="en-US" w:eastAsia="zh-CN" w:bidi="ar-SA"/>
        </w:rPr>
        <w:t>。本项目的定标方法</w:t>
      </w:r>
      <w:r>
        <w:rPr>
          <w:rFonts w:hint="eastAsia" w:ascii="宋体" w:hAnsi="宋体" w:eastAsia="宋体" w:cs="宋体"/>
          <w:color w:val="auto"/>
          <w:kern w:val="2"/>
          <w:sz w:val="21"/>
          <w:szCs w:val="21"/>
          <w:highlight w:val="none"/>
          <w:lang w:val="zh-CN" w:eastAsia="zh-CN" w:bidi="ar-SA"/>
        </w:rPr>
        <w:t>见投标人须知前附表。</w:t>
      </w:r>
    </w:p>
    <w:p w14:paraId="256535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kern w:val="2"/>
          <w:sz w:val="21"/>
          <w:szCs w:val="21"/>
          <w:highlight w:val="none"/>
          <w:lang w:val="en-US" w:eastAsia="zh-CN" w:bidi="ar-SA"/>
        </w:rPr>
        <w:t xml:space="preserve">8.4.3 </w:t>
      </w:r>
      <w:r>
        <w:rPr>
          <w:rFonts w:hint="eastAsia" w:ascii="宋体" w:hAnsi="宋体" w:eastAsia="宋体" w:cs="宋体"/>
          <w:color w:val="auto"/>
          <w:highlight w:val="none"/>
        </w:rPr>
        <w:t>除投标人须知前附表规定</w:t>
      </w:r>
      <w:r>
        <w:rPr>
          <w:rFonts w:hint="eastAsia" w:ascii="宋体" w:hAnsi="宋体" w:eastAsia="宋体" w:cs="宋体"/>
          <w:color w:val="auto"/>
          <w:highlight w:val="none"/>
          <w:lang w:eastAsia="zh-CN"/>
        </w:rPr>
        <w:t>定</w:t>
      </w:r>
      <w:r>
        <w:rPr>
          <w:rFonts w:hint="eastAsia" w:ascii="宋体" w:hAnsi="宋体" w:eastAsia="宋体" w:cs="宋体"/>
          <w:color w:val="auto"/>
          <w:highlight w:val="none"/>
        </w:rPr>
        <w:t>标委员会直接确定中标人外，招标人依据</w:t>
      </w:r>
      <w:r>
        <w:rPr>
          <w:rFonts w:hint="eastAsia" w:ascii="宋体" w:hAnsi="宋体" w:eastAsia="宋体" w:cs="宋体"/>
          <w:color w:val="auto"/>
          <w:highlight w:val="none"/>
          <w:lang w:eastAsia="zh-CN"/>
        </w:rPr>
        <w:t>定</w:t>
      </w:r>
      <w:r>
        <w:rPr>
          <w:rFonts w:hint="eastAsia" w:ascii="宋体" w:hAnsi="宋体" w:eastAsia="宋体" w:cs="宋体"/>
          <w:color w:val="auto"/>
          <w:highlight w:val="none"/>
        </w:rPr>
        <w:t>标委员会推荐的中标候选人确定中标人，</w:t>
      </w:r>
      <w:r>
        <w:rPr>
          <w:rFonts w:hint="eastAsia" w:ascii="宋体" w:hAnsi="宋体" w:eastAsia="宋体" w:cs="宋体"/>
          <w:color w:val="auto"/>
          <w:highlight w:val="none"/>
          <w:lang w:eastAsia="zh-CN"/>
        </w:rPr>
        <w:t>定</w:t>
      </w:r>
      <w:r>
        <w:rPr>
          <w:rFonts w:hint="eastAsia" w:ascii="宋体" w:hAnsi="宋体" w:eastAsia="宋体" w:cs="宋体"/>
          <w:color w:val="auto"/>
          <w:highlight w:val="none"/>
        </w:rPr>
        <w:t>标委员会推荐中标候选人的人数见投标人须知前附表。</w:t>
      </w:r>
    </w:p>
    <w:p w14:paraId="4E957A0E">
      <w:pPr>
        <w:pStyle w:val="4"/>
        <w:bidi w:val="0"/>
        <w:rPr>
          <w:rFonts w:hint="eastAsia" w:ascii="宋体" w:hAnsi="宋体" w:eastAsia="宋体" w:cs="宋体"/>
          <w:color w:val="auto"/>
          <w:highlight w:val="none"/>
          <w:lang w:val="en-US" w:eastAsia="zh-CN"/>
        </w:rPr>
      </w:pPr>
      <w:bookmarkStart w:id="1114" w:name="_Toc1754553678"/>
      <w:bookmarkStart w:id="1115" w:name="_Toc1615460574"/>
      <w:bookmarkStart w:id="1116" w:name="_Toc196670662"/>
      <w:bookmarkStart w:id="1117" w:name="_Toc790519914"/>
      <w:bookmarkStart w:id="1118" w:name="_Toc1136195813"/>
      <w:bookmarkStart w:id="1119" w:name="_Toc76897583"/>
      <w:bookmarkStart w:id="1120" w:name="_Toc1214932878"/>
      <w:bookmarkStart w:id="1121" w:name="_Toc812305636"/>
      <w:bookmarkStart w:id="1122" w:name="_Toc1423735506"/>
      <w:bookmarkStart w:id="1123" w:name="_Toc1164972183"/>
      <w:bookmarkStart w:id="1124" w:name="_Toc1491052"/>
      <w:bookmarkStart w:id="1125" w:name="_Toc1032359489"/>
      <w:bookmarkStart w:id="1126" w:name="_Toc2064293141"/>
      <w:bookmarkStart w:id="1127" w:name="_Toc147398450"/>
      <w:bookmarkStart w:id="1128" w:name="_Toc1788601102"/>
      <w:bookmarkStart w:id="1129" w:name="_Toc295527284"/>
      <w:bookmarkStart w:id="1130" w:name="_Toc1519913200"/>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中标候选人公示</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14:paraId="1C5DB696">
      <w:pPr>
        <w:spacing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招标人在定标工作完成后3日内，在</w:t>
      </w:r>
      <w:r>
        <w:rPr>
          <w:rFonts w:hint="eastAsia" w:ascii="宋体" w:hAnsi="宋体" w:eastAsia="宋体" w:cs="宋体"/>
          <w:color w:val="auto"/>
          <w:szCs w:val="21"/>
          <w:highlight w:val="none"/>
        </w:rPr>
        <w:t>广东省招标投标监管网</w:t>
      </w:r>
      <w:r>
        <w:rPr>
          <w:rFonts w:hint="eastAsia" w:ascii="宋体" w:hAnsi="宋体" w:eastAsia="宋体" w:cs="Courier New"/>
          <w:color w:val="auto"/>
          <w:szCs w:val="21"/>
          <w:highlight w:val="none"/>
          <w:lang w:val="en-US" w:eastAsia="zh-CN"/>
        </w:rPr>
        <w:t>、</w:t>
      </w:r>
      <w:r>
        <w:rPr>
          <w:rFonts w:hint="eastAsia" w:ascii="宋体" w:hAnsi="宋体" w:eastAsia="宋体" w:cs="宋体"/>
          <w:color w:val="auto"/>
          <w:szCs w:val="21"/>
          <w:highlight w:val="none"/>
        </w:rPr>
        <w:t>广东省公共资源交易平台（中山市）→“中标候选人公示”栏目上公示</w:t>
      </w:r>
      <w:r>
        <w:rPr>
          <w:rFonts w:hint="eastAsia" w:ascii="宋体" w:hAnsi="宋体" w:eastAsia="宋体" w:cs="宋体"/>
          <w:color w:val="auto"/>
          <w:szCs w:val="21"/>
          <w:highlight w:val="none"/>
          <w:lang w:val="en-US" w:eastAsia="zh-CN"/>
        </w:rPr>
        <w:t>中标候选人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公示期不得少于3日，</w:t>
      </w:r>
      <w:r>
        <w:rPr>
          <w:rFonts w:hint="eastAsia" w:ascii="宋体" w:hAnsi="宋体" w:eastAsia="宋体" w:cs="宋体"/>
          <w:color w:val="auto"/>
          <w:szCs w:val="21"/>
          <w:highlight w:val="none"/>
        </w:rPr>
        <w:t>公示应当附</w:t>
      </w:r>
      <w:r>
        <w:rPr>
          <w:rFonts w:hint="eastAsia" w:ascii="宋体" w:hAnsi="宋体" w:eastAsia="宋体" w:cs="宋体"/>
          <w:color w:val="auto"/>
          <w:szCs w:val="21"/>
          <w:highlight w:val="none"/>
          <w:lang w:val="en-US" w:eastAsia="zh-CN"/>
        </w:rPr>
        <w:t>定标</w:t>
      </w:r>
      <w:r>
        <w:rPr>
          <w:rFonts w:hint="eastAsia" w:ascii="宋体" w:hAnsi="宋体" w:eastAsia="宋体" w:cs="宋体"/>
          <w:color w:val="auto"/>
          <w:szCs w:val="21"/>
          <w:highlight w:val="none"/>
        </w:rPr>
        <w:t>报告等材料</w:t>
      </w:r>
      <w:r>
        <w:rPr>
          <w:rFonts w:hint="eastAsia" w:ascii="宋体" w:hAnsi="宋体" w:eastAsia="宋体" w:cs="宋体"/>
          <w:color w:val="auto"/>
          <w:szCs w:val="21"/>
          <w:highlight w:val="none"/>
          <w:lang w:val="en-US" w:eastAsia="zh-CN"/>
        </w:rPr>
        <w:t>。</w:t>
      </w:r>
    </w:p>
    <w:p w14:paraId="3F4F62D5">
      <w:pPr>
        <w:pStyle w:val="3"/>
        <w:bidi w:val="0"/>
        <w:rPr>
          <w:rFonts w:hint="eastAsia" w:ascii="宋体" w:hAnsi="宋体" w:eastAsia="宋体" w:cs="宋体"/>
          <w:color w:val="auto"/>
          <w:highlight w:val="none"/>
          <w:lang w:eastAsia="zh-CN"/>
        </w:rPr>
      </w:pPr>
      <w:bookmarkStart w:id="1131" w:name="_Toc1717977530"/>
      <w:bookmarkStart w:id="1132" w:name="_Toc323953523"/>
      <w:bookmarkStart w:id="1133" w:name="_Toc2017756228"/>
      <w:bookmarkStart w:id="1134" w:name="_Toc1127062765"/>
      <w:bookmarkStart w:id="1135" w:name="_Toc1416312289"/>
      <w:bookmarkStart w:id="1136" w:name="_Toc79107905"/>
      <w:bookmarkStart w:id="1137" w:name="_Toc20148"/>
      <w:bookmarkStart w:id="1138" w:name="_Toc2020387640"/>
      <w:r>
        <w:rPr>
          <w:rFonts w:hint="eastAsia" w:ascii="宋体" w:hAnsi="宋体" w:cs="宋体"/>
          <w:color w:val="auto"/>
          <w:highlight w:val="none"/>
          <w:lang w:val="en-US" w:eastAsia="zh-CN"/>
        </w:rPr>
        <w:t xml:space="preserve">9. </w:t>
      </w:r>
      <w:r>
        <w:rPr>
          <w:rFonts w:hint="eastAsia" w:ascii="宋体" w:hAnsi="宋体" w:cs="宋体"/>
          <w:color w:val="auto"/>
          <w:highlight w:val="none"/>
          <w:lang w:eastAsia="zh-CN"/>
        </w:rPr>
        <w:t>合同授予</w:t>
      </w:r>
      <w:bookmarkEnd w:id="1131"/>
      <w:bookmarkEnd w:id="1132"/>
      <w:bookmarkEnd w:id="1133"/>
      <w:bookmarkEnd w:id="1134"/>
      <w:bookmarkEnd w:id="1135"/>
      <w:bookmarkEnd w:id="1136"/>
      <w:bookmarkEnd w:id="1137"/>
      <w:bookmarkEnd w:id="1138"/>
    </w:p>
    <w:p w14:paraId="426571B5">
      <w:pPr>
        <w:pStyle w:val="4"/>
        <w:bidi w:val="0"/>
        <w:rPr>
          <w:rFonts w:hint="eastAsia" w:ascii="宋体" w:hAnsi="宋体" w:eastAsia="宋体" w:cs="宋体"/>
          <w:color w:val="auto"/>
          <w:highlight w:val="none"/>
        </w:rPr>
      </w:pPr>
      <w:bookmarkStart w:id="1139" w:name="_Toc1478379842"/>
      <w:bookmarkStart w:id="1140" w:name="_Toc122588897"/>
      <w:bookmarkStart w:id="1141" w:name="_Toc244107432"/>
      <w:bookmarkStart w:id="1142" w:name="_Toc1565384722"/>
      <w:bookmarkStart w:id="1143" w:name="_Toc588798066"/>
      <w:bookmarkStart w:id="1144" w:name="_Toc869785701"/>
      <w:bookmarkStart w:id="1145" w:name="_Toc372835861"/>
      <w:bookmarkStart w:id="1146" w:name="_Toc930990248"/>
      <w:bookmarkStart w:id="1147" w:name="_Toc32396840"/>
      <w:bookmarkStart w:id="1148" w:name="_Toc1594930444"/>
      <w:bookmarkStart w:id="1149" w:name="_Toc1493967643"/>
      <w:bookmarkStart w:id="1150" w:name="_Toc1135370428"/>
      <w:bookmarkStart w:id="1151" w:name="_Toc440704046"/>
      <w:bookmarkStart w:id="1152" w:name="_Toc969876627"/>
      <w:bookmarkStart w:id="1153" w:name="_Toc217629039"/>
      <w:bookmarkStart w:id="1154" w:name="_Toc1754728865"/>
      <w:bookmarkStart w:id="1155" w:name="_Toc316262367"/>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中标通知</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14:paraId="37F79CD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9.1.1 招标人在确定中标人后</w:t>
      </w:r>
      <w:r>
        <w:rPr>
          <w:rFonts w:hint="eastAsia" w:ascii="宋体" w:hAnsi="宋体" w:eastAsia="宋体" w:cs="宋体"/>
          <w:color w:val="auto"/>
          <w:szCs w:val="21"/>
          <w:highlight w:val="none"/>
        </w:rPr>
        <w:t>统一在</w:t>
      </w:r>
      <w:r>
        <w:rPr>
          <w:rFonts w:hint="eastAsia" w:ascii="宋体" w:hAnsi="宋体" w:eastAsia="宋体" w:cs="Courier New"/>
          <w:color w:val="auto"/>
          <w:szCs w:val="21"/>
          <w:highlight w:val="none"/>
        </w:rPr>
        <w:t>广东省招标投标监管网</w:t>
      </w:r>
      <w:r>
        <w:rPr>
          <w:rFonts w:hint="eastAsia" w:ascii="宋体" w:hAnsi="宋体" w:eastAsia="宋体" w:cs="Courier New"/>
          <w:color w:val="auto"/>
          <w:szCs w:val="21"/>
          <w:highlight w:val="none"/>
          <w:lang w:val="en-US" w:eastAsia="zh-CN"/>
        </w:rPr>
        <w:t>、</w:t>
      </w:r>
      <w:r>
        <w:rPr>
          <w:rFonts w:hint="eastAsia" w:ascii="宋体" w:hAnsi="宋体" w:eastAsia="宋体" w:cs="宋体"/>
          <w:color w:val="auto"/>
          <w:szCs w:val="21"/>
          <w:highlight w:val="none"/>
          <w:lang w:val="en-US" w:eastAsia="zh-CN"/>
        </w:rPr>
        <w:t>广东省公共资源交易平台（中山市）→“中标结果”栏目公布中标信息</w:t>
      </w:r>
      <w:r>
        <w:rPr>
          <w:rFonts w:hint="eastAsia" w:ascii="宋体" w:hAnsi="宋体" w:eastAsia="宋体" w:cs="宋体"/>
          <w:color w:val="auto"/>
          <w:szCs w:val="21"/>
          <w:highlight w:val="none"/>
        </w:rPr>
        <w:t>，该</w:t>
      </w:r>
      <w:r>
        <w:rPr>
          <w:rFonts w:hint="eastAsia" w:ascii="宋体" w:hAnsi="宋体" w:eastAsia="宋体" w:cs="宋体"/>
          <w:color w:val="auto"/>
          <w:szCs w:val="21"/>
          <w:highlight w:val="none"/>
          <w:lang w:val="en-US" w:eastAsia="zh-CN"/>
        </w:rPr>
        <w:t>公布</w:t>
      </w:r>
      <w:r>
        <w:rPr>
          <w:rFonts w:hint="eastAsia" w:ascii="宋体" w:hAnsi="宋体" w:eastAsia="宋体" w:cs="宋体"/>
          <w:color w:val="auto"/>
          <w:szCs w:val="21"/>
          <w:highlight w:val="none"/>
        </w:rPr>
        <w:t>等同于</w:t>
      </w:r>
      <w:r>
        <w:rPr>
          <w:rFonts w:hint="eastAsia" w:ascii="宋体" w:hAnsi="宋体" w:eastAsia="宋体" w:cs="宋体"/>
          <w:color w:val="auto"/>
          <w:szCs w:val="21"/>
          <w:highlight w:val="none"/>
          <w:lang w:eastAsia="zh-CN"/>
        </w:rPr>
        <w:t>将中标结果</w:t>
      </w:r>
      <w:r>
        <w:rPr>
          <w:rFonts w:hint="eastAsia" w:ascii="宋体" w:hAnsi="宋体" w:eastAsia="宋体" w:cs="宋体"/>
          <w:color w:val="auto"/>
          <w:szCs w:val="21"/>
          <w:highlight w:val="none"/>
        </w:rPr>
        <w:t>告知中标人及未中标人，请投标人及时查看。在本章规定的投标有效期内，招标人以书面形式向中标人发出中标通知书。</w:t>
      </w:r>
    </w:p>
    <w:p w14:paraId="186C0AC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9.1.2 中标通知书采用在线签章的，按公共资源交易平台的要求操作。</w:t>
      </w:r>
    </w:p>
    <w:p w14:paraId="239DADC5">
      <w:pPr>
        <w:spacing w:line="360" w:lineRule="auto"/>
        <w:ind w:firstLine="420" w:firstLineChars="200"/>
        <w:rPr>
          <w:rFonts w:hint="eastAsia" w:hAnsi="宋体" w:cs="Courier New"/>
          <w:color w:val="auto"/>
          <w:highlight w:val="none"/>
          <w:lang w:val="zh-CN"/>
        </w:rPr>
      </w:pPr>
      <w:r>
        <w:rPr>
          <w:rFonts w:hint="eastAsia" w:ascii="宋体" w:hAnsi="宋体" w:eastAsia="宋体" w:cs="宋体"/>
          <w:color w:val="auto"/>
          <w:szCs w:val="21"/>
          <w:highlight w:val="none"/>
          <w:lang w:val="en-US" w:eastAsia="zh-CN"/>
        </w:rPr>
        <w:t>9.1.3 中标人或</w:t>
      </w:r>
      <w:r>
        <w:rPr>
          <w:rFonts w:hint="eastAsia" w:ascii="宋体" w:hAnsi="宋体" w:eastAsia="宋体" w:cs="宋体"/>
          <w:color w:val="auto"/>
          <w:szCs w:val="21"/>
          <w:highlight w:val="none"/>
          <w:lang w:val="en-US"/>
        </w:rPr>
        <w:t>排名第一的中标候选人放弃中标、因不可抗力不能履行合同、不按照招标文件要求提交履约保证金</w:t>
      </w:r>
      <w:r>
        <w:rPr>
          <w:rFonts w:hint="eastAsia" w:hAnsi="宋体" w:cs="Courier New"/>
          <w:color w:val="auto"/>
          <w:highlight w:val="none"/>
          <w:lang w:val="zh-CN"/>
        </w:rPr>
        <w:t>，或者被查实存在影响中标结果的违法行为等情形，不符合中标条件的，招标人可以按照</w:t>
      </w:r>
      <w:r>
        <w:rPr>
          <w:rFonts w:hint="eastAsia" w:hAnsi="宋体" w:cs="Courier New"/>
          <w:color w:val="auto"/>
          <w:highlight w:val="none"/>
          <w:lang w:val="en-US" w:eastAsia="zh-CN"/>
        </w:rPr>
        <w:t>定</w:t>
      </w:r>
      <w:r>
        <w:rPr>
          <w:rFonts w:hint="eastAsia" w:hAnsi="宋体" w:cs="Courier New"/>
          <w:color w:val="auto"/>
          <w:highlight w:val="none"/>
          <w:lang w:val="zh-CN"/>
        </w:rPr>
        <w:t>标委员会提出的中标候选人名单排序依次确定其他中标候选人为中标人，也可以重新招标。</w:t>
      </w:r>
    </w:p>
    <w:p w14:paraId="4693F7DD">
      <w:pPr>
        <w:pStyle w:val="4"/>
        <w:bidi w:val="0"/>
        <w:ind w:firstLine="0" w:firstLineChars="0"/>
        <w:rPr>
          <w:rFonts w:hint="eastAsia" w:ascii="宋体" w:hAnsi="宋体" w:eastAsia="宋体" w:cs="宋体"/>
          <w:color w:val="auto"/>
          <w:highlight w:val="none"/>
        </w:rPr>
      </w:pPr>
      <w:bookmarkStart w:id="1156" w:name="_Toc1037408214"/>
      <w:bookmarkStart w:id="1157" w:name="_Toc230926778"/>
      <w:bookmarkStart w:id="1158" w:name="_Toc2095635168"/>
      <w:bookmarkStart w:id="1159" w:name="_Toc2139755595"/>
      <w:bookmarkStart w:id="1160" w:name="_Toc2131959034"/>
      <w:bookmarkStart w:id="1161" w:name="_Toc997313271"/>
      <w:bookmarkStart w:id="1162" w:name="_Toc338300719"/>
      <w:bookmarkStart w:id="1163" w:name="_Toc445909272"/>
      <w:bookmarkStart w:id="1164" w:name="_Toc1322747923"/>
      <w:bookmarkStart w:id="1165" w:name="_Toc1684778432"/>
      <w:bookmarkStart w:id="1166" w:name="_Toc726867240"/>
      <w:bookmarkStart w:id="1167" w:name="_Toc1602183501"/>
      <w:bookmarkStart w:id="1168" w:name="_Toc729890076"/>
      <w:bookmarkStart w:id="1169" w:name="_Toc499986192"/>
      <w:bookmarkStart w:id="1170" w:name="_Toc715866805"/>
      <w:bookmarkStart w:id="1171" w:name="_Toc611633062"/>
      <w:bookmarkStart w:id="1172" w:name="_Toc1190975859"/>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2 </w:t>
      </w:r>
      <w:r>
        <w:rPr>
          <w:rFonts w:hint="eastAsia" w:ascii="宋体" w:hAnsi="宋体" w:eastAsia="宋体" w:cs="宋体"/>
          <w:color w:val="auto"/>
          <w:highlight w:val="none"/>
        </w:rPr>
        <w:t>履约担保</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14:paraId="4562788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在签订合同前，中标人应按投标人须知前附表规定的金额、担保形式和招标文件规定的履约担保</w:t>
      </w:r>
      <w:r>
        <w:rPr>
          <w:rFonts w:hint="eastAsia" w:ascii="宋体" w:hAnsi="宋体" w:eastAsia="宋体" w:cs="宋体"/>
          <w:color w:val="auto"/>
          <w:szCs w:val="21"/>
          <w:highlight w:val="none"/>
          <w:lang w:eastAsia="zh-CN"/>
        </w:rPr>
        <w:t>提交方式</w:t>
      </w:r>
      <w:r>
        <w:rPr>
          <w:rFonts w:hint="eastAsia" w:ascii="宋体" w:hAnsi="宋体" w:eastAsia="宋体" w:cs="宋体"/>
          <w:color w:val="auto"/>
          <w:szCs w:val="21"/>
          <w:highlight w:val="none"/>
        </w:rPr>
        <w:t>向招标人提交履约担保。</w:t>
      </w:r>
      <w:r>
        <w:rPr>
          <w:rFonts w:hint="eastAsia" w:ascii="宋体" w:hAnsi="宋体" w:eastAsia="宋体" w:cs="宋体"/>
          <w:color w:val="auto"/>
          <w:szCs w:val="21"/>
          <w:highlight w:val="none"/>
          <w:lang w:val="en-US" w:eastAsia="zh-CN"/>
        </w:rPr>
        <w:t>除投标人须知前附表另有规定外，履约保证金为中标合同金额的10%。</w:t>
      </w:r>
    </w:p>
    <w:p w14:paraId="39C104C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.2 中标人不能按本章要求提交履约担保的，视为放弃中标，其投标保证金不予退还，给招标人造成的损失超过投标保证金数额的，中标人还应当对超过部分予以赔偿。</w:t>
      </w:r>
    </w:p>
    <w:p w14:paraId="3121078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9</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2</w:t>
      </w: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招标人要求中标人提供履约保证金或者其他形式履约担保的，招标人应当同时向中标人提供工程款支付担保。</w:t>
      </w:r>
    </w:p>
    <w:p w14:paraId="1D1C46E8">
      <w:pPr>
        <w:pStyle w:val="4"/>
        <w:bidi w:val="0"/>
        <w:rPr>
          <w:rFonts w:hint="eastAsia" w:ascii="宋体" w:hAnsi="宋体" w:eastAsia="宋体" w:cs="宋体"/>
          <w:color w:val="auto"/>
          <w:highlight w:val="none"/>
        </w:rPr>
      </w:pPr>
      <w:bookmarkStart w:id="1173" w:name="_Toc1300428502"/>
      <w:bookmarkStart w:id="1174" w:name="_Toc1100811203"/>
      <w:bookmarkStart w:id="1175" w:name="_Toc462195213"/>
      <w:bookmarkStart w:id="1176" w:name="_Toc1379769553"/>
      <w:bookmarkStart w:id="1177" w:name="_Toc923356306"/>
      <w:bookmarkStart w:id="1178" w:name="_Toc1773899869"/>
      <w:bookmarkStart w:id="1179" w:name="_Toc1748326161"/>
      <w:bookmarkStart w:id="1180" w:name="_Toc1001712337"/>
      <w:bookmarkStart w:id="1181" w:name="_Toc17397968"/>
      <w:bookmarkStart w:id="1182" w:name="_Toc944711604"/>
      <w:bookmarkStart w:id="1183" w:name="_Toc2072367990"/>
      <w:bookmarkStart w:id="1184" w:name="_Toc1248364476"/>
      <w:bookmarkStart w:id="1185" w:name="_Toc1083523473"/>
      <w:bookmarkStart w:id="1186" w:name="_Toc1608904737"/>
      <w:bookmarkStart w:id="1187" w:name="_Toc2069083135"/>
      <w:bookmarkStart w:id="1188" w:name="_Toc1119784562"/>
      <w:bookmarkStart w:id="1189" w:name="_Toc1802166350"/>
      <w:r>
        <w:rPr>
          <w:rFonts w:hint="eastAsia" w:ascii="宋体" w:hAnsi="宋体" w:eastAsia="宋体" w:cs="宋体"/>
          <w:color w:val="auto"/>
          <w:highlight w:val="none"/>
          <w:lang w:val="en-US" w:eastAsia="zh-CN"/>
        </w:rPr>
        <w:t xml:space="preserve">9.3 </w:t>
      </w:r>
      <w:r>
        <w:rPr>
          <w:rFonts w:hint="eastAsia" w:ascii="宋体" w:hAnsi="宋体" w:eastAsia="宋体" w:cs="宋体"/>
          <w:color w:val="auto"/>
          <w:highlight w:val="none"/>
        </w:rPr>
        <w:t>签订合同</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14:paraId="3D4C3842">
      <w:pPr>
        <w:tabs>
          <w:tab w:val="left" w:pos="636"/>
        </w:tabs>
        <w:spacing w:line="360" w:lineRule="auto"/>
        <w:ind w:firstLine="420" w:firstLineChars="200"/>
        <w:rPr>
          <w:rFonts w:hint="eastAsia" w:ascii="宋体" w:hAnsi="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 xml:space="preserve">.1 </w:t>
      </w:r>
      <w:r>
        <w:rPr>
          <w:rFonts w:hint="eastAsia" w:ascii="宋体" w:hAnsi="宋体"/>
          <w:color w:val="auto"/>
          <w:szCs w:val="21"/>
          <w:highlight w:val="none"/>
        </w:rPr>
        <w:t>招标人和中标人应当自中标通知书发出之日起30天内，根据招标文件和中标人的投标文件订立书面合同。中标人无正当理由拒签合同的，招标人取消其中标资格，其投标保证金不予退还；给招标人造成的损失超过投标保证金数额的，中标人还应当对超过部分予以赔偿。</w:t>
      </w:r>
    </w:p>
    <w:p w14:paraId="7CCB64EC">
      <w:pPr>
        <w:tabs>
          <w:tab w:val="left" w:pos="636"/>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.2 发出中标通知书后，招标人无正当理由拒签合同的，招标人向中标人退还投标保证金；给中标人造成损失的，还应当赔偿损失。</w:t>
      </w:r>
    </w:p>
    <w:p w14:paraId="77992E9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9.3.3 联合体中标的，联合体各方应当共同与招标人签订合同，就中标项目向招标人承担连带责任。</w:t>
      </w:r>
    </w:p>
    <w:p w14:paraId="32B9615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Times New Roman"/>
          <w:color w:val="auto"/>
          <w:szCs w:val="21"/>
          <w:highlight w:val="none"/>
          <w:lang w:val="en-US" w:eastAsia="zh-CN"/>
        </w:rPr>
        <w:t>9</w:t>
      </w:r>
      <w:r>
        <w:rPr>
          <w:rFonts w:hint="default" w:ascii="宋体" w:hAnsi="宋体" w:eastAsia="宋体" w:cs="Times New Roman"/>
          <w:color w:val="auto"/>
          <w:szCs w:val="21"/>
          <w:highlight w:val="none"/>
          <w:lang w:val="en-US" w:eastAsia="zh-CN"/>
        </w:rPr>
        <w:t>.</w:t>
      </w:r>
      <w:r>
        <w:rPr>
          <w:rFonts w:hint="eastAsia" w:ascii="宋体" w:hAnsi="宋体" w:eastAsia="宋体" w:cs="Times New Roman"/>
          <w:color w:val="auto"/>
          <w:szCs w:val="21"/>
          <w:highlight w:val="none"/>
          <w:lang w:val="en-US" w:eastAsia="zh-CN"/>
        </w:rPr>
        <w:t>3.4</w:t>
      </w:r>
      <w:r>
        <w:rPr>
          <w:rFonts w:hint="default" w:ascii="宋体" w:hAnsi="宋体" w:eastAsia="宋体" w:cs="Times New Roman"/>
          <w:color w:val="auto"/>
          <w:szCs w:val="21"/>
          <w:highlight w:val="none"/>
          <w:lang w:val="en-US" w:eastAsia="zh-CN"/>
        </w:rPr>
        <w:t xml:space="preserve"> </w:t>
      </w:r>
      <w:r>
        <w:rPr>
          <w:rFonts w:hint="default" w:ascii="宋体" w:hAnsi="宋体" w:eastAsia="宋体" w:cs="Times New Roman"/>
          <w:b w:val="0"/>
          <w:bCs w:val="0"/>
          <w:color w:val="auto"/>
          <w:szCs w:val="21"/>
          <w:highlight w:val="none"/>
        </w:rPr>
        <w:t>合同签订采用在线签章的，按公共资源交易平台的要求操作。</w:t>
      </w:r>
    </w:p>
    <w:p w14:paraId="2A34EFCC">
      <w:pPr>
        <w:pageBreakBefore w:val="0"/>
        <w:kinsoku/>
        <w:wordWrap/>
        <w:overflowPunct/>
        <w:topLinePunct w:val="0"/>
        <w:bidi w:val="0"/>
        <w:spacing w:line="360" w:lineRule="auto"/>
        <w:textAlignment w:val="auto"/>
        <w:rPr>
          <w:rFonts w:hint="eastAsia" w:eastAsia="宋体"/>
          <w:b/>
          <w:bCs/>
          <w:color w:val="auto"/>
          <w:highlight w:val="none"/>
          <w:lang w:eastAsia="zh-CN"/>
        </w:rPr>
      </w:pPr>
      <w:r>
        <w:rPr>
          <w:rFonts w:hint="eastAsia" w:ascii="宋体" w:hAnsi="宋体" w:eastAsia="宋体" w:cs="宋体"/>
          <w:b/>
          <w:bCs/>
          <w:color w:val="auto"/>
          <w:kern w:val="0"/>
          <w:szCs w:val="21"/>
          <w:highlight w:val="none"/>
          <w:lang w:val="en-US" w:eastAsia="zh-CN"/>
        </w:rPr>
        <w:t>9</w:t>
      </w:r>
      <w:r>
        <w:rPr>
          <w:rFonts w:hint="eastAsia" w:ascii="宋体" w:hAnsi="宋体" w:eastAsia="宋体" w:cs="宋体"/>
          <w:b/>
          <w:bCs/>
          <w:color w:val="auto"/>
          <w:kern w:val="0"/>
          <w:szCs w:val="21"/>
          <w:highlight w:val="none"/>
        </w:rPr>
        <w:t>.</w:t>
      </w:r>
      <w:r>
        <w:rPr>
          <w:rFonts w:hint="eastAsia" w:ascii="宋体" w:hAnsi="宋体" w:eastAsia="宋体" w:cs="宋体"/>
          <w:b/>
          <w:bCs/>
          <w:color w:val="auto"/>
          <w:kern w:val="0"/>
          <w:szCs w:val="21"/>
          <w:highlight w:val="none"/>
          <w:lang w:val="en-US" w:eastAsia="zh-CN"/>
        </w:rPr>
        <w:t>4</w:t>
      </w:r>
      <w:r>
        <w:rPr>
          <w:rFonts w:hint="eastAsia" w:ascii="宋体" w:hAnsi="宋体" w:eastAsia="宋体" w:cs="宋体"/>
          <w:b/>
          <w:bCs/>
          <w:color w:val="auto"/>
          <w:kern w:val="0"/>
          <w:szCs w:val="21"/>
          <w:highlight w:val="none"/>
        </w:rPr>
        <w:t xml:space="preserve"> </w:t>
      </w:r>
      <w:r>
        <w:rPr>
          <w:rFonts w:hint="eastAsia" w:eastAsia="宋体"/>
          <w:b/>
          <w:bCs/>
          <w:color w:val="auto"/>
          <w:highlight w:val="none"/>
          <w:lang w:eastAsia="zh-CN"/>
        </w:rPr>
        <w:t>工程款支付</w:t>
      </w:r>
    </w:p>
    <w:p w14:paraId="458264F5">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 xml:space="preserve">9.4.1 </w:t>
      </w:r>
      <w:r>
        <w:rPr>
          <w:rFonts w:hint="eastAsia" w:ascii="宋体" w:hAnsi="宋体"/>
          <w:color w:val="auto"/>
          <w:szCs w:val="21"/>
          <w:highlight w:val="none"/>
        </w:rPr>
        <w:t>工程预付款的额度和预付办法、扣回与还清：见投标人须知前附表。</w:t>
      </w:r>
    </w:p>
    <w:p w14:paraId="47EF0C12">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9.4.2 支付方式见投标人须知前附表。</w:t>
      </w:r>
    </w:p>
    <w:p w14:paraId="3FFFBC28">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9.4.3 结算方式见投标人须知前附表。</w:t>
      </w:r>
    </w:p>
    <w:p w14:paraId="523A1890">
      <w:pPr>
        <w:pStyle w:val="3"/>
        <w:bidi w:val="0"/>
        <w:rPr>
          <w:rFonts w:hint="eastAsia" w:ascii="宋体" w:hAnsi="宋体" w:eastAsia="宋体" w:cs="宋体"/>
          <w:color w:val="auto"/>
          <w:highlight w:val="none"/>
          <w:lang w:eastAsia="zh-CN"/>
        </w:rPr>
      </w:pPr>
      <w:bookmarkStart w:id="1190" w:name="_Toc592180086"/>
      <w:bookmarkStart w:id="1191" w:name="_Toc1590049909"/>
      <w:bookmarkStart w:id="1192" w:name="_Toc7879"/>
      <w:bookmarkStart w:id="1193" w:name="_Toc2070984377"/>
      <w:bookmarkStart w:id="1194" w:name="_Toc702903766"/>
      <w:bookmarkStart w:id="1195" w:name="_Toc1995287322"/>
      <w:bookmarkStart w:id="1196" w:name="_Toc9028309"/>
      <w:bookmarkStart w:id="1197" w:name="_Toc1319702297"/>
      <w:bookmarkStart w:id="1198" w:name="_Toc1622217346"/>
      <w:bookmarkStart w:id="1199" w:name="_Toc1785062819"/>
      <w:bookmarkStart w:id="1200" w:name="_Toc285744466"/>
      <w:bookmarkStart w:id="1201" w:name="_Toc1807947680"/>
      <w:bookmarkStart w:id="1202" w:name="_Toc1929709087"/>
      <w:bookmarkStart w:id="1203" w:name="_Toc416754947"/>
      <w:bookmarkStart w:id="1204" w:name="_Toc1108377472"/>
      <w:bookmarkStart w:id="1205" w:name="_Toc1623478050"/>
      <w:bookmarkStart w:id="1206" w:name="_Toc700914340"/>
      <w:bookmarkStart w:id="1207" w:name="_Toc674697427"/>
      <w:bookmarkStart w:id="1208" w:name="_Toc227891697"/>
      <w:bookmarkStart w:id="1209" w:name="_Toc1525742684"/>
      <w:bookmarkStart w:id="1210" w:name="_Toc1518963151"/>
      <w:bookmarkStart w:id="1211" w:name="_Toc1313642201"/>
      <w:bookmarkStart w:id="1212" w:name="_Toc1524654672"/>
      <w:bookmarkStart w:id="1213" w:name="_Toc291088598"/>
      <w:bookmarkStart w:id="1214" w:name="_Toc9203178"/>
      <w:r>
        <w:rPr>
          <w:rFonts w:hint="eastAsia" w:ascii="宋体" w:hAnsi="宋体" w:cs="宋体"/>
          <w:color w:val="auto"/>
          <w:highlight w:val="none"/>
          <w:lang w:val="en-US" w:eastAsia="zh-CN"/>
        </w:rPr>
        <w:t xml:space="preserve">10. </w:t>
      </w:r>
      <w:r>
        <w:rPr>
          <w:rFonts w:hint="eastAsia" w:ascii="宋体" w:hAnsi="宋体" w:cs="宋体"/>
          <w:color w:val="auto"/>
          <w:highlight w:val="none"/>
          <w:lang w:eastAsia="zh-CN"/>
        </w:rPr>
        <w:t>重新招标和不再招标</w:t>
      </w:r>
      <w:bookmarkEnd w:id="1190"/>
      <w:bookmarkEnd w:id="1191"/>
      <w:bookmarkEnd w:id="1192"/>
      <w:bookmarkEnd w:id="1193"/>
      <w:bookmarkEnd w:id="1194"/>
      <w:bookmarkEnd w:id="1195"/>
      <w:bookmarkEnd w:id="1196"/>
      <w:bookmarkEnd w:id="1197"/>
    </w:p>
    <w:p w14:paraId="059346E3">
      <w:pPr>
        <w:pStyle w:val="4"/>
        <w:bidi w:val="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rPr>
        <w:t>.1 重新招标</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14:paraId="177A6DC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有下列情形之一的，招标人将重新招标：</w:t>
      </w:r>
    </w:p>
    <w:p w14:paraId="48DD65FE">
      <w:pPr>
        <w:numPr>
          <w:ilvl w:val="0"/>
          <w:numId w:val="0"/>
        </w:numPr>
        <w:spacing w:line="360" w:lineRule="auto"/>
        <w:ind w:left="420" w:firstLine="0" w:firstLineChars="0"/>
        <w:rPr>
          <w:rFonts w:hint="eastAsia"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）投标保证金截止时间止，提交投标保证金的投标人少于3个的；</w:t>
      </w:r>
    </w:p>
    <w:p w14:paraId="630229E6">
      <w:pPr>
        <w:numPr>
          <w:ilvl w:val="0"/>
          <w:numId w:val="0"/>
        </w:numPr>
        <w:spacing w:line="360" w:lineRule="auto"/>
        <w:ind w:left="420" w:firstLine="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投标截止时间止，投标人少于3个的</w:t>
      </w:r>
      <w:r>
        <w:rPr>
          <w:rFonts w:hint="eastAsia" w:ascii="宋体" w:hAnsi="宋体" w:cs="宋体"/>
          <w:color w:val="auto"/>
          <w:szCs w:val="21"/>
          <w:highlight w:val="none"/>
          <w:lang w:val="en-US" w:eastAsia="zh-CN"/>
        </w:rPr>
        <w:t>；</w:t>
      </w:r>
    </w:p>
    <w:p w14:paraId="1D26ADF5">
      <w:pPr>
        <w:numPr>
          <w:ilvl w:val="0"/>
          <w:numId w:val="0"/>
        </w:numPr>
        <w:spacing w:line="360" w:lineRule="auto"/>
        <w:ind w:left="420" w:firstLine="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）因有效的投标少于</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eastAsia="zh-CN"/>
        </w:rPr>
        <w:t>个使得投标明显缺乏竞争的</w:t>
      </w:r>
      <w:r>
        <w:rPr>
          <w:rFonts w:hint="eastAsia" w:ascii="宋体" w:hAnsi="宋体" w:cs="宋体"/>
          <w:color w:val="auto"/>
          <w:szCs w:val="21"/>
          <w:highlight w:val="none"/>
          <w:lang w:eastAsia="zh-CN"/>
        </w:rPr>
        <w:t>；</w:t>
      </w:r>
    </w:p>
    <w:p w14:paraId="19962600">
      <w:pPr>
        <w:numPr>
          <w:ilvl w:val="0"/>
          <w:numId w:val="0"/>
        </w:numPr>
        <w:spacing w:line="360" w:lineRule="auto"/>
        <w:ind w:left="420" w:firstLine="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经评标委员会评审后否决所有投标的</w:t>
      </w:r>
      <w:r>
        <w:rPr>
          <w:rFonts w:hint="eastAsia" w:ascii="宋体" w:hAnsi="宋体" w:cs="宋体"/>
          <w:color w:val="auto"/>
          <w:szCs w:val="21"/>
          <w:highlight w:val="none"/>
          <w:lang w:eastAsia="zh-CN"/>
        </w:rPr>
        <w:t>；</w:t>
      </w:r>
    </w:p>
    <w:p w14:paraId="61EE06E7">
      <w:pPr>
        <w:numPr>
          <w:ilvl w:val="0"/>
          <w:numId w:val="0"/>
        </w:numPr>
        <w:spacing w:line="360" w:lineRule="auto"/>
        <w:ind w:left="420" w:firstLine="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法律法规规定的重新招标的其他情形。</w:t>
      </w:r>
    </w:p>
    <w:p w14:paraId="5D3112E1">
      <w:pPr>
        <w:pStyle w:val="4"/>
        <w:bidi w:val="0"/>
        <w:rPr>
          <w:rFonts w:hint="eastAsia" w:ascii="宋体" w:hAnsi="宋体" w:eastAsia="宋体" w:cs="宋体"/>
          <w:color w:val="auto"/>
          <w:highlight w:val="none"/>
        </w:rPr>
      </w:pPr>
      <w:bookmarkStart w:id="1215" w:name="_Toc922996945"/>
      <w:bookmarkStart w:id="1216" w:name="_Toc93920778"/>
      <w:bookmarkStart w:id="1217" w:name="_Toc1592942349"/>
      <w:bookmarkStart w:id="1218" w:name="_Toc63337341"/>
      <w:bookmarkStart w:id="1219" w:name="_Toc26685224"/>
      <w:bookmarkStart w:id="1220" w:name="_Toc1082282250"/>
      <w:bookmarkStart w:id="1221" w:name="_Toc2081645809"/>
      <w:bookmarkStart w:id="1222" w:name="_Toc2056453041"/>
      <w:bookmarkStart w:id="1223" w:name="_Toc595432421"/>
      <w:bookmarkStart w:id="1224" w:name="_Toc1408513147"/>
      <w:bookmarkStart w:id="1225" w:name="_Toc1525650952"/>
      <w:bookmarkStart w:id="1226" w:name="_Toc1983781194"/>
      <w:bookmarkStart w:id="1227" w:name="_Toc2141359883"/>
      <w:bookmarkStart w:id="1228" w:name="_Toc284244646"/>
      <w:bookmarkStart w:id="1229" w:name="_Toc1960051412"/>
      <w:bookmarkStart w:id="1230" w:name="_Toc1200467887"/>
      <w:bookmarkStart w:id="1231" w:name="_Toc194410280"/>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调整招标方式或不再招标</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14:paraId="783FE87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连续两次及以上招标失败的项目，项目审批、核准部门不再核准变更招标方式。招标项目必须严格按照项目审批、核准部门作出的招标核准意见进行分项整体招标，严禁肢解分项招标。确需拆分分项进行招标的，招标人为市属职能部门或</w:t>
      </w:r>
      <w:r>
        <w:rPr>
          <w:rFonts w:hint="eastAsia" w:ascii="宋体" w:hAnsi="宋体" w:cs="宋体"/>
          <w:color w:val="auto"/>
          <w:szCs w:val="21"/>
          <w:highlight w:val="none"/>
          <w:lang w:eastAsia="zh-CN"/>
        </w:rPr>
        <w:t>镇街</w:t>
      </w:r>
      <w:r>
        <w:rPr>
          <w:rFonts w:hint="eastAsia" w:ascii="宋体" w:hAnsi="宋体" w:eastAsia="宋体" w:cs="宋体"/>
          <w:color w:val="auto"/>
          <w:szCs w:val="21"/>
          <w:highlight w:val="none"/>
        </w:rPr>
        <w:t>政府的，应经本单位主要负责人签名、加盖单位公章备案，并向有关行政监督部门提交书面说明；招标人为其他单位的，应经上级行政主管部门主要负责人签名、加盖单位公章备案，并向有关行政监督部门提交有法定代表人签字并加盖公章的书面说明。招标人应合理划分标段，并在书面说明中明确各标段的建设内容及规模。</w:t>
      </w:r>
    </w:p>
    <w:p w14:paraId="3B76A742">
      <w:pPr>
        <w:pStyle w:val="3"/>
        <w:bidi w:val="0"/>
        <w:rPr>
          <w:rFonts w:hint="eastAsia" w:ascii="宋体" w:hAnsi="宋体" w:eastAsia="宋体" w:cs="宋体"/>
          <w:color w:val="auto"/>
          <w:highlight w:val="none"/>
          <w:lang w:val="en-US" w:eastAsia="zh-CN"/>
        </w:rPr>
      </w:pPr>
      <w:bookmarkStart w:id="1232" w:name="_Toc207262460"/>
      <w:bookmarkStart w:id="1233" w:name="_Toc2130264789"/>
      <w:bookmarkStart w:id="1234" w:name="_Toc913948691"/>
      <w:bookmarkStart w:id="1235" w:name="_Toc1316893301"/>
      <w:bookmarkStart w:id="1236" w:name="_Toc30410"/>
      <w:bookmarkStart w:id="1237" w:name="_Toc917103406"/>
      <w:bookmarkStart w:id="1238" w:name="_Toc8471"/>
      <w:bookmarkStart w:id="1239" w:name="_Toc97754557"/>
      <w:bookmarkStart w:id="1240" w:name="_Toc442697701"/>
      <w:bookmarkStart w:id="1241" w:name="_Toc1520463395"/>
      <w:bookmarkStart w:id="1242" w:name="_Toc2591741"/>
      <w:bookmarkStart w:id="1243" w:name="_Toc154355329"/>
      <w:bookmarkStart w:id="1244" w:name="_Toc2666"/>
      <w:bookmarkStart w:id="1245" w:name="_Toc850494637"/>
      <w:bookmarkStart w:id="1246" w:name="_Toc125505033"/>
      <w:bookmarkStart w:id="1247" w:name="_Toc2943"/>
      <w:bookmarkStart w:id="1248" w:name="_Toc1336977768"/>
      <w:bookmarkStart w:id="1249" w:name="_Toc703048313"/>
      <w:bookmarkStart w:id="1250" w:name="_Toc1284603509"/>
      <w:bookmarkStart w:id="1251" w:name="_Toc317158866"/>
      <w:bookmarkStart w:id="1252" w:name="_Toc2196"/>
      <w:bookmarkStart w:id="1253" w:name="_Toc1967919719"/>
      <w:bookmarkStart w:id="1254" w:name="_Toc681296385"/>
      <w:bookmarkStart w:id="1255" w:name="_Toc1959065257"/>
      <w:bookmarkStart w:id="1256" w:name="_Toc651542091"/>
      <w:bookmarkStart w:id="1257" w:name="_Toc909474784"/>
      <w:bookmarkStart w:id="1258" w:name="_Toc723256803"/>
      <w:bookmarkStart w:id="1259" w:name="_Toc2081466276"/>
      <w:bookmarkStart w:id="1260" w:name="_Toc1568323519"/>
      <w:bookmarkStart w:id="1261" w:name="_Toc1891461306"/>
      <w:bookmarkStart w:id="1262" w:name="_Toc2004791013"/>
      <w:bookmarkStart w:id="1263" w:name="_Toc681"/>
      <w:bookmarkStart w:id="1264" w:name="_Toc1934304534"/>
      <w:bookmarkStart w:id="1265" w:name="_Toc665035172"/>
      <w:bookmarkStart w:id="1266" w:name="_Toc208034362"/>
      <w:bookmarkStart w:id="1267" w:name="_Toc1109743829"/>
      <w:bookmarkStart w:id="1268" w:name="_Toc18849"/>
      <w:bookmarkStart w:id="1269" w:name="_Toc265115506"/>
      <w:bookmarkStart w:id="1270" w:name="_Toc996721079"/>
      <w:bookmarkStart w:id="1271" w:name="_Toc1213723747"/>
      <w:bookmarkStart w:id="1272" w:name="_Toc706555745"/>
      <w:bookmarkStart w:id="1273" w:name="_Toc1449855173"/>
      <w:r>
        <w:rPr>
          <w:rFonts w:hint="eastAsia" w:ascii="宋体" w:hAnsi="宋体" w:cs="宋体"/>
          <w:color w:val="auto"/>
          <w:highlight w:val="none"/>
          <w:lang w:val="en-US" w:eastAsia="zh-CN"/>
        </w:rPr>
        <w:t xml:space="preserve">11. </w:t>
      </w:r>
      <w:r>
        <w:rPr>
          <w:rFonts w:hint="eastAsia" w:ascii="宋体" w:hAnsi="宋体" w:eastAsia="宋体" w:cs="宋体"/>
          <w:color w:val="auto"/>
          <w:highlight w:val="none"/>
          <w:lang w:val="en-US" w:eastAsia="zh-CN"/>
        </w:rPr>
        <w:t>纪律和监督</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14:paraId="5B9F73CA">
      <w:pPr>
        <w:pStyle w:val="4"/>
        <w:bidi w:val="0"/>
        <w:rPr>
          <w:rFonts w:hint="eastAsia" w:ascii="宋体" w:hAnsi="宋体" w:eastAsia="宋体" w:cs="宋体"/>
          <w:color w:val="auto"/>
          <w:highlight w:val="none"/>
        </w:rPr>
      </w:pPr>
      <w:bookmarkStart w:id="1274" w:name="_Toc65917456"/>
      <w:bookmarkStart w:id="1275" w:name="_Toc1440120830"/>
      <w:bookmarkStart w:id="1276" w:name="_Toc1660714410"/>
      <w:bookmarkStart w:id="1277" w:name="_Toc1858408271"/>
      <w:bookmarkStart w:id="1278" w:name="_Toc1883611609"/>
      <w:bookmarkStart w:id="1279" w:name="_Toc24822566"/>
      <w:bookmarkStart w:id="1280" w:name="_Toc569280646"/>
      <w:bookmarkStart w:id="1281" w:name="_Toc697126634"/>
      <w:bookmarkStart w:id="1282" w:name="_Toc1962205159"/>
      <w:bookmarkStart w:id="1283" w:name="_Toc161546246"/>
      <w:bookmarkStart w:id="1284" w:name="_Toc1156410480"/>
      <w:bookmarkStart w:id="1285" w:name="_Toc1478358208"/>
      <w:bookmarkStart w:id="1286" w:name="_Toc996716975"/>
      <w:bookmarkStart w:id="1287" w:name="_Toc1358324688"/>
      <w:bookmarkStart w:id="1288" w:name="_Toc48863607"/>
      <w:bookmarkStart w:id="1289" w:name="_Toc2911473"/>
      <w:bookmarkStart w:id="1290" w:name="_Toc1379335586"/>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.1 对招标人的纪律要求</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14:paraId="443F1EB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11.1.1 </w:t>
      </w:r>
      <w:r>
        <w:rPr>
          <w:rFonts w:hint="eastAsia" w:ascii="宋体" w:hAnsi="宋体" w:eastAsia="宋体" w:cs="宋体"/>
          <w:color w:val="auto"/>
          <w:szCs w:val="21"/>
          <w:highlight w:val="none"/>
        </w:rPr>
        <w:t>招标人不得</w:t>
      </w:r>
      <w:r>
        <w:rPr>
          <w:rFonts w:hint="eastAsia" w:ascii="宋体" w:hAnsi="宋体" w:eastAsia="宋体" w:cs="宋体"/>
          <w:color w:val="auto"/>
          <w:szCs w:val="21"/>
          <w:highlight w:val="none"/>
          <w:lang w:eastAsia="zh-CN"/>
        </w:rPr>
        <w:t>泄露</w:t>
      </w:r>
      <w:r>
        <w:rPr>
          <w:rFonts w:hint="eastAsia" w:ascii="宋体" w:hAnsi="宋体" w:eastAsia="宋体" w:cs="宋体"/>
          <w:color w:val="auto"/>
          <w:szCs w:val="21"/>
          <w:highlight w:val="none"/>
        </w:rPr>
        <w:t>招标投标活动中应当保密的情况和资料，不得与投标人串通损害国家利益、社会公共利益或者他人合法权益。</w:t>
      </w:r>
    </w:p>
    <w:p w14:paraId="56999768">
      <w:pPr>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szCs w:val="21"/>
          <w:highlight w:val="none"/>
          <w:lang w:val="en-US" w:eastAsia="zh-CN"/>
        </w:rPr>
        <w:t xml:space="preserve">11.1.2 </w:t>
      </w:r>
      <w:r>
        <w:rPr>
          <w:rFonts w:hint="eastAsia" w:ascii="宋体" w:hAnsi="宋体" w:eastAsia="宋体" w:cs="宋体"/>
          <w:color w:val="auto"/>
          <w:highlight w:val="none"/>
          <w:lang w:val="en-US" w:eastAsia="zh-CN"/>
        </w:rPr>
        <w:t>招标人应组建3人以上的监督小组，对招标、评标、定标全过程进行监督。</w:t>
      </w:r>
    </w:p>
    <w:p w14:paraId="3B3DD9EB">
      <w:pPr>
        <w:spacing w:line="360" w:lineRule="auto"/>
        <w:ind w:firstLine="420" w:firstLineChars="200"/>
        <w:rPr>
          <w:rFonts w:hint="eastAsia" w:ascii="宋体" w:hAnsi="宋体" w:eastAsia="宋体" w:cs="宋体"/>
          <w:b/>
          <w:bCs/>
          <w:color w:val="auto"/>
          <w:szCs w:val="28"/>
          <w:highlight w:val="none"/>
        </w:rPr>
      </w:pPr>
      <w:r>
        <w:rPr>
          <w:rFonts w:hint="eastAsia" w:ascii="宋体" w:hAnsi="宋体" w:eastAsia="宋体" w:cs="宋体"/>
          <w:color w:val="auto"/>
          <w:szCs w:val="21"/>
          <w:highlight w:val="none"/>
          <w:lang w:val="en-US" w:eastAsia="zh-CN"/>
        </w:rPr>
        <w:t>招标人监督小组应及时指出、制止违反程序及纪律的行为，但不得就资格审查、入围筛选或者评标、定标涉及的实质内容发表意见或者参与评标委员会、定标委员会的讨论。特殊情况导致开标、评标或者定标无法继续进行的、相关人员存在违反程序及纪律的行为被指出后仍拒绝纠正的、发现招标投标活动存在其他违反相关规定行为的，招标监督小组应当及时报告行政监督部门。招标监督小组负责编制本招标项目的监督小组工作情况记录表，并于招标投标情况书面报告书备案时同步向行政监督部门提交。</w:t>
      </w:r>
    </w:p>
    <w:p w14:paraId="7E28C4AF">
      <w:pPr>
        <w:pStyle w:val="4"/>
        <w:bidi w:val="0"/>
        <w:rPr>
          <w:rFonts w:hint="eastAsia" w:ascii="宋体" w:hAnsi="宋体" w:eastAsia="宋体" w:cs="宋体"/>
          <w:color w:val="auto"/>
          <w:highlight w:val="none"/>
        </w:rPr>
      </w:pPr>
      <w:bookmarkStart w:id="1291" w:name="_Toc2123391096"/>
      <w:bookmarkStart w:id="1292" w:name="_Toc1296662791"/>
      <w:bookmarkStart w:id="1293" w:name="_Toc1135950043"/>
      <w:bookmarkStart w:id="1294" w:name="_Toc2076910567"/>
      <w:bookmarkStart w:id="1295" w:name="_Toc168805688"/>
      <w:bookmarkStart w:id="1296" w:name="_Toc862846448"/>
      <w:bookmarkStart w:id="1297" w:name="_Toc330218621"/>
      <w:bookmarkStart w:id="1298" w:name="_Toc312301878"/>
      <w:bookmarkStart w:id="1299" w:name="_Toc156205913"/>
      <w:bookmarkStart w:id="1300" w:name="_Toc1448894402"/>
      <w:bookmarkStart w:id="1301" w:name="_Toc1515472975"/>
      <w:bookmarkStart w:id="1302" w:name="_Toc995420387"/>
      <w:bookmarkStart w:id="1303" w:name="_Toc2042793152"/>
      <w:bookmarkStart w:id="1304" w:name="_Toc482136611"/>
      <w:bookmarkStart w:id="1305" w:name="_Toc624049115"/>
      <w:bookmarkStart w:id="1306" w:name="_Toc217289337"/>
      <w:bookmarkStart w:id="1307" w:name="_Toc235645650"/>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.2 对投标人的纪律要求</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14:paraId="20C6124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1A621CCE">
      <w:pPr>
        <w:pStyle w:val="4"/>
        <w:bidi w:val="0"/>
        <w:rPr>
          <w:rFonts w:hint="eastAsia" w:ascii="宋体" w:hAnsi="宋体" w:eastAsia="宋体" w:cs="宋体"/>
          <w:color w:val="auto"/>
          <w:highlight w:val="none"/>
        </w:rPr>
      </w:pPr>
      <w:bookmarkStart w:id="1308" w:name="_Toc189606207"/>
      <w:bookmarkStart w:id="1309" w:name="_Toc63719427"/>
      <w:bookmarkStart w:id="1310" w:name="_Toc248027819"/>
      <w:bookmarkStart w:id="1311" w:name="_Toc371655441"/>
      <w:bookmarkStart w:id="1312" w:name="_Toc1162413864"/>
      <w:bookmarkStart w:id="1313" w:name="_Toc151702541"/>
      <w:bookmarkStart w:id="1314" w:name="_Toc98186291"/>
      <w:bookmarkStart w:id="1315" w:name="_Toc1683007995"/>
      <w:bookmarkStart w:id="1316" w:name="_Toc1336736812"/>
      <w:bookmarkStart w:id="1317" w:name="_Toc840806435"/>
      <w:bookmarkStart w:id="1318" w:name="_Toc1149364872"/>
      <w:bookmarkStart w:id="1319" w:name="_Toc458937826"/>
      <w:bookmarkStart w:id="1320" w:name="_Toc1365176467"/>
      <w:bookmarkStart w:id="1321" w:name="_Toc452291437"/>
      <w:bookmarkStart w:id="1322" w:name="_Toc1447928482"/>
      <w:bookmarkStart w:id="1323" w:name="_Toc2091572580"/>
      <w:bookmarkStart w:id="1324" w:name="_Toc338204163"/>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.3 对评标委员会成员的纪律要求</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14:paraId="12D15A7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专家与投标人有利害关系的，应当主动提出回避；不得对其他评标委员会成员的独立评审施加不当影响；不得私下接触投标人，不得收受投标人、中介人、其他利害关系人的财物或者其他好处，不得接受任何单位或者个人明示或者暗示提出的倾向或者排斥特定投标人的要求；不得透露评标委员会成员身份和评标项目；不得透露对投标文件的评审和比较、中标候选人的推荐情况、在评标过程中知悉的国家秘密和商业秘密以及与评标有关的其他情况；不得故意拖延评标时间，或者敷衍塞责随意评标；不得在合法的评标劳务费之外额外索取、接受报酬或者其他好处；严禁组建或者加入可能影响公正评标的微信群、QQ群等网络通讯群组。在评标活动中，评标委员会成员不得擅离职守，影响评标程序正常进行，不得使用第三章没有规定的评审因素和</w:t>
      </w:r>
      <w:r>
        <w:rPr>
          <w:rFonts w:hint="eastAsia" w:ascii="宋体" w:hAnsi="宋体" w:eastAsia="宋体" w:cs="宋体"/>
          <w:color w:val="auto"/>
          <w:szCs w:val="21"/>
          <w:highlight w:val="none"/>
          <w:lang w:eastAsia="zh-CN"/>
        </w:rPr>
        <w:t>评审</w:t>
      </w:r>
      <w:r>
        <w:rPr>
          <w:rFonts w:hint="eastAsia" w:ascii="宋体" w:hAnsi="宋体" w:eastAsia="宋体" w:cs="宋体"/>
          <w:color w:val="auto"/>
          <w:szCs w:val="21"/>
          <w:highlight w:val="none"/>
        </w:rPr>
        <w:t>标准进行评标。</w:t>
      </w:r>
    </w:p>
    <w:p w14:paraId="7DD60DF7">
      <w:pPr>
        <w:pStyle w:val="4"/>
        <w:bidi w:val="0"/>
        <w:rPr>
          <w:rFonts w:hint="eastAsia" w:ascii="宋体" w:hAnsi="宋体" w:eastAsia="宋体" w:cs="宋体"/>
          <w:color w:val="auto"/>
          <w:highlight w:val="none"/>
        </w:rPr>
      </w:pPr>
      <w:bookmarkStart w:id="1325" w:name="_Toc995356585"/>
      <w:bookmarkStart w:id="1326" w:name="_Toc1440873431"/>
      <w:bookmarkStart w:id="1327" w:name="_Toc1424070177"/>
      <w:bookmarkStart w:id="1328" w:name="_Toc630721337"/>
      <w:bookmarkStart w:id="1329" w:name="_Toc113622001"/>
      <w:bookmarkStart w:id="1330" w:name="_Toc1376593180"/>
      <w:bookmarkStart w:id="1331" w:name="_Toc2027366268"/>
      <w:bookmarkStart w:id="1332" w:name="_Toc529142205"/>
      <w:bookmarkStart w:id="1333" w:name="_Toc397836135"/>
      <w:bookmarkStart w:id="1334" w:name="_Toc659977083"/>
      <w:bookmarkStart w:id="1335" w:name="_Toc252658335"/>
      <w:bookmarkStart w:id="1336" w:name="_Toc640418028"/>
      <w:bookmarkStart w:id="1337" w:name="_Toc1566222477"/>
      <w:bookmarkStart w:id="1338" w:name="_Toc1620271515"/>
      <w:bookmarkStart w:id="1339" w:name="_Toc771304410"/>
      <w:bookmarkStart w:id="1340" w:name="_Toc350883997"/>
      <w:bookmarkStart w:id="1341" w:name="_Toc1996672485"/>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.4 对</w:t>
      </w:r>
      <w:r>
        <w:rPr>
          <w:rFonts w:hint="eastAsia" w:ascii="宋体" w:hAnsi="宋体" w:eastAsia="宋体" w:cs="宋体"/>
          <w:color w:val="auto"/>
          <w:highlight w:val="none"/>
          <w:lang w:val="en-US" w:eastAsia="zh-CN"/>
        </w:rPr>
        <w:t>资格审查、入围筛选、评标、清标及定</w:t>
      </w:r>
      <w:r>
        <w:rPr>
          <w:rFonts w:hint="eastAsia" w:ascii="宋体" w:hAnsi="宋体" w:eastAsia="宋体" w:cs="宋体"/>
          <w:color w:val="auto"/>
          <w:highlight w:val="none"/>
        </w:rPr>
        <w:t>标活动有关的工作人员的纪律要求</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14:paraId="5380E4F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与资格审查、入围筛选、评标、清标及定标活动有关的工作人员不得收受他人的财物或者其他好处，不得向他人</w:t>
      </w:r>
      <w:r>
        <w:rPr>
          <w:rFonts w:hint="eastAsia" w:ascii="宋体" w:hAnsi="宋体" w:cs="宋体"/>
          <w:color w:val="auto"/>
          <w:szCs w:val="21"/>
          <w:highlight w:val="none"/>
          <w:lang w:eastAsia="zh-CN"/>
        </w:rPr>
        <w:t>透露</w:t>
      </w:r>
      <w:r>
        <w:rPr>
          <w:rFonts w:hint="eastAsia" w:ascii="宋体" w:hAnsi="宋体" w:eastAsia="宋体" w:cs="宋体"/>
          <w:color w:val="auto"/>
          <w:szCs w:val="21"/>
          <w:highlight w:val="none"/>
        </w:rPr>
        <w:t>对投标文件的评审和比较、</w:t>
      </w:r>
      <w:r>
        <w:rPr>
          <w:rFonts w:hint="eastAsia" w:ascii="宋体" w:hAnsi="宋体" w:eastAsia="宋体" w:cs="宋体"/>
          <w:color w:val="auto"/>
          <w:szCs w:val="21"/>
          <w:highlight w:val="none"/>
          <w:lang w:val="en-US" w:eastAsia="zh-CN"/>
        </w:rPr>
        <w:t>定标候选人或</w:t>
      </w:r>
      <w:r>
        <w:rPr>
          <w:rFonts w:hint="eastAsia" w:ascii="宋体" w:hAnsi="宋体" w:eastAsia="宋体" w:cs="宋体"/>
          <w:color w:val="auto"/>
          <w:szCs w:val="21"/>
          <w:highlight w:val="none"/>
        </w:rPr>
        <w:t>中标候选人的推荐情况以及</w:t>
      </w:r>
      <w:r>
        <w:rPr>
          <w:rFonts w:hint="eastAsia" w:ascii="宋体" w:hAnsi="宋体" w:eastAsia="宋体" w:cs="宋体"/>
          <w:color w:val="auto"/>
          <w:szCs w:val="21"/>
          <w:highlight w:val="none"/>
          <w:lang w:val="en-US" w:eastAsia="zh-CN"/>
        </w:rPr>
        <w:t>与</w:t>
      </w:r>
      <w:r>
        <w:rPr>
          <w:rFonts w:hint="eastAsia" w:ascii="宋体" w:hAnsi="宋体" w:eastAsia="宋体" w:cs="宋体"/>
          <w:color w:val="auto"/>
          <w:szCs w:val="21"/>
          <w:highlight w:val="none"/>
        </w:rPr>
        <w:t>评标</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定标</w:t>
      </w:r>
      <w:r>
        <w:rPr>
          <w:rFonts w:hint="eastAsia" w:ascii="宋体" w:hAnsi="宋体" w:eastAsia="宋体" w:cs="宋体"/>
          <w:color w:val="auto"/>
          <w:szCs w:val="21"/>
          <w:highlight w:val="none"/>
        </w:rPr>
        <w:t>有关的其他情况。在</w:t>
      </w:r>
      <w:r>
        <w:rPr>
          <w:rFonts w:hint="eastAsia" w:ascii="宋体" w:hAnsi="宋体" w:eastAsia="宋体" w:cs="宋体"/>
          <w:color w:val="auto"/>
          <w:szCs w:val="21"/>
          <w:highlight w:val="none"/>
          <w:lang w:val="en-US" w:eastAsia="zh-CN"/>
        </w:rPr>
        <w:t>资格审查、入围筛选、</w:t>
      </w:r>
      <w:r>
        <w:rPr>
          <w:rFonts w:hint="eastAsia" w:ascii="宋体" w:hAnsi="宋体" w:eastAsia="宋体" w:cs="宋体"/>
          <w:color w:val="auto"/>
          <w:szCs w:val="21"/>
          <w:highlight w:val="none"/>
        </w:rPr>
        <w:t>评标</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清标及定标</w:t>
      </w:r>
      <w:r>
        <w:rPr>
          <w:rFonts w:hint="eastAsia" w:ascii="宋体" w:hAnsi="宋体" w:eastAsia="宋体" w:cs="宋体"/>
          <w:color w:val="auto"/>
          <w:szCs w:val="21"/>
          <w:highlight w:val="none"/>
        </w:rPr>
        <w:t>活动中，有关的工作人员不得擅离职守，影响评标</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定标</w:t>
      </w:r>
      <w:r>
        <w:rPr>
          <w:rFonts w:hint="eastAsia" w:ascii="宋体" w:hAnsi="宋体" w:eastAsia="宋体" w:cs="宋体"/>
          <w:color w:val="auto"/>
          <w:szCs w:val="21"/>
          <w:highlight w:val="none"/>
        </w:rPr>
        <w:t>程序正常进行。</w:t>
      </w:r>
    </w:p>
    <w:p w14:paraId="78BD2400">
      <w:pPr>
        <w:pStyle w:val="4"/>
        <w:bidi w:val="0"/>
        <w:rPr>
          <w:rFonts w:hint="eastAsia" w:ascii="宋体" w:hAnsi="宋体" w:eastAsia="宋体" w:cs="宋体"/>
          <w:color w:val="auto"/>
          <w:highlight w:val="none"/>
        </w:rPr>
      </w:pPr>
      <w:bookmarkStart w:id="1342" w:name="_Toc96951287"/>
      <w:bookmarkStart w:id="1343" w:name="_Toc265014031"/>
      <w:bookmarkStart w:id="1344" w:name="_Toc120761904"/>
      <w:bookmarkStart w:id="1345" w:name="_Toc1045715815"/>
      <w:bookmarkStart w:id="1346" w:name="_Toc1636850118"/>
      <w:bookmarkStart w:id="1347" w:name="_Toc1982285678"/>
      <w:bookmarkStart w:id="1348" w:name="_Toc955568862"/>
      <w:bookmarkStart w:id="1349" w:name="_Toc37225357"/>
      <w:bookmarkStart w:id="1350" w:name="_Toc112820954"/>
      <w:bookmarkStart w:id="1351" w:name="_Toc173978990"/>
      <w:bookmarkStart w:id="1352" w:name="_Toc95364750"/>
      <w:bookmarkStart w:id="1353" w:name="_Toc1462624740"/>
      <w:bookmarkStart w:id="1354" w:name="_Toc1044868008"/>
      <w:bookmarkStart w:id="1355" w:name="_Toc965441762"/>
      <w:bookmarkStart w:id="1356" w:name="_Toc1142699211"/>
      <w:bookmarkStart w:id="1357" w:name="_Toc55850820"/>
      <w:bookmarkStart w:id="1358" w:name="_Toc1652141828"/>
      <w:r>
        <w:rPr>
          <w:rFonts w:hint="eastAsia" w:ascii="宋体" w:hAnsi="宋体" w:eastAsia="宋体" w:cs="宋体"/>
          <w:color w:val="auto"/>
          <w:highlight w:val="none"/>
          <w:lang w:val="en-US" w:eastAsia="zh-CN"/>
        </w:rPr>
        <w:t>11</w:t>
      </w:r>
      <w:r>
        <w:rPr>
          <w:rFonts w:hint="eastAsia" w:ascii="宋体" w:hAnsi="宋体" w:eastAsia="宋体" w:cs="宋体"/>
          <w:color w:val="auto"/>
          <w:highlight w:val="none"/>
        </w:rPr>
        <w:t>.5 异议</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14:paraId="634DC253">
      <w:pPr>
        <w:pageBreakBefore w:val="0"/>
        <w:kinsoku/>
        <w:wordWrap/>
        <w:overflowPunct/>
        <w:topLinePunct w:val="0"/>
        <w:bidi w:val="0"/>
        <w:spacing w:line="360" w:lineRule="auto"/>
        <w:ind w:firstLine="420" w:firstLineChars="200"/>
        <w:textAlignment w:val="auto"/>
        <w:rPr>
          <w:rFonts w:hint="eastAsia"/>
          <w:color w:val="auto"/>
          <w:highlight w:val="none"/>
        </w:rPr>
      </w:pPr>
      <w:bookmarkStart w:id="1359" w:name="_Toc2057323104"/>
      <w:bookmarkStart w:id="1360" w:name="_Toc1747100773"/>
      <w:bookmarkStart w:id="1361" w:name="_Toc1807976285"/>
      <w:bookmarkStart w:id="1362" w:name="_Toc1967894737"/>
      <w:bookmarkStart w:id="1363" w:name="_Toc1602720350"/>
      <w:bookmarkStart w:id="1364" w:name="_Toc1410022637"/>
      <w:bookmarkStart w:id="1365" w:name="_Toc1016035542"/>
      <w:bookmarkStart w:id="1366" w:name="_Toc786267671"/>
      <w:bookmarkStart w:id="1367" w:name="_Toc1122736248"/>
      <w:bookmarkStart w:id="1368" w:name="_Toc1315755166"/>
      <w:bookmarkStart w:id="1369" w:name="_Toc1773366999"/>
      <w:bookmarkStart w:id="1370" w:name="_Toc337079126"/>
      <w:bookmarkStart w:id="1371" w:name="_Toc1888708228"/>
      <w:bookmarkStart w:id="1372" w:name="_Toc445045241"/>
      <w:bookmarkStart w:id="1373" w:name="_Toc1442913166"/>
      <w:bookmarkStart w:id="1374" w:name="_Toc1507363305"/>
      <w:bookmarkStart w:id="1375" w:name="_Toc844329842"/>
      <w:r>
        <w:rPr>
          <w:rFonts w:hint="eastAsia" w:ascii="宋体" w:hAnsi="宋体"/>
          <w:color w:val="auto"/>
          <w:szCs w:val="21"/>
          <w:highlight w:val="none"/>
          <w:lang w:val="en-US" w:eastAsia="zh-CN"/>
        </w:rPr>
        <w:t>11.5.1 参加现场开标投标人对开标有异议的，应当在开标现场提出，招标人当场作出答复，并制作记录。参加在线开标的投标人对开标结果有异议的，</w:t>
      </w:r>
      <w:r>
        <w:rPr>
          <w:rFonts w:hint="eastAsia"/>
          <w:color w:val="auto"/>
          <w:highlight w:val="none"/>
        </w:rPr>
        <w:t>应当在开标时间通过</w:t>
      </w:r>
      <w:r>
        <w:rPr>
          <w:rFonts w:hint="eastAsia"/>
          <w:color w:val="auto"/>
          <w:highlight w:val="none"/>
          <w:lang w:eastAsia="zh-CN"/>
        </w:rPr>
        <w:t>工程建设交易系统</w:t>
      </w:r>
      <w:r>
        <w:rPr>
          <w:rFonts w:hint="eastAsia"/>
          <w:color w:val="auto"/>
          <w:highlight w:val="none"/>
        </w:rPr>
        <w:t>在线提出异议，招标人或招标代理在线及时回复，并制作记录</w:t>
      </w:r>
      <w:r>
        <w:rPr>
          <w:rFonts w:hint="eastAsia" w:ascii="宋体" w:hAnsi="宋体"/>
          <w:color w:val="auto"/>
          <w:szCs w:val="21"/>
          <w:highlight w:val="none"/>
        </w:rPr>
        <w:t>。异议的范围包括：投标文件的提交、截标时间、开标程序、投标文件密封检查和开封、唱标内容、标底价格的合理性、开标记录、唱标次序等，以及《中华人民共和国招标投标法实施条例》第三十四条所规定的情形。</w:t>
      </w:r>
      <w:r>
        <w:rPr>
          <w:rFonts w:hint="eastAsia"/>
          <w:color w:val="auto"/>
          <w:highlight w:val="none"/>
        </w:rPr>
        <w:t>投标人未参加开标或未在线提出异议的，视同认可开标结果。</w:t>
      </w:r>
    </w:p>
    <w:p w14:paraId="1D0AEE4B">
      <w:pPr>
        <w:pageBreakBefore w:val="0"/>
        <w:kinsoku/>
        <w:wordWrap/>
        <w:overflowPunct/>
        <w:topLinePunct w:val="0"/>
        <w:bidi w:val="0"/>
        <w:spacing w:line="360" w:lineRule="auto"/>
        <w:ind w:firstLine="420" w:firstLineChars="200"/>
        <w:textAlignment w:val="auto"/>
        <w:rPr>
          <w:rFonts w:hint="eastAsia" w:ascii="宋体" w:hAnsi="宋体"/>
          <w:b w:val="0"/>
          <w:bCs w:val="0"/>
          <w:color w:val="auto"/>
          <w:szCs w:val="21"/>
          <w:highlight w:val="none"/>
        </w:rPr>
      </w:pPr>
      <w:r>
        <w:rPr>
          <w:rFonts w:hint="eastAsia" w:ascii="宋体" w:hAnsi="宋体" w:eastAsia="宋体" w:cs="Times New Roman"/>
          <w:color w:val="auto"/>
          <w:szCs w:val="21"/>
          <w:highlight w:val="none"/>
          <w:lang w:val="en-US" w:eastAsia="zh-CN"/>
        </w:rPr>
        <w:t xml:space="preserve">11.5.2 </w:t>
      </w:r>
      <w:r>
        <w:rPr>
          <w:rFonts w:hint="eastAsia" w:ascii="Times New Roman" w:hAnsi="Times New Roman" w:eastAsia="宋体" w:cs="Times New Roman"/>
          <w:b w:val="0"/>
          <w:bCs w:val="0"/>
          <w:color w:val="auto"/>
          <w:sz w:val="21"/>
          <w:szCs w:val="24"/>
          <w:highlight w:val="none"/>
        </w:rPr>
        <w:t>投标人或者其他利害关系人</w:t>
      </w:r>
      <w:r>
        <w:rPr>
          <w:rFonts w:hint="eastAsia" w:ascii="宋体" w:hAnsi="宋体"/>
          <w:b w:val="0"/>
          <w:bCs w:val="0"/>
          <w:color w:val="auto"/>
          <w:szCs w:val="21"/>
          <w:highlight w:val="none"/>
        </w:rPr>
        <w:t>对资格预审文件有异议的，应当在提交资格预审申请文件截止时间2日前提出；</w:t>
      </w:r>
      <w:r>
        <w:rPr>
          <w:rFonts w:hint="eastAsia" w:ascii="Times New Roman" w:hAnsi="Times New Roman" w:eastAsia="宋体" w:cs="Times New Roman"/>
          <w:b w:val="0"/>
          <w:bCs w:val="0"/>
          <w:color w:val="auto"/>
          <w:sz w:val="21"/>
          <w:szCs w:val="24"/>
          <w:highlight w:val="none"/>
        </w:rPr>
        <w:t>对招标文件有异议的，应当在投标截止时间</w:t>
      </w:r>
      <w:r>
        <w:rPr>
          <w:rFonts w:hint="eastAsia" w:ascii="宋体" w:hAnsi="宋体" w:eastAsia="宋体" w:cs="Times New Roman"/>
          <w:b w:val="0"/>
          <w:bCs w:val="0"/>
          <w:color w:val="auto"/>
          <w:kern w:val="2"/>
          <w:sz w:val="21"/>
          <w:szCs w:val="21"/>
          <w:highlight w:val="none"/>
          <w:lang w:val="en-US" w:eastAsia="zh-CN" w:bidi="ar-SA"/>
        </w:rPr>
        <w:t>10</w:t>
      </w:r>
      <w:r>
        <w:rPr>
          <w:rFonts w:hint="eastAsia" w:ascii="Times New Roman" w:hAnsi="Times New Roman" w:eastAsia="宋体" w:cs="Times New Roman"/>
          <w:b w:val="0"/>
          <w:bCs w:val="0"/>
          <w:color w:val="auto"/>
          <w:sz w:val="21"/>
          <w:szCs w:val="24"/>
          <w:highlight w:val="none"/>
        </w:rPr>
        <w:t>日前以书面形式提出。</w:t>
      </w:r>
      <w:r>
        <w:rPr>
          <w:rFonts w:hint="eastAsia" w:ascii="宋体" w:hAnsi="宋体" w:eastAsia="宋体" w:cs="Times New Roman"/>
          <w:b w:val="0"/>
          <w:bCs w:val="0"/>
          <w:color w:val="auto"/>
          <w:szCs w:val="21"/>
          <w:highlight w:val="none"/>
        </w:rPr>
        <w:t>投标人或者其他利害关系人对评标结果有异议的，应当在评标结果公示期间提出</w:t>
      </w:r>
      <w:r>
        <w:rPr>
          <w:rFonts w:hint="eastAsia" w:ascii="宋体" w:hAnsi="宋体" w:eastAsia="宋体" w:cs="Times New Roman"/>
          <w:b w:val="0"/>
          <w:bCs w:val="0"/>
          <w:color w:val="auto"/>
          <w:szCs w:val="21"/>
          <w:highlight w:val="none"/>
          <w:lang w:eastAsia="zh-CN"/>
        </w:rPr>
        <w:t>。</w:t>
      </w:r>
      <w:r>
        <w:rPr>
          <w:rFonts w:hint="eastAsia" w:ascii="宋体" w:hAnsi="宋体" w:eastAsia="宋体" w:cs="Times New Roman"/>
          <w:b w:val="0"/>
          <w:bCs w:val="0"/>
          <w:color w:val="auto"/>
          <w:szCs w:val="21"/>
          <w:highlight w:val="none"/>
        </w:rPr>
        <w:t>投标人或者其他利害关系人对定标结果有异议的，应当在</w:t>
      </w:r>
      <w:r>
        <w:rPr>
          <w:rFonts w:hint="eastAsia" w:ascii="宋体" w:hAnsi="宋体" w:eastAsia="宋体" w:cs="Times New Roman"/>
          <w:b w:val="0"/>
          <w:bCs w:val="0"/>
          <w:color w:val="auto"/>
          <w:szCs w:val="21"/>
          <w:highlight w:val="none"/>
          <w:lang w:val="en-US" w:eastAsia="zh-CN"/>
        </w:rPr>
        <w:t>中标候选人</w:t>
      </w:r>
      <w:r>
        <w:rPr>
          <w:rFonts w:hint="eastAsia" w:ascii="宋体" w:hAnsi="宋体" w:eastAsia="宋体" w:cs="Times New Roman"/>
          <w:b w:val="0"/>
          <w:bCs w:val="0"/>
          <w:color w:val="auto"/>
          <w:szCs w:val="21"/>
          <w:highlight w:val="none"/>
        </w:rPr>
        <w:t>公示期间提出。招标人</w:t>
      </w:r>
      <w:r>
        <w:rPr>
          <w:rFonts w:hint="eastAsia" w:ascii="宋体" w:hAnsi="宋体" w:eastAsia="宋体" w:cs="Times New Roman"/>
          <w:b w:val="0"/>
          <w:bCs w:val="0"/>
          <w:color w:val="auto"/>
          <w:szCs w:val="21"/>
          <w:highlight w:val="none"/>
          <w:lang w:val="en-US" w:eastAsia="zh-CN"/>
        </w:rPr>
        <w:t>应当</w:t>
      </w:r>
      <w:r>
        <w:rPr>
          <w:rFonts w:hint="eastAsia" w:ascii="宋体" w:hAnsi="宋体" w:eastAsia="宋体" w:cs="Times New Roman"/>
          <w:b w:val="0"/>
          <w:bCs w:val="0"/>
          <w:color w:val="auto"/>
          <w:szCs w:val="21"/>
          <w:highlight w:val="none"/>
        </w:rPr>
        <w:t>自收到异议之日起3日内作出答复；</w:t>
      </w:r>
      <w:r>
        <w:rPr>
          <w:rFonts w:hint="eastAsia" w:ascii="宋体" w:hAnsi="宋体" w:eastAsia="宋体" w:cs="Times New Roman"/>
          <w:b w:val="0"/>
          <w:bCs w:val="0"/>
          <w:color w:val="auto"/>
          <w:szCs w:val="21"/>
          <w:highlight w:val="none"/>
          <w:lang w:val="en-US" w:eastAsia="zh-CN"/>
        </w:rPr>
        <w:t>作出答复前，将暂停招标投标活动。</w:t>
      </w:r>
      <w:r>
        <w:rPr>
          <w:rFonts w:hint="eastAsia" w:ascii="宋体" w:hAnsi="宋体"/>
          <w:b w:val="0"/>
          <w:bCs w:val="0"/>
          <w:color w:val="auto"/>
          <w:szCs w:val="21"/>
          <w:highlight w:val="none"/>
        </w:rPr>
        <w:t>异议可通过广东省公共资源交易平台（交易系统）的“在线提出异议”栏目向招标人提出，也可线下直接向招标人递交异议文件。</w:t>
      </w:r>
    </w:p>
    <w:p w14:paraId="3E8C2B8E">
      <w:pPr>
        <w:pageBreakBefore w:val="0"/>
        <w:kinsoku/>
        <w:wordWrap/>
        <w:overflowPunct/>
        <w:topLinePunct w:val="0"/>
        <w:bidi w:val="0"/>
        <w:spacing w:line="360" w:lineRule="auto"/>
        <w:ind w:firstLine="420" w:firstLineChars="200"/>
        <w:textAlignment w:val="auto"/>
        <w:rPr>
          <w:rFonts w:hint="eastAsia" w:ascii="宋体" w:hAnsi="宋体" w:eastAsia="宋体" w:cs="宋体"/>
          <w:b/>
          <w:bCs/>
          <w:color w:val="auto"/>
          <w:kern w:val="2"/>
          <w:sz w:val="21"/>
          <w:szCs w:val="32"/>
          <w:highlight w:val="none"/>
          <w:lang w:val="en-US" w:eastAsia="zh-CN" w:bidi="ar-SA"/>
        </w:rPr>
      </w:pPr>
      <w:r>
        <w:rPr>
          <w:rFonts w:hint="eastAsia" w:ascii="宋体" w:hAnsi="宋体"/>
          <w:color w:val="auto"/>
          <w:szCs w:val="21"/>
          <w:highlight w:val="none"/>
          <w:lang w:val="en-US" w:eastAsia="zh-CN"/>
        </w:rPr>
        <w:t xml:space="preserve">11.5.3 </w:t>
      </w:r>
      <w:r>
        <w:rPr>
          <w:rFonts w:hint="eastAsia" w:ascii="宋体" w:hAnsi="宋体"/>
          <w:color w:val="auto"/>
          <w:szCs w:val="21"/>
          <w:highlight w:val="none"/>
        </w:rPr>
        <w:t>存在以下情形之一的，招标人可以不予受理异议，并向异议提起人发出异议不予受理通知书：1、以单位名义提出异议的，异议书未经法定代表人或主要负责人签字并加盖公章的；2、以个人名义提出异议的，异议书未署异议人真实姓名、签字、有效联系方式或没有有效身份证明文件；3、如有委托代理人的，委托代理人没有相应的授权委托书和有效身份证明复印件，或者有关委托代理权限和事项不明确的。</w:t>
      </w:r>
    </w:p>
    <w:p w14:paraId="0FA059FB">
      <w:pPr>
        <w:pStyle w:val="4"/>
        <w:bidi w:val="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11.6 投诉</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14:paraId="569EB8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和其他利害关系人认为本次招标活动不符合法律行政法规规定的，可以自知道或者应当知道之日起10个日历天内向有关行政监督部门投诉。投诉应当按照《工程建设项目招标投标活动投诉处理办法（2013年修订）》的规定提出明确的请求和提供必要的证明材料。</w:t>
      </w:r>
    </w:p>
    <w:p w14:paraId="7ACF5422">
      <w:pPr>
        <w:spacing w:line="360" w:lineRule="auto"/>
        <w:ind w:firstLine="420" w:firstLineChars="200"/>
        <w:rPr>
          <w:rFonts w:hint="eastAsia" w:ascii="宋体" w:hAnsi="宋体" w:eastAsia="宋体" w:cs="宋体"/>
          <w:color w:val="auto"/>
          <w:szCs w:val="21"/>
          <w:highlight w:val="none"/>
        </w:rPr>
      </w:pPr>
      <w:r>
        <w:rPr>
          <w:rFonts w:hint="eastAsia" w:ascii="宋体" w:hAnsi="宋体"/>
          <w:bCs/>
          <w:color w:val="auto"/>
          <w:highlight w:val="none"/>
        </w:rPr>
        <w:t>投诉可通过广东省公共资源交易平台（交易系统）的“在线提出投诉”栏目向有关行政监督部门提出，也可线下直接向有关行政监督部门递交投诉文件。</w:t>
      </w:r>
      <w:r>
        <w:rPr>
          <w:rFonts w:hint="eastAsia" w:ascii="宋体" w:hAnsi="宋体" w:eastAsia="宋体" w:cs="宋体"/>
          <w:color w:val="auto"/>
          <w:szCs w:val="21"/>
          <w:highlight w:val="none"/>
          <w:lang w:val="en-US" w:eastAsia="zh-CN"/>
        </w:rPr>
        <w:t>就</w:t>
      </w:r>
      <w:r>
        <w:rPr>
          <w:rFonts w:hint="eastAsia" w:ascii="宋体" w:hAnsi="宋体" w:eastAsia="宋体" w:cs="宋体"/>
          <w:color w:val="auto"/>
          <w:szCs w:val="21"/>
          <w:highlight w:val="none"/>
        </w:rPr>
        <w:t>招标文件、开标、评标结果</w:t>
      </w:r>
      <w:r>
        <w:rPr>
          <w:rFonts w:hint="eastAsia" w:ascii="宋体" w:hAnsi="宋体" w:eastAsia="宋体" w:cs="宋体"/>
          <w:color w:val="auto"/>
          <w:szCs w:val="21"/>
          <w:highlight w:val="none"/>
          <w:lang w:val="en-US" w:eastAsia="zh-CN"/>
        </w:rPr>
        <w:t>或</w:t>
      </w:r>
      <w:r>
        <w:rPr>
          <w:rFonts w:hint="eastAsia" w:ascii="宋体" w:hAnsi="宋体" w:eastAsia="宋体" w:cs="宋体"/>
          <w:color w:val="auto"/>
          <w:szCs w:val="21"/>
          <w:highlight w:val="none"/>
        </w:rPr>
        <w:t>定标结果</w:t>
      </w:r>
      <w:r>
        <w:rPr>
          <w:rFonts w:hint="eastAsia" w:ascii="宋体" w:hAnsi="宋体" w:eastAsia="宋体" w:cs="宋体"/>
          <w:color w:val="auto"/>
          <w:szCs w:val="21"/>
          <w:highlight w:val="none"/>
          <w:lang w:val="en-US" w:eastAsia="zh-CN"/>
        </w:rPr>
        <w:t>提出的投诉，</w:t>
      </w:r>
      <w:r>
        <w:rPr>
          <w:rFonts w:hint="eastAsia" w:ascii="宋体" w:hAnsi="宋体" w:eastAsia="宋体" w:cs="宋体"/>
          <w:color w:val="auto"/>
          <w:szCs w:val="21"/>
          <w:highlight w:val="none"/>
        </w:rPr>
        <w:t>应先向招标人提出异议而没有提出异议的，行政监督部门不予受理。</w:t>
      </w:r>
    </w:p>
    <w:p w14:paraId="6FAE09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被投诉单位在收到查询函5个工作日内向招标人及行政监督部门提供书面回复及有效的证明资料。</w:t>
      </w:r>
    </w:p>
    <w:p w14:paraId="770DCE9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依法必须进行招标的项目的招标投标活动违反招标投标法和招标投标法实施条例的规定，对中标结果造成实质性影响，且不能采取补救措施予以纠正的，招标、投标、中标无效，应当依法重新组织招标或评标</w:t>
      </w:r>
      <w:r>
        <w:rPr>
          <w:rFonts w:hint="eastAsia" w:ascii="宋体" w:hAnsi="宋体" w:eastAsia="宋体" w:cs="宋体"/>
          <w:color w:val="auto"/>
          <w:szCs w:val="21"/>
          <w:highlight w:val="none"/>
          <w:lang w:eastAsia="zh-CN"/>
        </w:rPr>
        <w:t>或定标</w:t>
      </w:r>
      <w:r>
        <w:rPr>
          <w:rFonts w:hint="eastAsia" w:ascii="宋体" w:hAnsi="宋体" w:eastAsia="宋体" w:cs="宋体"/>
          <w:color w:val="auto"/>
          <w:szCs w:val="21"/>
          <w:highlight w:val="none"/>
        </w:rPr>
        <w:t>。</w:t>
      </w:r>
    </w:p>
    <w:p w14:paraId="5E850B62">
      <w:pPr>
        <w:pStyle w:val="3"/>
        <w:bidi w:val="0"/>
        <w:rPr>
          <w:rFonts w:hint="eastAsia" w:ascii="宋体" w:hAnsi="宋体" w:cs="宋体"/>
          <w:b/>
          <w:bCs/>
          <w:color w:val="auto"/>
          <w:highlight w:val="none"/>
          <w:lang w:val="en-US" w:eastAsia="zh-CN"/>
        </w:rPr>
      </w:pPr>
      <w:bookmarkStart w:id="1376" w:name="_Toc1249302231"/>
      <w:bookmarkStart w:id="1377" w:name="_Toc1986542917"/>
      <w:bookmarkStart w:id="1378" w:name="_Toc800357612"/>
      <w:bookmarkStart w:id="1379" w:name="_Toc1011376962"/>
      <w:bookmarkStart w:id="1380" w:name="_Toc1281504660"/>
      <w:bookmarkStart w:id="1381" w:name="_Toc2066104797"/>
      <w:bookmarkStart w:id="1382" w:name="_Toc1899654944"/>
      <w:bookmarkStart w:id="1383" w:name="_Toc1021777867"/>
      <w:bookmarkStart w:id="1384" w:name="_Toc2004768613"/>
      <w:bookmarkStart w:id="1385" w:name="_Toc1868714152"/>
      <w:bookmarkStart w:id="1386" w:name="_Toc1827182769"/>
      <w:bookmarkStart w:id="1387" w:name="_Toc1877726043"/>
      <w:bookmarkStart w:id="1388" w:name="_Toc408767407"/>
      <w:bookmarkStart w:id="1389" w:name="_Toc891656116"/>
      <w:bookmarkStart w:id="1390" w:name="_Toc675560007"/>
      <w:bookmarkStart w:id="1391" w:name="_Toc1286644526"/>
      <w:bookmarkStart w:id="1392" w:name="_Toc1139750258"/>
      <w:bookmarkStart w:id="1393" w:name="_Toc930651357"/>
      <w:bookmarkStart w:id="1394" w:name="_Toc31905"/>
      <w:bookmarkStart w:id="1395" w:name="_Toc1088750638"/>
      <w:bookmarkStart w:id="1396" w:name="_Toc135316689"/>
      <w:bookmarkStart w:id="1397" w:name="_Toc963938101"/>
      <w:bookmarkStart w:id="1398" w:name="_Toc2077107759"/>
      <w:bookmarkStart w:id="1399" w:name="_Toc151291864"/>
      <w:bookmarkStart w:id="1400" w:name="_Toc1012960805"/>
      <w:bookmarkStart w:id="1401" w:name="_Toc278674708"/>
      <w:bookmarkStart w:id="1402" w:name="_Toc887168528"/>
      <w:bookmarkStart w:id="1403" w:name="_Toc1734830470"/>
      <w:bookmarkStart w:id="1404" w:name="_Toc642249060"/>
      <w:bookmarkStart w:id="1405" w:name="_Toc573801833"/>
      <w:bookmarkStart w:id="1406" w:name="_Toc1697843545"/>
      <w:bookmarkStart w:id="1407" w:name="_Toc1135324641"/>
      <w:bookmarkStart w:id="1408" w:name="_Toc1238114428"/>
      <w:bookmarkStart w:id="1409" w:name="_Toc929746570"/>
      <w:bookmarkStart w:id="1410" w:name="_Toc690714012"/>
      <w:r>
        <w:rPr>
          <w:rFonts w:hint="eastAsia" w:ascii="宋体" w:hAnsi="宋体" w:cs="宋体"/>
          <w:b/>
          <w:bCs/>
          <w:color w:val="auto"/>
          <w:highlight w:val="none"/>
          <w:lang w:val="en-US" w:eastAsia="zh-CN"/>
        </w:rPr>
        <w:t>12. 项目管理机构基本要求</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14:paraId="407B5594">
      <w:pPr>
        <w:pageBreakBefore w:val="0"/>
        <w:kinsoku/>
        <w:wordWrap/>
        <w:overflowPunct/>
        <w:topLinePunct w:val="0"/>
        <w:bidi w:val="0"/>
        <w:spacing w:line="360" w:lineRule="auto"/>
        <w:jc w:val="center"/>
        <w:textAlignment w:val="auto"/>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rPr>
        <w:t>《</w:t>
      </w:r>
      <w:r>
        <w:rPr>
          <w:rFonts w:hint="eastAsia" w:ascii="宋体" w:hAnsi="宋体" w:eastAsia="宋体" w:cs="宋体"/>
          <w:b/>
          <w:bCs/>
          <w:color w:val="auto"/>
          <w:szCs w:val="21"/>
          <w:highlight w:val="none"/>
        </w:rPr>
        <w:t>项目管理机构主要人员配置表</w:t>
      </w:r>
      <w:r>
        <w:rPr>
          <w:rFonts w:hint="eastAsia" w:ascii="宋体" w:hAnsi="宋体" w:eastAsia="宋体" w:cs="宋体"/>
          <w:b/>
          <w:bCs/>
          <w:color w:val="auto"/>
          <w:sz w:val="28"/>
          <w:szCs w:val="28"/>
          <w:highlight w:val="none"/>
        </w:rPr>
        <w:t>》</w:t>
      </w:r>
    </w:p>
    <w:tbl>
      <w:tblPr>
        <w:tblStyle w:val="26"/>
        <w:tblW w:w="96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171"/>
        <w:gridCol w:w="1654"/>
        <w:gridCol w:w="2412"/>
        <w:gridCol w:w="3589"/>
      </w:tblGrid>
      <w:tr w14:paraId="20C59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836" w:type="dxa"/>
            <w:noWrap w:val="0"/>
            <w:vAlign w:val="center"/>
          </w:tcPr>
          <w:p w14:paraId="2884AC6C">
            <w:pPr>
              <w:pageBreakBefore w:val="0"/>
              <w:kinsoku/>
              <w:wordWrap/>
              <w:overflowPunct/>
              <w:topLinePunct w:val="0"/>
              <w:bidi w:val="0"/>
              <w:spacing w:line="360" w:lineRule="auto"/>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1171" w:type="dxa"/>
            <w:noWrap w:val="0"/>
            <w:vAlign w:val="center"/>
          </w:tcPr>
          <w:p w14:paraId="10EBF8EF">
            <w:pPr>
              <w:pageBreakBefore w:val="0"/>
              <w:kinsoku/>
              <w:wordWrap/>
              <w:overflowPunct/>
              <w:topLinePunct w:val="0"/>
              <w:bidi w:val="0"/>
              <w:spacing w:line="360" w:lineRule="auto"/>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人员名称</w:t>
            </w:r>
          </w:p>
        </w:tc>
        <w:tc>
          <w:tcPr>
            <w:tcW w:w="1654" w:type="dxa"/>
            <w:noWrap w:val="0"/>
            <w:vAlign w:val="center"/>
          </w:tcPr>
          <w:p w14:paraId="5A79094A">
            <w:pPr>
              <w:pageBreakBefore w:val="0"/>
              <w:kinsoku/>
              <w:wordWrap/>
              <w:overflowPunct/>
              <w:topLinePunct w:val="0"/>
              <w:bidi w:val="0"/>
              <w:spacing w:line="360" w:lineRule="auto"/>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人数</w:t>
            </w:r>
          </w:p>
        </w:tc>
        <w:tc>
          <w:tcPr>
            <w:tcW w:w="2412" w:type="dxa"/>
            <w:noWrap w:val="0"/>
            <w:vAlign w:val="center"/>
          </w:tcPr>
          <w:p w14:paraId="27DD54AC">
            <w:pPr>
              <w:pageBreakBefore w:val="0"/>
              <w:kinsoku/>
              <w:wordWrap/>
              <w:overflowPunct/>
              <w:topLinePunct w:val="0"/>
              <w:bidi w:val="0"/>
              <w:spacing w:line="360" w:lineRule="auto"/>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专业及级别</w:t>
            </w:r>
          </w:p>
        </w:tc>
        <w:tc>
          <w:tcPr>
            <w:tcW w:w="3589" w:type="dxa"/>
            <w:noWrap w:val="0"/>
            <w:vAlign w:val="center"/>
          </w:tcPr>
          <w:p w14:paraId="10566A61">
            <w:pPr>
              <w:pageBreakBefore w:val="0"/>
              <w:kinsoku/>
              <w:wordWrap/>
              <w:overflowPunct/>
              <w:topLinePunct w:val="0"/>
              <w:bidi w:val="0"/>
              <w:spacing w:line="360" w:lineRule="auto"/>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备注</w:t>
            </w:r>
          </w:p>
        </w:tc>
      </w:tr>
      <w:tr w14:paraId="2C6DE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836" w:type="dxa"/>
            <w:vMerge w:val="restart"/>
            <w:noWrap w:val="0"/>
            <w:vAlign w:val="center"/>
          </w:tcPr>
          <w:p w14:paraId="3BC3F0ED">
            <w:pPr>
              <w:pageBreakBefore w:val="0"/>
              <w:kinsoku/>
              <w:wordWrap/>
              <w:overflowPunct/>
              <w:topLinePunct w:val="0"/>
              <w:bidi w:val="0"/>
              <w:spacing w:line="360" w:lineRule="auto"/>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w:t>
            </w:r>
          </w:p>
        </w:tc>
        <w:tc>
          <w:tcPr>
            <w:tcW w:w="1171" w:type="dxa"/>
            <w:vMerge w:val="restart"/>
            <w:noWrap w:val="0"/>
            <w:vAlign w:val="center"/>
          </w:tcPr>
          <w:p w14:paraId="4889CC38">
            <w:pPr>
              <w:pageBreakBefore w:val="0"/>
              <w:kinsoku/>
              <w:wordWrap/>
              <w:overflowPunct/>
              <w:topLinePunct w:val="0"/>
              <w:bidi w:val="0"/>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项目负责人</w:t>
            </w:r>
          </w:p>
        </w:tc>
        <w:tc>
          <w:tcPr>
            <w:tcW w:w="1654" w:type="dxa"/>
            <w:noWrap w:val="0"/>
            <w:vAlign w:val="center"/>
          </w:tcPr>
          <w:p w14:paraId="07814040">
            <w:pPr>
              <w:pageBreakBefore w:val="0"/>
              <w:kinsoku/>
              <w:wordWrap/>
              <w:overflowPunct/>
              <w:topLinePunct w:val="0"/>
              <w:bidi w:val="0"/>
              <w:spacing w:line="360" w:lineRule="auto"/>
              <w:jc w:val="center"/>
              <w:textAlignment w:val="auto"/>
              <w:rPr>
                <w:rFonts w:hint="eastAsia" w:ascii="宋体" w:hAnsi="宋体" w:eastAsia="宋体" w:cs="宋体"/>
                <w:bCs/>
                <w:color w:val="auto"/>
                <w:szCs w:val="21"/>
                <w:highlight w:val="none"/>
              </w:rPr>
            </w:pPr>
            <w:permStart w:id="121" w:edGrp="everyone"/>
            <w:r>
              <w:rPr>
                <w:rFonts w:hint="eastAsia" w:ascii="宋体" w:hAnsi="宋体" w:eastAsia="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1</w:t>
            </w:r>
            <w:r>
              <w:rPr>
                <w:rFonts w:hint="eastAsia" w:ascii="宋体" w:hAnsi="宋体" w:eastAsia="宋体" w:cs="宋体"/>
                <w:bCs/>
                <w:color w:val="auto"/>
                <w:szCs w:val="21"/>
                <w:highlight w:val="none"/>
                <w:u w:val="single"/>
              </w:rPr>
              <w:t xml:space="preserve">  </w:t>
            </w:r>
            <w:permEnd w:id="121"/>
            <w:r>
              <w:rPr>
                <w:rFonts w:hint="eastAsia" w:ascii="宋体" w:hAnsi="宋体" w:eastAsia="宋体" w:cs="宋体"/>
                <w:bCs/>
                <w:color w:val="auto"/>
                <w:szCs w:val="21"/>
                <w:highlight w:val="none"/>
              </w:rPr>
              <w:t>人</w:t>
            </w:r>
          </w:p>
        </w:tc>
        <w:tc>
          <w:tcPr>
            <w:tcW w:w="2412" w:type="dxa"/>
            <w:noWrap w:val="0"/>
            <w:vAlign w:val="center"/>
          </w:tcPr>
          <w:p w14:paraId="4B8932E1">
            <w:pPr>
              <w:pageBreakBefore w:val="0"/>
              <w:kinsoku/>
              <w:wordWrap/>
              <w:overflowPunct/>
              <w:topLinePunct w:val="0"/>
              <w:bidi w:val="0"/>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专业：</w:t>
            </w:r>
            <w:permStart w:id="122" w:edGrp="everyone"/>
            <w:r>
              <w:rPr>
                <w:rFonts w:hint="eastAsia" w:ascii="宋体" w:hAnsi="宋体" w:eastAsia="宋体" w:cs="宋体"/>
                <w:bCs/>
                <w:color w:val="auto"/>
                <w:szCs w:val="21"/>
                <w:highlight w:val="none"/>
                <w:u w:val="single"/>
              </w:rPr>
              <w:t xml:space="preserve">  </w:t>
            </w:r>
            <w:r>
              <w:rPr>
                <w:rFonts w:ascii="Times New Roman" w:hAnsi="Times New Roman"/>
                <w:bCs/>
                <w:szCs w:val="21"/>
                <w:u w:val="single"/>
              </w:rPr>
              <w:t>建筑工程</w:t>
            </w:r>
            <w:r>
              <w:rPr>
                <w:rFonts w:hint="eastAsia" w:ascii="宋体" w:hAnsi="宋体" w:eastAsia="宋体" w:cs="宋体"/>
                <w:bCs/>
                <w:color w:val="auto"/>
                <w:szCs w:val="21"/>
                <w:highlight w:val="none"/>
                <w:u w:val="single"/>
              </w:rPr>
              <w:t xml:space="preserve"> </w:t>
            </w:r>
            <w:permEnd w:id="122"/>
          </w:p>
          <w:p w14:paraId="638023D2">
            <w:pPr>
              <w:pageBreakBefore w:val="0"/>
              <w:kinsoku/>
              <w:wordWrap/>
              <w:overflowPunct/>
              <w:topLinePunct w:val="0"/>
              <w:bidi w:val="0"/>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级别：</w:t>
            </w:r>
            <w:permStart w:id="123" w:edGrp="everyone"/>
            <w:r>
              <w:rPr>
                <w:rFonts w:hint="eastAsia" w:ascii="宋体" w:hAnsi="宋体" w:eastAsia="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二级或以上注册建造师</w:t>
            </w:r>
            <w:r>
              <w:rPr>
                <w:rFonts w:hint="eastAsia" w:ascii="宋体" w:hAnsi="宋体" w:eastAsia="宋体" w:cs="宋体"/>
                <w:bCs/>
                <w:color w:val="auto"/>
                <w:szCs w:val="21"/>
                <w:highlight w:val="none"/>
                <w:u w:val="single"/>
              </w:rPr>
              <w:t xml:space="preserve"> </w:t>
            </w:r>
            <w:permEnd w:id="123"/>
          </w:p>
        </w:tc>
        <w:tc>
          <w:tcPr>
            <w:tcW w:w="3589" w:type="dxa"/>
            <w:noWrap w:val="0"/>
            <w:vAlign w:val="center"/>
          </w:tcPr>
          <w:p w14:paraId="4092ECEF">
            <w:pPr>
              <w:pageBreakBefore w:val="0"/>
              <w:kinsoku/>
              <w:wordWrap/>
              <w:overflowPunct/>
              <w:topLinePunct w:val="0"/>
              <w:bidi w:val="0"/>
              <w:spacing w:line="360" w:lineRule="auto"/>
              <w:ind w:firstLine="210" w:firstLineChars="1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提供</w:t>
            </w:r>
            <w:r>
              <w:rPr>
                <w:rFonts w:hint="eastAsia" w:ascii="宋体" w:hAnsi="宋体" w:eastAsia="宋体" w:cs="宋体"/>
                <w:color w:val="auto"/>
                <w:szCs w:val="21"/>
                <w:highlight w:val="none"/>
              </w:rPr>
              <w:t>注册</w:t>
            </w:r>
            <w:r>
              <w:rPr>
                <w:rFonts w:hint="eastAsia" w:ascii="宋体" w:hAnsi="宋体" w:eastAsia="宋体" w:cs="宋体"/>
                <w:bCs/>
                <w:color w:val="auto"/>
                <w:szCs w:val="21"/>
                <w:highlight w:val="none"/>
              </w:rPr>
              <w:t>建造师证、安全生产考核合格证（B证）、身份证及社保证明的复印件或扫描件</w:t>
            </w:r>
          </w:p>
        </w:tc>
      </w:tr>
      <w:tr w14:paraId="0B9B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836" w:type="dxa"/>
            <w:vMerge w:val="continue"/>
            <w:noWrap w:val="0"/>
            <w:vAlign w:val="center"/>
          </w:tcPr>
          <w:p w14:paraId="67778395">
            <w:pPr>
              <w:pageBreakBefore w:val="0"/>
              <w:kinsoku/>
              <w:wordWrap/>
              <w:overflowPunct/>
              <w:topLinePunct w:val="0"/>
              <w:bidi w:val="0"/>
              <w:spacing w:line="360" w:lineRule="auto"/>
              <w:jc w:val="center"/>
              <w:textAlignment w:val="auto"/>
              <w:rPr>
                <w:rFonts w:hint="eastAsia" w:ascii="宋体" w:hAnsi="宋体" w:eastAsia="宋体" w:cs="宋体"/>
                <w:b/>
                <w:bCs/>
                <w:color w:val="auto"/>
                <w:szCs w:val="21"/>
                <w:highlight w:val="none"/>
              </w:rPr>
            </w:pPr>
          </w:p>
        </w:tc>
        <w:tc>
          <w:tcPr>
            <w:tcW w:w="1171" w:type="dxa"/>
            <w:vMerge w:val="continue"/>
            <w:noWrap w:val="0"/>
            <w:vAlign w:val="center"/>
          </w:tcPr>
          <w:p w14:paraId="5607917D">
            <w:pPr>
              <w:pageBreakBefore w:val="0"/>
              <w:kinsoku/>
              <w:wordWrap/>
              <w:overflowPunct/>
              <w:topLinePunct w:val="0"/>
              <w:bidi w:val="0"/>
              <w:spacing w:line="360" w:lineRule="auto"/>
              <w:jc w:val="center"/>
              <w:textAlignment w:val="auto"/>
              <w:rPr>
                <w:rFonts w:hint="eastAsia" w:ascii="宋体" w:hAnsi="宋体" w:eastAsia="宋体" w:cs="宋体"/>
                <w:color w:val="auto"/>
                <w:szCs w:val="21"/>
                <w:highlight w:val="none"/>
              </w:rPr>
            </w:pPr>
          </w:p>
        </w:tc>
        <w:tc>
          <w:tcPr>
            <w:tcW w:w="1654" w:type="dxa"/>
            <w:noWrap w:val="0"/>
            <w:vAlign w:val="center"/>
          </w:tcPr>
          <w:p w14:paraId="2EEC32B5">
            <w:pPr>
              <w:pageBreakBefore w:val="0"/>
              <w:kinsoku/>
              <w:wordWrap/>
              <w:overflowPunct/>
              <w:topLinePunct w:val="0"/>
              <w:bidi w:val="0"/>
              <w:spacing w:line="360" w:lineRule="auto"/>
              <w:jc w:val="center"/>
              <w:textAlignment w:val="auto"/>
              <w:rPr>
                <w:rFonts w:hint="eastAsia" w:ascii="宋体" w:hAnsi="宋体" w:eastAsia="宋体" w:cs="宋体"/>
                <w:bCs/>
                <w:color w:val="auto"/>
                <w:szCs w:val="21"/>
                <w:highlight w:val="none"/>
              </w:rPr>
            </w:pPr>
            <w:permStart w:id="124" w:edGrp="everyone"/>
            <w:r>
              <w:rPr>
                <w:rFonts w:hint="eastAsia" w:ascii="宋体" w:hAnsi="宋体" w:eastAsia="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w:t>
            </w:r>
            <w:r>
              <w:rPr>
                <w:rFonts w:hint="eastAsia" w:ascii="宋体" w:hAnsi="宋体" w:eastAsia="宋体" w:cs="宋体"/>
                <w:bCs/>
                <w:color w:val="auto"/>
                <w:szCs w:val="21"/>
                <w:highlight w:val="none"/>
                <w:u w:val="single"/>
              </w:rPr>
              <w:t xml:space="preserve"> </w:t>
            </w:r>
            <w:permEnd w:id="124"/>
            <w:r>
              <w:rPr>
                <w:rFonts w:hint="eastAsia" w:ascii="宋体" w:hAnsi="宋体" w:eastAsia="宋体" w:cs="宋体"/>
                <w:bCs/>
                <w:color w:val="auto"/>
                <w:szCs w:val="21"/>
                <w:highlight w:val="none"/>
              </w:rPr>
              <w:t>人</w:t>
            </w:r>
          </w:p>
        </w:tc>
        <w:tc>
          <w:tcPr>
            <w:tcW w:w="2412" w:type="dxa"/>
            <w:noWrap w:val="0"/>
            <w:vAlign w:val="center"/>
          </w:tcPr>
          <w:p w14:paraId="3FD63D77">
            <w:pPr>
              <w:pageBreakBefore w:val="0"/>
              <w:kinsoku/>
              <w:wordWrap/>
              <w:overflowPunct/>
              <w:topLinePunct w:val="0"/>
              <w:bidi w:val="0"/>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专业：</w:t>
            </w:r>
            <w:permStart w:id="125" w:edGrp="everyone"/>
            <w:r>
              <w:rPr>
                <w:rFonts w:hint="eastAsia" w:ascii="宋体" w:hAnsi="宋体" w:eastAsia="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w:t>
            </w:r>
            <w:r>
              <w:rPr>
                <w:rFonts w:hint="eastAsia" w:ascii="宋体" w:hAnsi="宋体" w:eastAsia="宋体" w:cs="宋体"/>
                <w:bCs/>
                <w:color w:val="auto"/>
                <w:szCs w:val="21"/>
                <w:highlight w:val="none"/>
                <w:u w:val="single"/>
              </w:rPr>
              <w:t xml:space="preserve">      </w:t>
            </w:r>
            <w:permEnd w:id="125"/>
            <w:r>
              <w:rPr>
                <w:rFonts w:hint="eastAsia" w:ascii="宋体" w:hAnsi="宋体" w:eastAsia="宋体" w:cs="宋体"/>
                <w:bCs/>
                <w:color w:val="auto"/>
                <w:szCs w:val="21"/>
                <w:highlight w:val="none"/>
                <w:u w:val="single"/>
              </w:rPr>
              <w:t xml:space="preserve">    </w:t>
            </w:r>
          </w:p>
          <w:p w14:paraId="4C985747">
            <w:pPr>
              <w:pageBreakBefore w:val="0"/>
              <w:kinsoku/>
              <w:wordWrap/>
              <w:overflowPunct/>
              <w:topLinePunct w:val="0"/>
              <w:bidi w:val="0"/>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级别：</w:t>
            </w:r>
            <w:permStart w:id="126" w:edGrp="everyone"/>
            <w:r>
              <w:rPr>
                <w:rFonts w:hint="eastAsia" w:ascii="宋体" w:hAnsi="宋体" w:eastAsia="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w:t>
            </w:r>
            <w:r>
              <w:rPr>
                <w:rFonts w:hint="eastAsia" w:ascii="宋体" w:hAnsi="宋体" w:eastAsia="宋体" w:cs="宋体"/>
                <w:bCs/>
                <w:color w:val="auto"/>
                <w:szCs w:val="21"/>
                <w:highlight w:val="none"/>
                <w:u w:val="single"/>
              </w:rPr>
              <w:t xml:space="preserve">       </w:t>
            </w:r>
            <w:permEnd w:id="126"/>
          </w:p>
          <w:p w14:paraId="7E14EE4C">
            <w:pPr>
              <w:pageBreakBefore w:val="0"/>
              <w:kinsoku/>
              <w:wordWrap/>
              <w:overflowPunct/>
              <w:topLinePunct w:val="0"/>
              <w:bidi w:val="0"/>
              <w:spacing w:line="360" w:lineRule="auto"/>
              <w:textAlignment w:val="auto"/>
              <w:rPr>
                <w:rFonts w:hint="eastAsia" w:ascii="宋体" w:hAnsi="宋体" w:eastAsia="宋体" w:cs="宋体"/>
                <w:bCs/>
                <w:color w:val="auto"/>
                <w:szCs w:val="21"/>
                <w:highlight w:val="none"/>
              </w:rPr>
            </w:pPr>
          </w:p>
        </w:tc>
        <w:tc>
          <w:tcPr>
            <w:tcW w:w="3589" w:type="dxa"/>
            <w:noWrap w:val="0"/>
            <w:vAlign w:val="center"/>
          </w:tcPr>
          <w:p w14:paraId="173317B1">
            <w:pPr>
              <w:pageBreakBefore w:val="0"/>
              <w:kinsoku/>
              <w:wordWrap/>
              <w:overflowPunct/>
              <w:topLinePunct w:val="0"/>
              <w:bidi w:val="0"/>
              <w:spacing w:line="360" w:lineRule="auto"/>
              <w:ind w:firstLine="210" w:firstLineChars="100"/>
              <w:textAlignment w:val="auto"/>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rPr>
              <w:t>提供职称证/</w:t>
            </w:r>
            <w:r>
              <w:rPr>
                <w:rFonts w:hint="eastAsia" w:ascii="宋体" w:hAnsi="宋体" w:eastAsia="宋体" w:cs="宋体"/>
                <w:color w:val="auto"/>
                <w:szCs w:val="21"/>
                <w:highlight w:val="none"/>
              </w:rPr>
              <w:t>注册</w:t>
            </w:r>
            <w:r>
              <w:rPr>
                <w:rFonts w:hint="eastAsia" w:ascii="宋体" w:hAnsi="宋体" w:eastAsia="宋体" w:cs="宋体"/>
                <w:bCs/>
                <w:color w:val="auto"/>
                <w:szCs w:val="21"/>
                <w:highlight w:val="none"/>
              </w:rPr>
              <w:t>建造师证、身份证及社保证明的复印件或扫描件</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适用于园林绿化项目，资格等级由招标人根据项目规模、技术复杂程度等具体特点与实际需要设定</w:t>
            </w:r>
            <w:r>
              <w:rPr>
                <w:rFonts w:hint="eastAsia" w:ascii="宋体" w:hAnsi="宋体" w:eastAsia="宋体" w:cs="宋体"/>
                <w:bCs/>
                <w:color w:val="auto"/>
                <w:szCs w:val="21"/>
                <w:highlight w:val="none"/>
                <w:lang w:eastAsia="zh-CN"/>
              </w:rPr>
              <w:t>）</w:t>
            </w:r>
          </w:p>
        </w:tc>
      </w:tr>
      <w:tr w14:paraId="447E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836" w:type="dxa"/>
            <w:noWrap w:val="0"/>
            <w:vAlign w:val="center"/>
          </w:tcPr>
          <w:p w14:paraId="3DBA141D">
            <w:pPr>
              <w:pageBreakBefore w:val="0"/>
              <w:kinsoku/>
              <w:wordWrap/>
              <w:overflowPunct/>
              <w:topLinePunct w:val="0"/>
              <w:bidi w:val="0"/>
              <w:spacing w:line="360" w:lineRule="auto"/>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w:t>
            </w:r>
          </w:p>
        </w:tc>
        <w:tc>
          <w:tcPr>
            <w:tcW w:w="1171" w:type="dxa"/>
            <w:noWrap w:val="0"/>
            <w:vAlign w:val="center"/>
          </w:tcPr>
          <w:p w14:paraId="4C73C4A4">
            <w:pPr>
              <w:pageBreakBefore w:val="0"/>
              <w:kinsoku/>
              <w:wordWrap/>
              <w:overflowPunct/>
              <w:topLinePunct w:val="0"/>
              <w:bidi w:val="0"/>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技术负责人</w:t>
            </w:r>
          </w:p>
        </w:tc>
        <w:tc>
          <w:tcPr>
            <w:tcW w:w="1654" w:type="dxa"/>
            <w:noWrap w:val="0"/>
            <w:vAlign w:val="center"/>
          </w:tcPr>
          <w:p w14:paraId="49A89A8E">
            <w:pPr>
              <w:pageBreakBefore w:val="0"/>
              <w:kinsoku/>
              <w:wordWrap/>
              <w:overflowPunct/>
              <w:topLinePunct w:val="0"/>
              <w:bidi w:val="0"/>
              <w:spacing w:line="360" w:lineRule="auto"/>
              <w:jc w:val="center"/>
              <w:textAlignment w:val="auto"/>
              <w:rPr>
                <w:rFonts w:hint="eastAsia" w:ascii="宋体" w:hAnsi="宋体" w:eastAsia="宋体" w:cs="宋体"/>
                <w:bCs/>
                <w:color w:val="auto"/>
                <w:szCs w:val="21"/>
                <w:highlight w:val="none"/>
              </w:rPr>
            </w:pPr>
            <w:permStart w:id="127" w:edGrp="everyone"/>
            <w:r>
              <w:rPr>
                <w:rFonts w:hint="eastAsia" w:ascii="宋体" w:hAnsi="宋体" w:eastAsia="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1</w:t>
            </w:r>
            <w:r>
              <w:rPr>
                <w:rFonts w:hint="eastAsia" w:ascii="宋体" w:hAnsi="宋体" w:eastAsia="宋体" w:cs="宋体"/>
                <w:bCs/>
                <w:color w:val="auto"/>
                <w:szCs w:val="21"/>
                <w:highlight w:val="none"/>
                <w:u w:val="single"/>
              </w:rPr>
              <w:t xml:space="preserve">  </w:t>
            </w:r>
            <w:permEnd w:id="127"/>
            <w:r>
              <w:rPr>
                <w:rFonts w:hint="eastAsia" w:ascii="宋体" w:hAnsi="宋体" w:eastAsia="宋体" w:cs="宋体"/>
                <w:bCs/>
                <w:color w:val="auto"/>
                <w:szCs w:val="21"/>
                <w:highlight w:val="none"/>
              </w:rPr>
              <w:t>人</w:t>
            </w:r>
          </w:p>
        </w:tc>
        <w:tc>
          <w:tcPr>
            <w:tcW w:w="2412" w:type="dxa"/>
            <w:noWrap w:val="0"/>
            <w:vAlign w:val="center"/>
          </w:tcPr>
          <w:p w14:paraId="1DC9367D">
            <w:pPr>
              <w:pageBreakBefore w:val="0"/>
              <w:kinsoku/>
              <w:wordWrap/>
              <w:overflowPunct/>
              <w:topLinePunct w:val="0"/>
              <w:bidi w:val="0"/>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专业：</w:t>
            </w:r>
            <w:permStart w:id="128" w:edGrp="everyone"/>
            <w:r>
              <w:rPr>
                <w:rFonts w:hint="eastAsia" w:ascii="宋体" w:hAnsi="宋体" w:eastAsia="宋体" w:cs="宋体"/>
                <w:bCs/>
                <w:color w:val="auto"/>
                <w:szCs w:val="21"/>
                <w:highlight w:val="none"/>
                <w:u w:val="single"/>
              </w:rPr>
              <w:t xml:space="preserve"> </w:t>
            </w:r>
            <w:r>
              <w:rPr>
                <w:rFonts w:ascii="Times New Roman" w:hAnsi="Times New Roman"/>
                <w:bCs/>
                <w:szCs w:val="21"/>
                <w:u w:val="single"/>
              </w:rPr>
              <w:t>建筑</w:t>
            </w:r>
            <w:r>
              <w:rPr>
                <w:rFonts w:hint="eastAsia" w:ascii="Times New Roman" w:hAnsi="Times New Roman"/>
                <w:bCs/>
                <w:szCs w:val="21"/>
                <w:u w:val="single"/>
                <w:lang w:val="en-US" w:eastAsia="zh-CN"/>
              </w:rPr>
              <w:t>类</w:t>
            </w:r>
            <w:r>
              <w:rPr>
                <w:rFonts w:hint="eastAsia" w:ascii="宋体" w:hAnsi="宋体" w:eastAsia="宋体" w:cs="宋体"/>
                <w:bCs/>
                <w:color w:val="auto"/>
                <w:szCs w:val="21"/>
                <w:highlight w:val="none"/>
                <w:u w:val="single"/>
              </w:rPr>
              <w:t xml:space="preserve">  </w:t>
            </w:r>
            <w:permEnd w:id="128"/>
          </w:p>
          <w:p w14:paraId="78D9DC6C">
            <w:pPr>
              <w:pageBreakBefore w:val="0"/>
              <w:kinsoku/>
              <w:wordWrap/>
              <w:overflowPunct/>
              <w:topLinePunct w:val="0"/>
              <w:bidi w:val="0"/>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级别：</w:t>
            </w:r>
            <w:permStart w:id="129" w:edGrp="everyone"/>
            <w:r>
              <w:rPr>
                <w:rFonts w:hint="eastAsia" w:ascii="宋体" w:hAnsi="宋体" w:eastAsia="宋体" w:cs="宋体"/>
                <w:bCs/>
                <w:color w:val="auto"/>
                <w:szCs w:val="21"/>
                <w:highlight w:val="none"/>
                <w:u w:val="single"/>
              </w:rPr>
              <w:t xml:space="preserve"> </w:t>
            </w:r>
            <w:r>
              <w:rPr>
                <w:rFonts w:hint="eastAsia" w:ascii="宋体" w:hAnsi="宋体" w:cs="宋体"/>
                <w:bCs/>
                <w:szCs w:val="21"/>
                <w:u w:val="single"/>
                <w:lang w:bidi="ar"/>
              </w:rPr>
              <w:t>中级或以上职称</w:t>
            </w:r>
            <w:r>
              <w:rPr>
                <w:rFonts w:hint="eastAsia" w:ascii="宋体" w:hAnsi="宋体" w:eastAsia="宋体" w:cs="宋体"/>
                <w:bCs/>
                <w:color w:val="auto"/>
                <w:szCs w:val="21"/>
                <w:highlight w:val="none"/>
                <w:u w:val="single"/>
              </w:rPr>
              <w:t xml:space="preserve"> </w:t>
            </w:r>
            <w:permEnd w:id="129"/>
          </w:p>
        </w:tc>
        <w:tc>
          <w:tcPr>
            <w:tcW w:w="3589" w:type="dxa"/>
            <w:noWrap w:val="0"/>
            <w:vAlign w:val="center"/>
          </w:tcPr>
          <w:p w14:paraId="572EDE38">
            <w:pPr>
              <w:pageBreakBefore w:val="0"/>
              <w:kinsoku/>
              <w:wordWrap/>
              <w:overflowPunct/>
              <w:topLinePunct w:val="0"/>
              <w:bidi w:val="0"/>
              <w:spacing w:line="360" w:lineRule="auto"/>
              <w:ind w:firstLine="210" w:firstLineChars="1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提供技术负责人聘书、职称证、身份证及社保证明的复印件或扫描件</w:t>
            </w:r>
          </w:p>
        </w:tc>
      </w:tr>
      <w:tr w14:paraId="15B6C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836" w:type="dxa"/>
            <w:noWrap w:val="0"/>
            <w:vAlign w:val="center"/>
          </w:tcPr>
          <w:p w14:paraId="3D093A0A">
            <w:pPr>
              <w:pageBreakBefore w:val="0"/>
              <w:kinsoku/>
              <w:wordWrap/>
              <w:overflowPunct/>
              <w:topLinePunct w:val="0"/>
              <w:bidi w:val="0"/>
              <w:spacing w:line="360" w:lineRule="auto"/>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w:t>
            </w:r>
          </w:p>
        </w:tc>
        <w:tc>
          <w:tcPr>
            <w:tcW w:w="1171" w:type="dxa"/>
            <w:noWrap w:val="0"/>
            <w:vAlign w:val="center"/>
          </w:tcPr>
          <w:p w14:paraId="358154C7">
            <w:pPr>
              <w:pageBreakBefore w:val="0"/>
              <w:kinsoku/>
              <w:wordWrap/>
              <w:overflowPunct/>
              <w:topLinePunct w:val="0"/>
              <w:bidi w:val="0"/>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安全员</w:t>
            </w:r>
          </w:p>
        </w:tc>
        <w:tc>
          <w:tcPr>
            <w:tcW w:w="1654" w:type="dxa"/>
            <w:noWrap w:val="0"/>
            <w:vAlign w:val="center"/>
          </w:tcPr>
          <w:p w14:paraId="22919E73">
            <w:pPr>
              <w:pageBreakBefore w:val="0"/>
              <w:kinsoku/>
              <w:wordWrap/>
              <w:overflowPunct/>
              <w:topLinePunct w:val="0"/>
              <w:bidi w:val="0"/>
              <w:spacing w:line="360" w:lineRule="auto"/>
              <w:jc w:val="center"/>
              <w:textAlignment w:val="auto"/>
              <w:rPr>
                <w:rFonts w:hint="eastAsia" w:ascii="宋体" w:hAnsi="宋体" w:eastAsia="宋体" w:cs="宋体"/>
                <w:bCs/>
                <w:color w:val="auto"/>
                <w:szCs w:val="21"/>
                <w:highlight w:val="none"/>
              </w:rPr>
            </w:pPr>
            <w:permStart w:id="130" w:edGrp="everyone"/>
            <w:r>
              <w:rPr>
                <w:rFonts w:hint="eastAsia" w:ascii="宋体" w:hAnsi="宋体" w:eastAsia="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2</w:t>
            </w:r>
            <w:r>
              <w:rPr>
                <w:rFonts w:hint="eastAsia" w:ascii="宋体" w:hAnsi="宋体" w:eastAsia="宋体" w:cs="宋体"/>
                <w:bCs/>
                <w:color w:val="auto"/>
                <w:szCs w:val="21"/>
                <w:highlight w:val="none"/>
                <w:u w:val="single"/>
              </w:rPr>
              <w:t xml:space="preserve">  </w:t>
            </w:r>
            <w:permEnd w:id="130"/>
            <w:r>
              <w:rPr>
                <w:rFonts w:hint="eastAsia" w:ascii="宋体" w:hAnsi="宋体" w:eastAsia="宋体" w:cs="宋体"/>
                <w:bCs/>
                <w:color w:val="auto"/>
                <w:szCs w:val="21"/>
                <w:highlight w:val="none"/>
              </w:rPr>
              <w:t>人</w:t>
            </w:r>
          </w:p>
          <w:p w14:paraId="2A894A3A">
            <w:pPr>
              <w:pageBreakBefore w:val="0"/>
              <w:kinsoku/>
              <w:wordWrap/>
              <w:overflowPunct/>
              <w:topLinePunct w:val="0"/>
              <w:bidi w:val="0"/>
              <w:spacing w:line="360" w:lineRule="auto"/>
              <w:jc w:val="center"/>
              <w:textAlignment w:val="auto"/>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lang w:eastAsia="zh-CN"/>
              </w:rPr>
              <w:t>（含机械类安全员</w:t>
            </w:r>
            <w:permStart w:id="131" w:edGrp="everyone"/>
            <w:r>
              <w:rPr>
                <w:rFonts w:hint="eastAsia" w:ascii="宋体" w:hAnsi="宋体" w:cs="宋体"/>
                <w:bCs/>
                <w:color w:val="auto"/>
                <w:szCs w:val="21"/>
                <w:highlight w:val="none"/>
                <w:u w:val="single"/>
                <w:lang w:val="en-US" w:eastAsia="zh-CN"/>
              </w:rPr>
              <w:t xml:space="preserve"> 1 </w:t>
            </w:r>
            <w:permEnd w:id="131"/>
            <w:r>
              <w:rPr>
                <w:rFonts w:hint="eastAsia" w:ascii="宋体" w:hAnsi="宋体" w:cs="宋体"/>
                <w:bCs/>
                <w:color w:val="auto"/>
                <w:szCs w:val="21"/>
                <w:highlight w:val="none"/>
                <w:lang w:val="en-US" w:eastAsia="zh-CN"/>
              </w:rPr>
              <w:t>人</w:t>
            </w:r>
            <w:r>
              <w:rPr>
                <w:rFonts w:hint="eastAsia" w:ascii="宋体" w:hAnsi="宋体" w:cs="宋体"/>
                <w:bCs/>
                <w:color w:val="auto"/>
                <w:szCs w:val="21"/>
                <w:highlight w:val="none"/>
                <w:lang w:eastAsia="zh-CN"/>
              </w:rPr>
              <w:t>）</w:t>
            </w:r>
          </w:p>
        </w:tc>
        <w:tc>
          <w:tcPr>
            <w:tcW w:w="2412" w:type="dxa"/>
            <w:noWrap w:val="0"/>
            <w:vAlign w:val="center"/>
          </w:tcPr>
          <w:p w14:paraId="40010CBF">
            <w:pPr>
              <w:pageBreakBefore w:val="0"/>
              <w:kinsoku/>
              <w:wordWrap/>
              <w:overflowPunct/>
              <w:topLinePunct w:val="0"/>
              <w:bidi w:val="0"/>
              <w:spacing w:line="360" w:lineRule="auto"/>
              <w:jc w:val="center"/>
              <w:textAlignment w:val="auto"/>
              <w:rPr>
                <w:rFonts w:hint="eastAsia" w:ascii="宋体" w:hAnsi="宋体" w:eastAsia="宋体" w:cs="宋体"/>
                <w:color w:val="auto"/>
                <w:szCs w:val="21"/>
                <w:highlight w:val="none"/>
              </w:rPr>
            </w:pPr>
          </w:p>
        </w:tc>
        <w:tc>
          <w:tcPr>
            <w:tcW w:w="3589" w:type="dxa"/>
            <w:noWrap w:val="0"/>
            <w:vAlign w:val="center"/>
          </w:tcPr>
          <w:p w14:paraId="23722EF5">
            <w:pPr>
              <w:pageBreakBefore w:val="0"/>
              <w:kinsoku/>
              <w:wordWrap/>
              <w:overflowPunct/>
              <w:topLinePunct w:val="0"/>
              <w:bidi w:val="0"/>
              <w:spacing w:line="360" w:lineRule="auto"/>
              <w:ind w:left="0" w:hanging="10" w:firstLineChars="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提供安全生产考核合格证（</w:t>
            </w:r>
            <w:r>
              <w:rPr>
                <w:rFonts w:hint="eastAsia" w:ascii="宋体" w:hAnsi="宋体" w:eastAsia="宋体" w:cs="宋体"/>
                <w:bCs/>
                <w:color w:val="auto"/>
                <w:szCs w:val="21"/>
                <w:highlight w:val="none"/>
                <w:u w:val="none"/>
              </w:rPr>
              <w:t>C</w:t>
            </w:r>
            <w:r>
              <w:rPr>
                <w:rFonts w:hint="eastAsia" w:ascii="宋体" w:hAnsi="宋体" w:eastAsia="宋体" w:cs="宋体"/>
                <w:bCs/>
                <w:color w:val="auto"/>
                <w:szCs w:val="21"/>
                <w:highlight w:val="none"/>
                <w:u w:val="none"/>
                <w:lang w:eastAsia="zh-CN"/>
              </w:rPr>
              <w:t>类</w:t>
            </w:r>
            <w:r>
              <w:rPr>
                <w:rFonts w:hint="eastAsia" w:ascii="宋体" w:hAnsi="宋体" w:eastAsia="宋体" w:cs="宋体"/>
                <w:bCs/>
                <w:color w:val="auto"/>
                <w:szCs w:val="21"/>
                <w:highlight w:val="none"/>
              </w:rPr>
              <w:t>）、身份证及社保证明的复印件或扫描件</w:t>
            </w:r>
          </w:p>
        </w:tc>
      </w:tr>
      <w:tr w14:paraId="42426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836" w:type="dxa"/>
            <w:noWrap w:val="0"/>
            <w:vAlign w:val="center"/>
          </w:tcPr>
          <w:p w14:paraId="00D1980F">
            <w:pPr>
              <w:pageBreakBefore w:val="0"/>
              <w:kinsoku/>
              <w:wordWrap/>
              <w:overflowPunct/>
              <w:topLinePunct w:val="0"/>
              <w:bidi w:val="0"/>
              <w:spacing w:line="360" w:lineRule="auto"/>
              <w:jc w:val="center"/>
              <w:textAlignment w:val="auto"/>
              <w:rPr>
                <w:rFonts w:hint="eastAsia"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4</w:t>
            </w:r>
          </w:p>
        </w:tc>
        <w:tc>
          <w:tcPr>
            <w:tcW w:w="1171" w:type="dxa"/>
            <w:noWrap w:val="0"/>
            <w:vAlign w:val="center"/>
          </w:tcPr>
          <w:p w14:paraId="382553EF">
            <w:pPr>
              <w:pageBreakBefore w:val="0"/>
              <w:kinsoku/>
              <w:wordWrap/>
              <w:overflowPunct/>
              <w:topLinePunct w:val="0"/>
              <w:bidi w:val="0"/>
              <w:spacing w:line="360" w:lineRule="auto"/>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安全总监</w:t>
            </w:r>
          </w:p>
        </w:tc>
        <w:tc>
          <w:tcPr>
            <w:tcW w:w="1654" w:type="dxa"/>
            <w:noWrap w:val="0"/>
            <w:vAlign w:val="center"/>
          </w:tcPr>
          <w:p w14:paraId="5910023D">
            <w:pPr>
              <w:pageBreakBefore w:val="0"/>
              <w:kinsoku/>
              <w:wordWrap/>
              <w:overflowPunct/>
              <w:topLinePunct w:val="0"/>
              <w:bidi w:val="0"/>
              <w:spacing w:line="360" w:lineRule="auto"/>
              <w:jc w:val="center"/>
              <w:textAlignment w:val="auto"/>
              <w:rPr>
                <w:rFonts w:hint="eastAsia" w:ascii="宋体" w:hAnsi="宋体" w:eastAsia="宋体" w:cs="宋体"/>
                <w:bCs/>
                <w:color w:val="auto"/>
                <w:szCs w:val="21"/>
                <w:highlight w:val="none"/>
                <w:u w:val="single"/>
              </w:rPr>
            </w:pPr>
            <w:permStart w:id="132" w:edGrp="everyone"/>
            <w:r>
              <w:rPr>
                <w:rFonts w:hint="eastAsia" w:ascii="宋体" w:hAnsi="宋体" w:eastAsia="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w:t>
            </w:r>
            <w:r>
              <w:rPr>
                <w:rFonts w:hint="eastAsia" w:ascii="宋体" w:hAnsi="宋体" w:eastAsia="宋体" w:cs="宋体"/>
                <w:bCs/>
                <w:color w:val="auto"/>
                <w:szCs w:val="21"/>
                <w:highlight w:val="none"/>
                <w:u w:val="single"/>
              </w:rPr>
              <w:t xml:space="preserve"> </w:t>
            </w:r>
            <w:permEnd w:id="132"/>
            <w:r>
              <w:rPr>
                <w:rFonts w:hint="eastAsia" w:ascii="宋体" w:hAnsi="宋体" w:eastAsia="宋体" w:cs="宋体"/>
                <w:bCs/>
                <w:color w:val="auto"/>
                <w:szCs w:val="21"/>
                <w:highlight w:val="none"/>
              </w:rPr>
              <w:t>人</w:t>
            </w:r>
          </w:p>
        </w:tc>
        <w:tc>
          <w:tcPr>
            <w:tcW w:w="2412" w:type="dxa"/>
            <w:noWrap w:val="0"/>
            <w:vAlign w:val="center"/>
          </w:tcPr>
          <w:p w14:paraId="737A5078">
            <w:pPr>
              <w:pageBreakBefore w:val="0"/>
              <w:kinsoku/>
              <w:wordWrap/>
              <w:overflowPunct/>
              <w:topLinePunct w:val="0"/>
              <w:bidi w:val="0"/>
              <w:spacing w:line="360" w:lineRule="auto"/>
              <w:jc w:val="center"/>
              <w:textAlignment w:val="auto"/>
              <w:rPr>
                <w:rFonts w:hint="eastAsia" w:ascii="宋体" w:hAnsi="宋体" w:eastAsia="宋体" w:cs="宋体"/>
                <w:color w:val="auto"/>
                <w:szCs w:val="21"/>
                <w:highlight w:val="none"/>
              </w:rPr>
            </w:pPr>
          </w:p>
        </w:tc>
        <w:tc>
          <w:tcPr>
            <w:tcW w:w="3589" w:type="dxa"/>
            <w:noWrap w:val="0"/>
            <w:vAlign w:val="center"/>
          </w:tcPr>
          <w:p w14:paraId="10F4E01F">
            <w:pPr>
              <w:pageBreakBefore w:val="0"/>
              <w:kinsoku/>
              <w:wordWrap/>
              <w:overflowPunct/>
              <w:topLinePunct w:val="0"/>
              <w:bidi w:val="0"/>
              <w:spacing w:line="360" w:lineRule="auto"/>
              <w:ind w:left="0" w:hanging="10" w:firstLineChars="0"/>
              <w:textAlignment w:val="auto"/>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lang w:eastAsia="zh-CN"/>
              </w:rPr>
              <w:t>提供注册安全工程师证（建筑施工安全类）、安全生产考核合格证（</w:t>
            </w:r>
            <w:r>
              <w:rPr>
                <w:rFonts w:hint="eastAsia" w:ascii="宋体" w:hAnsi="宋体" w:cs="宋体"/>
                <w:bCs/>
                <w:color w:val="auto"/>
                <w:szCs w:val="21"/>
                <w:highlight w:val="none"/>
                <w:lang w:val="en-US" w:eastAsia="zh-CN"/>
              </w:rPr>
              <w:t>B证</w:t>
            </w:r>
            <w:r>
              <w:rPr>
                <w:rFonts w:hint="eastAsia" w:ascii="宋体" w:hAnsi="宋体" w:cs="宋体"/>
                <w:bCs/>
                <w:color w:val="auto"/>
                <w:szCs w:val="21"/>
                <w:highlight w:val="none"/>
                <w:lang w:eastAsia="zh-CN"/>
              </w:rPr>
              <w:t>）、身份证及社保证明的复印件或扫描件</w:t>
            </w:r>
          </w:p>
        </w:tc>
      </w:tr>
    </w:tbl>
    <w:p w14:paraId="01188417">
      <w:pPr>
        <w:pageBreakBefore w:val="0"/>
        <w:kinsoku/>
        <w:wordWrap/>
        <w:overflowPunct/>
        <w:topLinePunct w:val="0"/>
        <w:bidi w:val="0"/>
        <w:spacing w:line="360" w:lineRule="auto"/>
        <w:textAlignment w:val="auto"/>
        <w:rPr>
          <w:rFonts w:hint="eastAsia" w:ascii="宋体" w:hAnsi="宋体" w:eastAsia="宋体" w:cs="宋体"/>
          <w:bCs/>
          <w:color w:val="auto"/>
          <w:szCs w:val="21"/>
          <w:highlight w:val="none"/>
          <w:lang w:val="en-US" w:eastAsia="zh-CN"/>
        </w:rPr>
      </w:pPr>
    </w:p>
    <w:p w14:paraId="3D50F6C5">
      <w:pPr>
        <w:pageBreakBefore w:val="0"/>
        <w:kinsoku/>
        <w:wordWrap/>
        <w:overflowPunct/>
        <w:topLinePunct w:val="0"/>
        <w:bidi w:val="0"/>
        <w:spacing w:line="360" w:lineRule="auto"/>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 xml:space="preserve">12.1 </w:t>
      </w:r>
      <w:r>
        <w:rPr>
          <w:rFonts w:hint="eastAsia" w:ascii="宋体" w:hAnsi="宋体" w:eastAsia="宋体" w:cs="宋体"/>
          <w:bCs/>
          <w:color w:val="auto"/>
          <w:szCs w:val="21"/>
          <w:highlight w:val="none"/>
        </w:rPr>
        <w:t>项目管理机构人员必须是投标人的员工。若联合体投标，项目负责人由牵头单位委派。一人一职，不得兼任。</w:t>
      </w:r>
    </w:p>
    <w:p w14:paraId="21F916A2">
      <w:pPr>
        <w:pageBreakBefore w:val="0"/>
        <w:kinsoku/>
        <w:wordWrap/>
        <w:overflowPunct/>
        <w:topLinePunct w:val="0"/>
        <w:bidi w:val="0"/>
        <w:spacing w:line="360" w:lineRule="auto"/>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 xml:space="preserve">12.2 </w:t>
      </w:r>
      <w:r>
        <w:rPr>
          <w:rFonts w:hint="eastAsia" w:ascii="宋体" w:hAnsi="宋体" w:eastAsia="宋体" w:cs="宋体"/>
          <w:bCs/>
          <w:color w:val="auto"/>
          <w:szCs w:val="21"/>
          <w:highlight w:val="none"/>
        </w:rPr>
        <w:t>拟投入本</w:t>
      </w:r>
      <w:r>
        <w:rPr>
          <w:rFonts w:hint="eastAsia" w:ascii="宋体" w:hAnsi="宋体" w:eastAsia="宋体" w:cs="宋体"/>
          <w:bCs/>
          <w:color w:val="auto"/>
          <w:szCs w:val="21"/>
          <w:highlight w:val="none"/>
          <w:lang w:eastAsia="zh-CN"/>
        </w:rPr>
        <w:t>项目</w:t>
      </w:r>
      <w:r>
        <w:rPr>
          <w:rFonts w:hint="eastAsia" w:ascii="宋体" w:hAnsi="宋体" w:eastAsia="宋体" w:cs="宋体"/>
          <w:bCs/>
          <w:color w:val="auto"/>
          <w:szCs w:val="21"/>
          <w:highlight w:val="none"/>
          <w:lang w:val="en-US" w:eastAsia="zh-CN"/>
        </w:rPr>
        <w:t>的</w:t>
      </w:r>
      <w:r>
        <w:rPr>
          <w:rFonts w:hint="eastAsia" w:ascii="宋体" w:hAnsi="宋体" w:eastAsia="宋体" w:cs="宋体"/>
          <w:bCs/>
          <w:color w:val="auto"/>
          <w:szCs w:val="21"/>
          <w:highlight w:val="none"/>
        </w:rPr>
        <w:t>人员</w:t>
      </w:r>
      <w:r>
        <w:rPr>
          <w:rFonts w:hint="eastAsia" w:ascii="宋体" w:hAnsi="宋体" w:eastAsia="宋体" w:cs="宋体"/>
          <w:bCs/>
          <w:color w:val="auto"/>
          <w:szCs w:val="21"/>
          <w:highlight w:val="none"/>
          <w:lang w:val="en-US" w:eastAsia="zh-CN"/>
        </w:rPr>
        <w:t>须提交的</w:t>
      </w:r>
      <w:r>
        <w:rPr>
          <w:rFonts w:hint="eastAsia" w:ascii="宋体" w:hAnsi="宋体" w:eastAsia="宋体" w:cs="宋体"/>
          <w:bCs/>
          <w:color w:val="auto"/>
          <w:szCs w:val="21"/>
          <w:highlight w:val="none"/>
        </w:rPr>
        <w:t>社保证明应为</w:t>
      </w:r>
      <w:permStart w:id="133" w:edGrp="everyone"/>
      <w:r>
        <w:rPr>
          <w:rFonts w:hint="eastAsia" w:ascii="宋体" w:hAnsi="宋体" w:eastAsia="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2026</w:t>
      </w:r>
      <w:r>
        <w:rPr>
          <w:rFonts w:hint="eastAsia" w:ascii="宋体" w:hAnsi="宋体" w:eastAsia="宋体" w:cs="宋体"/>
          <w:color w:val="auto"/>
          <w:szCs w:val="21"/>
          <w:highlight w:val="none"/>
          <w:u w:val="single"/>
        </w:rPr>
        <w:t xml:space="preserve"> </w:t>
      </w:r>
      <w:permEnd w:id="133"/>
      <w:r>
        <w:rPr>
          <w:rFonts w:hint="eastAsia" w:ascii="宋体" w:hAnsi="宋体" w:eastAsia="宋体" w:cs="宋体"/>
          <w:color w:val="auto"/>
          <w:szCs w:val="21"/>
          <w:highlight w:val="none"/>
        </w:rPr>
        <w:t>年</w:t>
      </w:r>
      <w:permStart w:id="134"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7</w:t>
      </w:r>
      <w:r>
        <w:rPr>
          <w:rFonts w:hint="eastAsia" w:ascii="宋体" w:hAnsi="宋体" w:eastAsia="宋体" w:cs="宋体"/>
          <w:color w:val="auto"/>
          <w:szCs w:val="21"/>
          <w:highlight w:val="none"/>
          <w:u w:val="single"/>
        </w:rPr>
        <w:t xml:space="preserve"> </w:t>
      </w:r>
      <w:permEnd w:id="134"/>
      <w:r>
        <w:rPr>
          <w:rFonts w:hint="eastAsia" w:ascii="宋体" w:hAnsi="宋体" w:eastAsia="宋体" w:cs="宋体"/>
          <w:color w:val="auto"/>
          <w:szCs w:val="21"/>
          <w:highlight w:val="none"/>
        </w:rPr>
        <w:t>月至</w:t>
      </w:r>
      <w:permStart w:id="135"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2026</w:t>
      </w:r>
      <w:r>
        <w:rPr>
          <w:rFonts w:hint="eastAsia" w:ascii="宋体" w:hAnsi="宋体" w:eastAsia="宋体" w:cs="宋体"/>
          <w:color w:val="auto"/>
          <w:szCs w:val="21"/>
          <w:highlight w:val="none"/>
          <w:u w:val="single"/>
        </w:rPr>
        <w:t xml:space="preserve"> </w:t>
      </w:r>
      <w:permEnd w:id="135"/>
      <w:r>
        <w:rPr>
          <w:rFonts w:hint="eastAsia" w:ascii="宋体" w:hAnsi="宋体" w:eastAsia="宋体" w:cs="宋体"/>
          <w:color w:val="auto"/>
          <w:szCs w:val="21"/>
          <w:highlight w:val="none"/>
        </w:rPr>
        <w:t>年</w:t>
      </w:r>
      <w:permStart w:id="136"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rPr>
        <w:t xml:space="preserve"> </w:t>
      </w:r>
      <w:permEnd w:id="136"/>
      <w:r>
        <w:rPr>
          <w:rFonts w:hint="eastAsia" w:ascii="宋体" w:hAnsi="宋体" w:eastAsia="宋体" w:cs="宋体"/>
          <w:color w:val="auto"/>
          <w:szCs w:val="21"/>
          <w:highlight w:val="none"/>
        </w:rPr>
        <w:t>月</w:t>
      </w:r>
      <w:r>
        <w:rPr>
          <w:rFonts w:hint="eastAsia" w:ascii="宋体" w:hAnsi="宋体" w:eastAsia="宋体" w:cs="宋体"/>
          <w:bCs/>
          <w:color w:val="auto"/>
          <w:szCs w:val="21"/>
          <w:highlight w:val="none"/>
          <w:lang w:val="en-US" w:eastAsia="zh-CN"/>
        </w:rPr>
        <w:t>连续</w:t>
      </w:r>
      <w:permStart w:id="137" w:edGrp="everyone"/>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3</w:t>
      </w:r>
      <w:r>
        <w:rPr>
          <w:rFonts w:hint="eastAsia" w:ascii="宋体" w:hAnsi="宋体" w:eastAsia="宋体" w:cs="宋体"/>
          <w:color w:val="auto"/>
          <w:szCs w:val="21"/>
          <w:highlight w:val="none"/>
          <w:u w:val="single"/>
        </w:rPr>
        <w:t xml:space="preserve"> </w:t>
      </w:r>
      <w:permEnd w:id="137"/>
      <w:r>
        <w:rPr>
          <w:rFonts w:hint="eastAsia" w:ascii="宋体" w:hAnsi="宋体" w:eastAsia="宋体" w:cs="宋体"/>
          <w:bCs/>
          <w:color w:val="auto"/>
          <w:szCs w:val="21"/>
          <w:highlight w:val="none"/>
          <w:lang w:val="en-US" w:eastAsia="zh-CN"/>
        </w:rPr>
        <w:t>个月的</w:t>
      </w:r>
      <w:r>
        <w:rPr>
          <w:rFonts w:hint="eastAsia" w:ascii="宋体" w:hAnsi="宋体" w:eastAsia="宋体" w:cs="宋体"/>
          <w:bCs/>
          <w:color w:val="auto"/>
          <w:szCs w:val="21"/>
          <w:highlight w:val="none"/>
        </w:rPr>
        <w:t>社保证明</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w:t>
      </w:r>
      <w:r>
        <w:rPr>
          <w:rFonts w:hint="eastAsia" w:ascii="宋体" w:hAnsi="宋体" w:cs="宋体"/>
          <w:bCs/>
          <w:color w:val="auto"/>
          <w:szCs w:val="21"/>
          <w:highlight w:val="none"/>
          <w:lang w:val="en-US" w:eastAsia="zh-CN"/>
        </w:rPr>
        <w:t>招标人</w:t>
      </w:r>
      <w:r>
        <w:rPr>
          <w:rFonts w:hint="eastAsia" w:ascii="宋体" w:hAnsi="宋体" w:eastAsia="宋体" w:cs="宋体"/>
          <w:bCs/>
          <w:color w:val="auto"/>
          <w:szCs w:val="21"/>
          <w:highlight w:val="none"/>
          <w:lang w:val="en-US" w:eastAsia="zh-CN"/>
        </w:rPr>
        <w:t>设定的</w:t>
      </w:r>
      <w:r>
        <w:rPr>
          <w:rFonts w:hint="eastAsia" w:ascii="宋体" w:hAnsi="宋体" w:eastAsia="宋体" w:cs="宋体"/>
          <w:color w:val="auto"/>
          <w:szCs w:val="21"/>
          <w:highlight w:val="none"/>
          <w:u w:val="none"/>
        </w:rPr>
        <w:t>时间</w:t>
      </w:r>
      <w:r>
        <w:rPr>
          <w:rFonts w:hint="eastAsia" w:ascii="宋体" w:hAnsi="宋体" w:cs="宋体"/>
          <w:color w:val="auto"/>
          <w:szCs w:val="21"/>
          <w:highlight w:val="none"/>
          <w:u w:val="none"/>
          <w:lang w:eastAsia="zh-CN"/>
        </w:rPr>
        <w:t>应</w:t>
      </w:r>
      <w:r>
        <w:rPr>
          <w:rFonts w:hint="eastAsia" w:ascii="宋体" w:hAnsi="宋体" w:eastAsia="宋体" w:cs="宋体"/>
          <w:color w:val="auto"/>
          <w:szCs w:val="21"/>
          <w:highlight w:val="none"/>
          <w:u w:val="none"/>
        </w:rPr>
        <w:t>不少于3</w:t>
      </w:r>
      <w:r>
        <w:rPr>
          <w:rFonts w:hint="eastAsia" w:ascii="宋体" w:hAnsi="宋体" w:eastAsia="宋体" w:cs="宋体"/>
          <w:color w:val="auto"/>
          <w:szCs w:val="21"/>
          <w:highlight w:val="none"/>
          <w:u w:val="none"/>
          <w:lang w:val="en-US" w:eastAsia="zh-CN"/>
        </w:rPr>
        <w:t>个月</w:t>
      </w:r>
      <w:r>
        <w:rPr>
          <w:rFonts w:hint="eastAsia" w:ascii="宋体" w:hAnsi="宋体" w:eastAsia="宋体" w:cs="宋体"/>
          <w:color w:val="auto"/>
          <w:szCs w:val="21"/>
          <w:highlight w:val="none"/>
          <w:u w:val="none"/>
        </w:rPr>
        <w:t>，且不得超过</w:t>
      </w:r>
      <w:r>
        <w:rPr>
          <w:rFonts w:hint="eastAsia" w:ascii="宋体" w:hAnsi="宋体" w:eastAsia="宋体" w:cs="宋体"/>
          <w:color w:val="auto"/>
          <w:szCs w:val="21"/>
          <w:highlight w:val="none"/>
          <w:u w:val="none"/>
          <w:lang w:val="en-US" w:eastAsia="zh-CN"/>
        </w:rPr>
        <w:t>6个月。园林绿化项目按《关于规范中山市园林绿化工程项目施工招投标有关工作的通知（修订）》（中建通〔2021〕72号）执行。</w:t>
      </w:r>
      <w:r>
        <w:rPr>
          <w:rFonts w:hint="eastAsia" w:ascii="宋体" w:hAnsi="宋体" w:eastAsia="宋体" w:cs="宋体"/>
          <w:bCs/>
          <w:color w:val="auto"/>
          <w:szCs w:val="21"/>
          <w:highlight w:val="none"/>
          <w:lang w:eastAsia="zh-CN"/>
        </w:rPr>
        <w:t>）</w:t>
      </w:r>
    </w:p>
    <w:p w14:paraId="1392A94A">
      <w:pPr>
        <w:pageBreakBefore w:val="0"/>
        <w:kinsoku/>
        <w:wordWrap/>
        <w:overflowPunct/>
        <w:topLinePunct w:val="0"/>
        <w:bidi w:val="0"/>
        <w:spacing w:line="360" w:lineRule="auto"/>
        <w:ind w:firstLine="420" w:firstLineChars="200"/>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12.3 技术负责人聘书格式不限，但需体现聘任的岗位为企业或项目技术负责人。</w:t>
      </w:r>
    </w:p>
    <w:p w14:paraId="0DA2A69B">
      <w:pPr>
        <w:pageBreakBefore w:val="0"/>
        <w:kinsoku/>
        <w:wordWrap/>
        <w:overflowPunct/>
        <w:topLinePunct w:val="0"/>
        <w:bidi w:val="0"/>
        <w:spacing w:line="360" w:lineRule="auto"/>
        <w:ind w:firstLine="420" w:firstLineChars="200"/>
        <w:textAlignment w:val="auto"/>
        <w:rPr>
          <w:rFonts w:hint="eastAsia" w:ascii="宋体" w:hAnsi="宋体" w:eastAsia="宋体" w:cs="宋体"/>
          <w:bCs/>
          <w:color w:val="auto"/>
          <w:szCs w:val="21"/>
          <w:highlight w:val="none"/>
        </w:rPr>
      </w:pPr>
      <w:r>
        <w:rPr>
          <w:rFonts w:hint="eastAsia" w:ascii="宋体" w:hAnsi="宋体" w:cs="宋体"/>
          <w:bCs/>
          <w:color w:val="auto"/>
          <w:szCs w:val="21"/>
          <w:highlight w:val="none"/>
          <w:lang w:val="en-US" w:eastAsia="zh-CN"/>
        </w:rPr>
        <w:t xml:space="preserve">12.4 </w:t>
      </w:r>
      <w:r>
        <w:rPr>
          <w:rFonts w:hint="eastAsia" w:ascii="宋体" w:hAnsi="宋体" w:eastAsia="宋体" w:cs="宋体"/>
          <w:bCs/>
          <w:color w:val="auto"/>
          <w:szCs w:val="21"/>
          <w:highlight w:val="none"/>
        </w:rPr>
        <w:t>拟投入本</w:t>
      </w:r>
      <w:r>
        <w:rPr>
          <w:rFonts w:hint="eastAsia" w:ascii="宋体" w:hAnsi="宋体" w:eastAsia="宋体" w:cs="宋体"/>
          <w:bCs/>
          <w:color w:val="auto"/>
          <w:szCs w:val="21"/>
          <w:highlight w:val="none"/>
          <w:lang w:eastAsia="zh-CN"/>
        </w:rPr>
        <w:t>项目的</w:t>
      </w:r>
      <w:r>
        <w:rPr>
          <w:rFonts w:hint="eastAsia" w:ascii="宋体" w:hAnsi="宋体" w:eastAsia="宋体" w:cs="宋体"/>
          <w:bCs/>
          <w:color w:val="auto"/>
          <w:szCs w:val="21"/>
          <w:highlight w:val="none"/>
        </w:rPr>
        <w:t>人员必须满足以上要求，其中一项不满足的，</w:t>
      </w:r>
      <w:r>
        <w:rPr>
          <w:rFonts w:hint="eastAsia" w:ascii="宋体" w:hAnsi="宋体" w:eastAsia="宋体" w:cs="宋体"/>
          <w:b/>
          <w:bCs/>
          <w:color w:val="auto"/>
          <w:szCs w:val="21"/>
          <w:highlight w:val="none"/>
        </w:rPr>
        <w:t>则评审不合格，</w:t>
      </w:r>
      <w:r>
        <w:rPr>
          <w:rFonts w:hint="eastAsia" w:ascii="宋体" w:hAnsi="宋体" w:eastAsia="宋体" w:cs="宋体"/>
          <w:bCs/>
          <w:color w:val="auto"/>
          <w:szCs w:val="21"/>
          <w:highlight w:val="none"/>
        </w:rPr>
        <w:t>以上表格中要求提交的资料必须齐全、合法、真实、有效，否则作</w:t>
      </w:r>
      <w:r>
        <w:rPr>
          <w:rFonts w:hint="eastAsia" w:ascii="宋体" w:hAnsi="宋体" w:eastAsia="宋体" w:cs="宋体"/>
          <w:bCs/>
          <w:color w:val="auto"/>
          <w:szCs w:val="21"/>
          <w:highlight w:val="none"/>
          <w:lang w:eastAsia="zh-CN"/>
        </w:rPr>
        <w:t>否决投</w:t>
      </w:r>
      <w:r>
        <w:rPr>
          <w:rFonts w:hint="eastAsia" w:ascii="宋体" w:hAnsi="宋体" w:eastAsia="宋体" w:cs="宋体"/>
          <w:bCs/>
          <w:color w:val="auto"/>
          <w:szCs w:val="21"/>
          <w:highlight w:val="none"/>
        </w:rPr>
        <w:t>标处理</w:t>
      </w:r>
      <w:r>
        <w:rPr>
          <w:rFonts w:hint="eastAsia" w:ascii="宋体" w:hAnsi="宋体" w:eastAsia="宋体" w:cs="宋体"/>
          <w:b/>
          <w:bCs/>
          <w:color w:val="auto"/>
          <w:szCs w:val="21"/>
          <w:highlight w:val="none"/>
        </w:rPr>
        <w:t>。</w:t>
      </w:r>
    </w:p>
    <w:p w14:paraId="3C6AC639">
      <w:pPr>
        <w:pageBreakBefore w:val="0"/>
        <w:kinsoku/>
        <w:wordWrap/>
        <w:overflowPunct/>
        <w:topLinePunct w:val="0"/>
        <w:bidi w:val="0"/>
        <w:spacing w:line="360" w:lineRule="auto"/>
        <w:ind w:firstLine="422" w:firstLineChars="200"/>
        <w:textAlignment w:val="auto"/>
        <w:rPr>
          <w:rFonts w:hint="eastAsia" w:ascii="宋体" w:hAnsi="宋体" w:eastAsia="宋体" w:cs="宋体"/>
          <w:b w:val="0"/>
          <w:bCs w:val="0"/>
          <w:color w:val="auto"/>
          <w:szCs w:val="21"/>
          <w:highlight w:val="none"/>
          <w:lang w:eastAsia="zh-CN"/>
        </w:rPr>
      </w:pPr>
      <w:r>
        <w:rPr>
          <w:rFonts w:hint="eastAsia" w:ascii="宋体" w:hAnsi="宋体" w:eastAsia="宋体" w:cs="宋体"/>
          <w:b/>
          <w:bCs/>
          <w:color w:val="auto"/>
          <w:szCs w:val="21"/>
          <w:highlight w:val="none"/>
          <w:shd w:val="clear" w:color="auto" w:fill="auto"/>
          <w:lang w:val="en-US" w:eastAsia="zh-CN"/>
        </w:rPr>
        <w:t>12.</w:t>
      </w:r>
      <w:r>
        <w:rPr>
          <w:rFonts w:hint="eastAsia" w:ascii="宋体" w:hAnsi="宋体" w:cs="宋体"/>
          <w:b/>
          <w:bCs/>
          <w:color w:val="auto"/>
          <w:szCs w:val="21"/>
          <w:highlight w:val="none"/>
          <w:shd w:val="clear" w:color="auto" w:fill="auto"/>
          <w:lang w:val="en-US" w:eastAsia="zh-CN"/>
        </w:rPr>
        <w:t>5</w:t>
      </w:r>
      <w:r>
        <w:rPr>
          <w:rFonts w:hint="eastAsia" w:ascii="宋体" w:hAnsi="宋体" w:eastAsia="宋体" w:cs="宋体"/>
          <w:b/>
          <w:bCs/>
          <w:color w:val="auto"/>
          <w:szCs w:val="21"/>
          <w:highlight w:val="none"/>
          <w:shd w:val="clear" w:color="auto" w:fill="auto"/>
          <w:lang w:val="en-US" w:eastAsia="zh-CN"/>
        </w:rPr>
        <w:t xml:space="preserve"> 根据《</w:t>
      </w:r>
      <w:r>
        <w:rPr>
          <w:rFonts w:hint="eastAsia" w:ascii="宋体" w:hAnsi="宋体" w:eastAsia="宋体" w:cs="宋体"/>
          <w:b/>
          <w:bCs/>
          <w:i w:val="0"/>
          <w:iCs w:val="0"/>
          <w:caps w:val="0"/>
          <w:color w:val="auto"/>
          <w:spacing w:val="0"/>
          <w:sz w:val="21"/>
          <w:szCs w:val="21"/>
          <w:highlight w:val="none"/>
          <w:shd w:val="clear" w:color="auto" w:fill="auto"/>
        </w:rPr>
        <w:t>住房和城乡建设部办公厅关于全面实行一级建造师电子注册证书的通知</w:t>
      </w:r>
      <w:r>
        <w:rPr>
          <w:rFonts w:hint="eastAsia" w:ascii="宋体" w:hAnsi="宋体" w:eastAsia="宋体" w:cs="宋体"/>
          <w:b/>
          <w:bCs/>
          <w:color w:val="auto"/>
          <w:szCs w:val="21"/>
          <w:highlight w:val="none"/>
          <w:shd w:val="clear" w:color="auto" w:fill="auto"/>
          <w:lang w:val="en-US" w:eastAsia="zh-CN"/>
        </w:rPr>
        <w:t>》（</w:t>
      </w:r>
      <w:r>
        <w:rPr>
          <w:rFonts w:hint="eastAsia" w:ascii="宋体" w:hAnsi="宋体" w:eastAsia="宋体" w:cs="宋体"/>
          <w:b/>
          <w:bCs/>
          <w:i w:val="0"/>
          <w:iCs w:val="0"/>
          <w:caps w:val="0"/>
          <w:color w:val="auto"/>
          <w:spacing w:val="0"/>
          <w:sz w:val="21"/>
          <w:szCs w:val="21"/>
          <w:highlight w:val="none"/>
          <w:shd w:val="clear" w:color="auto" w:fill="auto"/>
        </w:rPr>
        <w:t>建办市〔2021〕40号</w:t>
      </w:r>
      <w:r>
        <w:rPr>
          <w:rFonts w:hint="eastAsia" w:ascii="宋体" w:hAnsi="宋体" w:eastAsia="宋体" w:cs="宋体"/>
          <w:b/>
          <w:bCs/>
          <w:color w:val="auto"/>
          <w:szCs w:val="21"/>
          <w:highlight w:val="none"/>
          <w:shd w:val="clear" w:color="auto" w:fill="auto"/>
          <w:lang w:val="en-US" w:eastAsia="zh-CN"/>
        </w:rPr>
        <w:t>）</w:t>
      </w:r>
      <w:r>
        <w:rPr>
          <w:rFonts w:hint="eastAsia" w:ascii="宋体" w:hAnsi="宋体" w:eastAsia="宋体" w:cs="宋体"/>
          <w:b/>
          <w:bCs/>
          <w:i w:val="0"/>
          <w:iCs w:val="0"/>
          <w:caps w:val="0"/>
          <w:color w:val="auto"/>
          <w:spacing w:val="0"/>
          <w:sz w:val="21"/>
          <w:szCs w:val="21"/>
          <w:highlight w:val="none"/>
          <w:shd w:val="clear" w:color="auto" w:fill="auto"/>
        </w:rPr>
        <w:t>自2022年1月1日起，一级建造师统一使用电子证书，纸质注册证书作废。</w:t>
      </w:r>
    </w:p>
    <w:p w14:paraId="1F4EF65A">
      <w:pPr>
        <w:pageBreakBefore w:val="0"/>
        <w:kinsoku/>
        <w:wordWrap/>
        <w:overflowPunct/>
        <w:topLinePunct w:val="0"/>
        <w:bidi w:val="0"/>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12.</w:t>
      </w:r>
      <w:r>
        <w:rPr>
          <w:rFonts w:hint="eastAsia" w:ascii="宋体" w:hAnsi="宋体" w:cs="宋体"/>
          <w:b/>
          <w:bCs/>
          <w:color w:val="auto"/>
          <w:szCs w:val="21"/>
          <w:highlight w:val="none"/>
          <w:lang w:val="en-US" w:eastAsia="zh-CN"/>
        </w:rPr>
        <w:t>6</w:t>
      </w:r>
      <w:r>
        <w:rPr>
          <w:rFonts w:hint="eastAsia" w:ascii="宋体" w:hAnsi="宋体" w:eastAsia="宋体" w:cs="宋体"/>
          <w:b/>
          <w:bCs/>
          <w:color w:val="auto"/>
          <w:szCs w:val="21"/>
          <w:highlight w:val="none"/>
          <w:lang w:val="en-US" w:eastAsia="zh-CN"/>
        </w:rPr>
        <w:t xml:space="preserve"> </w:t>
      </w:r>
      <w:r>
        <w:rPr>
          <w:rFonts w:hint="eastAsia" w:ascii="宋体" w:hAnsi="宋体" w:eastAsia="宋体" w:cs="宋体"/>
          <w:b/>
          <w:bCs/>
          <w:color w:val="auto"/>
          <w:szCs w:val="21"/>
          <w:highlight w:val="none"/>
        </w:rPr>
        <w:t>根据《注册建造师管理规定》注册建造师不得同时在两个及两个以上的建设工程项目上担任施工单位项目负责人的规定</w:t>
      </w:r>
      <w:r>
        <w:rPr>
          <w:rFonts w:hint="eastAsia" w:ascii="宋体" w:hAnsi="宋体" w:eastAsia="宋体" w:cs="宋体"/>
          <w:b/>
          <w:bCs/>
          <w:color w:val="auto"/>
          <w:szCs w:val="21"/>
          <w:highlight w:val="none"/>
          <w:lang w:eastAsia="zh-CN"/>
        </w:rPr>
        <w:t>，</w:t>
      </w:r>
      <w:r>
        <w:rPr>
          <w:rFonts w:hint="eastAsia" w:ascii="宋体" w:hAnsi="宋体" w:cs="宋体"/>
          <w:b/>
          <w:bCs/>
          <w:color w:val="auto"/>
          <w:szCs w:val="21"/>
          <w:highlight w:val="none"/>
        </w:rPr>
        <w:t>投标人应审慎采取选派一名项目负责人参加多个工程项目投标竞争的行为。本项目投标人拟派出的项目负责人不能在其他在建项目担任中担任项目负责人，或者虽在其他在建项目上担任项目负责人但须在本项目中标后（中标通知书发出之日起30日内）从该项目撤离，否则视为不满足招标文件要求，招标人将取消其中标资格。</w:t>
      </w:r>
    </w:p>
    <w:p w14:paraId="5D721F2F">
      <w:pPr>
        <w:pStyle w:val="3"/>
        <w:numPr>
          <w:ilvl w:val="0"/>
          <w:numId w:val="0"/>
        </w:numPr>
        <w:bidi w:val="0"/>
        <w:rPr>
          <w:rFonts w:hint="eastAsia" w:ascii="宋体" w:hAnsi="宋体" w:eastAsia="宋体" w:cs="宋体"/>
          <w:b/>
          <w:bCs/>
          <w:color w:val="auto"/>
          <w:highlight w:val="none"/>
          <w:lang w:val="en-US" w:eastAsia="zh-CN"/>
        </w:rPr>
      </w:pPr>
      <w:bookmarkStart w:id="1411" w:name="_Toc480317189"/>
      <w:bookmarkStart w:id="1412" w:name="_Toc1094890468"/>
      <w:bookmarkStart w:id="1413" w:name="_Toc90593654"/>
      <w:bookmarkStart w:id="1414" w:name="_Toc1467159589"/>
      <w:bookmarkStart w:id="1415" w:name="_Toc1138640756"/>
      <w:bookmarkStart w:id="1416" w:name="_Toc2098479347"/>
      <w:bookmarkStart w:id="1417" w:name="_Toc73195751"/>
      <w:bookmarkStart w:id="1418" w:name="_Toc758627441"/>
      <w:bookmarkStart w:id="1419" w:name="_Toc808571818"/>
      <w:bookmarkStart w:id="1420" w:name="_Toc1326818819"/>
      <w:bookmarkStart w:id="1421" w:name="_Toc1897818477"/>
      <w:bookmarkStart w:id="1422" w:name="_Toc119359058"/>
      <w:bookmarkStart w:id="1423" w:name="_Toc2075098972"/>
      <w:bookmarkStart w:id="1424" w:name="_Toc1911103409"/>
      <w:bookmarkStart w:id="1425" w:name="_Toc865801239"/>
      <w:bookmarkStart w:id="1426" w:name="_Toc459274963"/>
      <w:bookmarkStart w:id="1427" w:name="_Toc1286950660"/>
      <w:bookmarkStart w:id="1428" w:name="_Toc1795967493"/>
      <w:bookmarkStart w:id="1429" w:name="_Toc1873234193"/>
      <w:bookmarkStart w:id="1430" w:name="_Toc507182237"/>
      <w:bookmarkStart w:id="1431" w:name="_Toc1636240975"/>
      <w:bookmarkStart w:id="1432" w:name="_Toc11963183"/>
      <w:bookmarkStart w:id="1433" w:name="_Toc27784"/>
      <w:bookmarkStart w:id="1434" w:name="_Toc514717102"/>
      <w:bookmarkStart w:id="1435" w:name="_Toc1002630294"/>
      <w:bookmarkStart w:id="1436" w:name="_Toc535455764"/>
      <w:bookmarkStart w:id="1437" w:name="_Toc420486771"/>
      <w:bookmarkStart w:id="1438" w:name="_Toc2069858878"/>
      <w:bookmarkStart w:id="1439" w:name="_Toc1564337680"/>
      <w:bookmarkStart w:id="1440" w:name="_Toc1671548132"/>
      <w:bookmarkStart w:id="1441" w:name="_Toc1910123427"/>
      <w:bookmarkStart w:id="1442" w:name="_Toc1756701940"/>
      <w:bookmarkStart w:id="1443" w:name="_Toc1160126531"/>
      <w:bookmarkStart w:id="1444" w:name="_Toc656754144"/>
      <w:bookmarkStart w:id="1445" w:name="_Toc218663893"/>
      <w:r>
        <w:rPr>
          <w:rFonts w:hint="eastAsia" w:ascii="宋体" w:hAnsi="宋体" w:cs="宋体"/>
          <w:color w:val="auto"/>
          <w:highlight w:val="none"/>
          <w:lang w:val="en-US" w:eastAsia="zh-CN"/>
        </w:rPr>
        <w:t xml:space="preserve">13. </w:t>
      </w:r>
      <w:r>
        <w:rPr>
          <w:rFonts w:hint="eastAsia" w:ascii="宋体" w:hAnsi="宋体" w:eastAsia="宋体" w:cs="宋体"/>
          <w:b/>
          <w:bCs/>
          <w:color w:val="auto"/>
          <w:highlight w:val="none"/>
          <w:lang w:val="en-US" w:eastAsia="zh-CN"/>
        </w:rPr>
        <w:t>否决性条款</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14:paraId="3AE3F732">
      <w:pPr>
        <w:adjustRightInd w:val="0"/>
        <w:snapToGrid w:val="0"/>
        <w:spacing w:line="360" w:lineRule="auto"/>
        <w:ind w:firstLine="422" w:firstLineChars="200"/>
        <w:rPr>
          <w:rFonts w:hint="eastAsia" w:ascii="宋体" w:hAnsi="宋体" w:eastAsia="宋体" w:cs="宋体"/>
          <w:b/>
          <w:bCs w:val="0"/>
          <w:color w:val="auto"/>
          <w:kern w:val="0"/>
          <w:sz w:val="21"/>
          <w:szCs w:val="21"/>
          <w:highlight w:val="none"/>
        </w:rPr>
      </w:pPr>
      <w:r>
        <w:rPr>
          <w:rFonts w:hint="eastAsia" w:ascii="宋体" w:hAnsi="宋体"/>
          <w:b/>
          <w:color w:val="auto"/>
          <w:szCs w:val="21"/>
          <w:highlight w:val="none"/>
        </w:rPr>
        <w:t>否决性条款中没有列出的不予受理或</w:t>
      </w:r>
      <w:r>
        <w:rPr>
          <w:rFonts w:hint="eastAsia" w:ascii="宋体" w:hAnsi="宋体"/>
          <w:b/>
          <w:color w:val="auto"/>
          <w:szCs w:val="21"/>
          <w:highlight w:val="none"/>
          <w:lang w:val="en-US" w:eastAsia="zh-CN"/>
        </w:rPr>
        <w:t>否决投标</w:t>
      </w:r>
      <w:r>
        <w:rPr>
          <w:rFonts w:hint="eastAsia" w:ascii="宋体" w:hAnsi="宋体"/>
          <w:b/>
          <w:color w:val="auto"/>
          <w:szCs w:val="21"/>
          <w:highlight w:val="none"/>
        </w:rPr>
        <w:t>的条款，不得作为不予受理或</w:t>
      </w:r>
      <w:r>
        <w:rPr>
          <w:rFonts w:hint="eastAsia" w:ascii="宋体" w:hAnsi="宋体"/>
          <w:b/>
          <w:color w:val="auto"/>
          <w:szCs w:val="21"/>
          <w:highlight w:val="none"/>
          <w:lang w:val="en-US" w:eastAsia="zh-CN"/>
        </w:rPr>
        <w:t>否决投标</w:t>
      </w:r>
      <w:r>
        <w:rPr>
          <w:rFonts w:hint="eastAsia" w:ascii="宋体" w:hAnsi="宋体"/>
          <w:b/>
          <w:color w:val="auto"/>
          <w:szCs w:val="21"/>
          <w:highlight w:val="none"/>
        </w:rPr>
        <w:t>的依据</w:t>
      </w:r>
      <w:r>
        <w:rPr>
          <w:rFonts w:hint="eastAsia" w:ascii="宋体" w:hAnsi="宋体"/>
          <w:b/>
          <w:color w:val="auto"/>
          <w:szCs w:val="21"/>
          <w:highlight w:val="none"/>
          <w:lang w:eastAsia="zh-CN"/>
        </w:rPr>
        <w:t>，</w:t>
      </w:r>
      <w:r>
        <w:rPr>
          <w:rFonts w:hint="eastAsia" w:ascii="宋体" w:hAnsi="宋体" w:cs="Arial"/>
          <w:b/>
          <w:color w:val="auto"/>
          <w:kern w:val="0"/>
          <w:szCs w:val="21"/>
          <w:highlight w:val="none"/>
        </w:rPr>
        <w:t>法律法规规定</w:t>
      </w:r>
      <w:r>
        <w:rPr>
          <w:rFonts w:hint="eastAsia" w:ascii="宋体" w:hAnsi="宋体" w:cs="Arial"/>
          <w:b/>
          <w:color w:val="auto"/>
          <w:kern w:val="0"/>
          <w:szCs w:val="21"/>
          <w:highlight w:val="none"/>
          <w:lang w:val="en-US" w:eastAsia="zh-CN"/>
        </w:rPr>
        <w:t>除</w:t>
      </w:r>
      <w:r>
        <w:rPr>
          <w:rFonts w:hint="eastAsia" w:ascii="宋体" w:hAnsi="宋体" w:cs="Arial"/>
          <w:b/>
          <w:color w:val="auto"/>
          <w:kern w:val="0"/>
          <w:szCs w:val="21"/>
          <w:highlight w:val="none"/>
        </w:rPr>
        <w:t>外</w:t>
      </w:r>
      <w:r>
        <w:rPr>
          <w:rFonts w:hint="eastAsia" w:ascii="宋体" w:hAnsi="宋体"/>
          <w:b/>
          <w:color w:val="auto"/>
          <w:szCs w:val="21"/>
          <w:highlight w:val="none"/>
        </w:rPr>
        <w:t>。</w:t>
      </w:r>
      <w:r>
        <w:rPr>
          <w:rFonts w:hint="eastAsia" w:ascii="宋体" w:hAnsi="宋体" w:eastAsia="宋体" w:cs="宋体"/>
          <w:b/>
          <w:bCs w:val="0"/>
          <w:color w:val="auto"/>
          <w:kern w:val="0"/>
          <w:sz w:val="21"/>
          <w:szCs w:val="21"/>
          <w:highlight w:val="none"/>
        </w:rPr>
        <w:t>如招标文件的澄清、答疑、补充文件中增加否决性条款的，招标人应当重新编写本章节内容，将新增否决性条款列入本章节，并发布新的完整的《否决性条款》。否则，增加的否决性条款无效。</w:t>
      </w:r>
    </w:p>
    <w:p w14:paraId="34913F7E">
      <w:pPr>
        <w:spacing w:line="360" w:lineRule="auto"/>
        <w:rPr>
          <w:rFonts w:hint="eastAsia" w:ascii="宋体" w:hAnsi="宋体" w:eastAsia="宋体" w:cs="宋体"/>
          <w:b/>
          <w:bCs w:val="0"/>
          <w:color w:val="auto"/>
          <w:szCs w:val="21"/>
          <w:highlight w:val="none"/>
        </w:rPr>
      </w:pPr>
      <w:r>
        <w:rPr>
          <w:rFonts w:hint="eastAsia" w:ascii="宋体" w:hAnsi="宋体" w:eastAsia="宋体" w:cs="宋体"/>
          <w:b/>
          <w:color w:val="auto"/>
          <w:szCs w:val="21"/>
          <w:highlight w:val="none"/>
          <w:lang w:val="en-US" w:eastAsia="zh-CN"/>
        </w:rPr>
        <w:t>13.1</w:t>
      </w:r>
      <w:r>
        <w:rPr>
          <w:rFonts w:hint="eastAsia" w:ascii="宋体" w:hAnsi="宋体" w:eastAsia="宋体" w:cs="宋体"/>
          <w:b/>
          <w:bCs w:val="0"/>
          <w:color w:val="auto"/>
          <w:szCs w:val="21"/>
          <w:highlight w:val="none"/>
          <w:lang w:val="en-US" w:eastAsia="zh-CN"/>
        </w:rPr>
        <w:t xml:space="preserve"> </w:t>
      </w:r>
      <w:r>
        <w:rPr>
          <w:rFonts w:hint="eastAsia" w:ascii="宋体" w:hAnsi="宋体" w:eastAsia="宋体" w:cs="宋体"/>
          <w:b/>
          <w:color w:val="auto"/>
          <w:szCs w:val="21"/>
          <w:highlight w:val="none"/>
          <w:lang w:val="en-US" w:eastAsia="zh-CN"/>
        </w:rPr>
        <w:t>资格审查阶段否决投标的情形（由资格审查委员会负责判定）</w:t>
      </w:r>
    </w:p>
    <w:p w14:paraId="26A46004">
      <w:pPr>
        <w:keepNext w:val="0"/>
        <w:keepLines w:val="0"/>
        <w:pageBreakBefore w:val="0"/>
        <w:widowControl w:val="0"/>
        <w:numPr>
          <w:ilvl w:val="0"/>
          <w:numId w:val="3"/>
        </w:numPr>
        <w:tabs>
          <w:tab w:val="clear" w:pos="0"/>
        </w:tabs>
        <w:kinsoku/>
        <w:wordWrap/>
        <w:overflowPunct/>
        <w:topLinePunct w:val="0"/>
        <w:autoSpaceDE/>
        <w:autoSpaceDN/>
        <w:bidi w:val="0"/>
        <w:adjustRightInd/>
        <w:snapToGrid/>
        <w:spacing w:line="360" w:lineRule="auto"/>
        <w:ind w:left="17" w:leftChars="0" w:firstLine="403" w:firstLineChars="0"/>
        <w:textAlignment w:val="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提疑文件具有识别投标人单位及人员标识的</w:t>
      </w:r>
      <w:r>
        <w:rPr>
          <w:rFonts w:hint="eastAsia" w:ascii="宋体" w:hAnsi="宋体" w:eastAsia="宋体" w:cs="宋体"/>
          <w:bCs/>
          <w:color w:val="auto"/>
          <w:szCs w:val="21"/>
          <w:highlight w:val="none"/>
          <w:lang w:eastAsia="zh-CN"/>
        </w:rPr>
        <w:t>。</w:t>
      </w:r>
    </w:p>
    <w:p w14:paraId="43539EC6">
      <w:pPr>
        <w:pageBreakBefore w:val="0"/>
        <w:numPr>
          <w:ilvl w:val="0"/>
          <w:numId w:val="3"/>
        </w:numPr>
        <w:tabs>
          <w:tab w:val="clear" w:pos="0"/>
        </w:tabs>
        <w:kinsoku/>
        <w:wordWrap/>
        <w:overflowPunct/>
        <w:topLinePunct w:val="0"/>
        <w:bidi w:val="0"/>
        <w:spacing w:line="360" w:lineRule="auto"/>
        <w:ind w:left="17" w:leftChars="0" w:firstLine="403"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存在在第二章“投标人须知”第1.4.3项任一情形的。</w:t>
      </w:r>
    </w:p>
    <w:p w14:paraId="2A325D7D">
      <w:pPr>
        <w:keepNext w:val="0"/>
        <w:keepLines w:val="0"/>
        <w:pageBreakBefore w:val="0"/>
        <w:widowControl w:val="0"/>
        <w:numPr>
          <w:ilvl w:val="0"/>
          <w:numId w:val="3"/>
        </w:numPr>
        <w:tabs>
          <w:tab w:val="clear" w:pos="0"/>
        </w:tabs>
        <w:kinsoku/>
        <w:wordWrap/>
        <w:overflowPunct/>
        <w:topLinePunct w:val="0"/>
        <w:autoSpaceDE/>
        <w:autoSpaceDN/>
        <w:bidi w:val="0"/>
        <w:adjustRightInd/>
        <w:snapToGrid/>
        <w:spacing w:line="360" w:lineRule="auto"/>
        <w:ind w:left="17" w:leftChars="0" w:firstLine="403" w:firstLineChars="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未按规定缴纳投标保证金</w:t>
      </w:r>
      <w:r>
        <w:rPr>
          <w:rFonts w:hint="eastAsia" w:ascii="宋体" w:hAnsi="宋体"/>
          <w:bCs/>
          <w:color w:val="auto"/>
          <w:szCs w:val="21"/>
          <w:highlight w:val="none"/>
          <w:lang w:eastAsia="zh-CN"/>
        </w:rPr>
        <w:t>或提交《投标保证金承诺书》</w:t>
      </w:r>
      <w:r>
        <w:rPr>
          <w:rFonts w:hint="eastAsia" w:ascii="宋体" w:hAnsi="宋体" w:eastAsia="宋体" w:cs="宋体"/>
          <w:color w:val="auto"/>
          <w:szCs w:val="21"/>
          <w:highlight w:val="none"/>
          <w:lang w:val="en-US" w:eastAsia="zh-CN"/>
        </w:rPr>
        <w:t>的。（投标保证金以开标系统显示的结果为准）</w:t>
      </w:r>
    </w:p>
    <w:p w14:paraId="60E569EE">
      <w:pPr>
        <w:keepNext w:val="0"/>
        <w:keepLines w:val="0"/>
        <w:numPr>
          <w:ilvl w:val="0"/>
          <w:numId w:val="3"/>
        </w:numPr>
        <w:tabs>
          <w:tab w:val="clear" w:pos="0"/>
        </w:tabs>
        <w:spacing w:line="360" w:lineRule="auto"/>
        <w:ind w:left="17" w:firstLine="403"/>
        <w:rPr>
          <w:rFonts w:hint="eastAsia" w:ascii="宋体" w:hAnsi="宋体" w:eastAsia="宋体" w:cs="宋体"/>
          <w:bCs w:val="0"/>
          <w:color w:val="auto"/>
          <w:szCs w:val="21"/>
          <w:highlight w:val="none"/>
        </w:rPr>
      </w:pPr>
      <w:r>
        <w:rPr>
          <w:rFonts w:hint="eastAsia" w:ascii="宋体" w:hAnsi="宋体" w:eastAsia="宋体" w:cs="宋体"/>
          <w:bCs w:val="0"/>
          <w:color w:val="auto"/>
          <w:szCs w:val="21"/>
          <w:highlight w:val="none"/>
        </w:rPr>
        <w:t>投标人以他人的名义投标或出现下列串通投标、弄虚作假投标嫌疑情形之一的：</w:t>
      </w:r>
    </w:p>
    <w:p w14:paraId="281F8910">
      <w:pPr>
        <w:keepNext w:val="0"/>
        <w:keepLines w:val="0"/>
        <w:numPr>
          <w:ilvl w:val="0"/>
          <w:numId w:val="0"/>
        </w:numPr>
        <w:spacing w:line="360" w:lineRule="auto"/>
        <w:ind w:left="0" w:firstLine="420" w:firstLineChars="200"/>
        <w:rPr>
          <w:rFonts w:hint="eastAsia" w:ascii="宋体" w:hAnsi="宋体" w:eastAsia="宋体" w:cs="宋体"/>
          <w:bCs w:val="0"/>
          <w:color w:val="auto"/>
          <w:szCs w:val="21"/>
          <w:highlight w:val="none"/>
        </w:rPr>
      </w:pPr>
      <w:r>
        <w:rPr>
          <w:rFonts w:hint="eastAsia" w:ascii="宋体" w:hAnsi="宋体" w:eastAsia="宋体" w:cs="宋体"/>
          <w:bCs w:val="0"/>
          <w:color w:val="auto"/>
          <w:szCs w:val="21"/>
          <w:highlight w:val="none"/>
        </w:rPr>
        <w:t>（1）不同投标人的投标文件由同一单位或者个人编制；</w:t>
      </w:r>
    </w:p>
    <w:p w14:paraId="0569E2D2">
      <w:pPr>
        <w:keepNext w:val="0"/>
        <w:keepLines w:val="0"/>
        <w:numPr>
          <w:ilvl w:val="0"/>
          <w:numId w:val="0"/>
        </w:numPr>
        <w:spacing w:line="360" w:lineRule="auto"/>
        <w:ind w:left="420" w:firstLine="0"/>
        <w:rPr>
          <w:rFonts w:hint="eastAsia" w:ascii="宋体" w:hAnsi="宋体" w:eastAsia="宋体" w:cs="宋体"/>
          <w:bCs w:val="0"/>
          <w:color w:val="auto"/>
          <w:szCs w:val="21"/>
          <w:highlight w:val="none"/>
        </w:rPr>
      </w:pPr>
      <w:r>
        <w:rPr>
          <w:rFonts w:hint="eastAsia" w:ascii="宋体" w:hAnsi="宋体" w:eastAsia="宋体" w:cs="宋体"/>
          <w:bCs w:val="0"/>
          <w:color w:val="auto"/>
          <w:szCs w:val="21"/>
          <w:highlight w:val="none"/>
        </w:rPr>
        <w:t>（2）不同投标人委托同一单位或者个人办理投标事宜；</w:t>
      </w:r>
    </w:p>
    <w:p w14:paraId="744E5324">
      <w:pPr>
        <w:keepNext w:val="0"/>
        <w:keepLines w:val="0"/>
        <w:numPr>
          <w:ilvl w:val="0"/>
          <w:numId w:val="0"/>
        </w:numPr>
        <w:spacing w:line="360" w:lineRule="auto"/>
        <w:ind w:left="420" w:firstLine="0"/>
        <w:rPr>
          <w:rFonts w:hint="eastAsia" w:ascii="宋体" w:hAnsi="宋体" w:cs="宋体"/>
          <w:bCs w:val="0"/>
          <w:color w:val="auto"/>
          <w:szCs w:val="21"/>
          <w:highlight w:val="none"/>
          <w:lang w:eastAsia="zh-CN"/>
        </w:rPr>
      </w:pPr>
      <w:r>
        <w:rPr>
          <w:rFonts w:hint="eastAsia" w:ascii="宋体" w:hAnsi="宋体" w:cs="宋体"/>
          <w:bCs w:val="0"/>
          <w:color w:val="auto"/>
          <w:szCs w:val="21"/>
          <w:highlight w:val="none"/>
          <w:lang w:eastAsia="zh-CN"/>
        </w:rPr>
        <w:t>（</w:t>
      </w:r>
      <w:r>
        <w:rPr>
          <w:rFonts w:hint="eastAsia" w:ascii="宋体" w:hAnsi="宋体" w:cs="宋体"/>
          <w:bCs w:val="0"/>
          <w:color w:val="auto"/>
          <w:szCs w:val="21"/>
          <w:highlight w:val="none"/>
          <w:lang w:val="en-US" w:eastAsia="zh-CN"/>
        </w:rPr>
        <w:t>3</w:t>
      </w:r>
      <w:r>
        <w:rPr>
          <w:rFonts w:hint="eastAsia" w:ascii="宋体" w:hAnsi="宋体" w:cs="宋体"/>
          <w:bCs w:val="0"/>
          <w:color w:val="auto"/>
          <w:szCs w:val="21"/>
          <w:highlight w:val="none"/>
          <w:lang w:eastAsia="zh-CN"/>
        </w:rPr>
        <w:t>）</w:t>
      </w:r>
      <w:r>
        <w:rPr>
          <w:rFonts w:hint="eastAsia" w:ascii="宋体" w:hAnsi="宋体" w:eastAsia="宋体" w:cs="宋体"/>
          <w:bCs w:val="0"/>
          <w:color w:val="auto"/>
          <w:szCs w:val="21"/>
          <w:highlight w:val="none"/>
        </w:rPr>
        <w:t>不同投标人的投标保证金从同一单位或者个人的账户转出</w:t>
      </w:r>
      <w:r>
        <w:rPr>
          <w:rFonts w:hint="eastAsia" w:ascii="宋体" w:hAnsi="宋体" w:eastAsia="宋体" w:cs="宋体"/>
          <w:bCs w:val="0"/>
          <w:color w:val="auto"/>
          <w:szCs w:val="21"/>
          <w:highlight w:val="none"/>
          <w:lang w:eastAsia="zh-CN"/>
        </w:rPr>
        <w:t>的</w:t>
      </w:r>
      <w:r>
        <w:rPr>
          <w:rFonts w:hint="eastAsia" w:ascii="宋体" w:hAnsi="宋体" w:cs="宋体"/>
          <w:bCs w:val="0"/>
          <w:color w:val="auto"/>
          <w:szCs w:val="21"/>
          <w:highlight w:val="none"/>
          <w:lang w:eastAsia="zh-CN"/>
        </w:rPr>
        <w:t>；</w:t>
      </w:r>
    </w:p>
    <w:p w14:paraId="403669B3">
      <w:pPr>
        <w:keepNext w:val="0"/>
        <w:keepLines w:val="0"/>
        <w:numPr>
          <w:ilvl w:val="0"/>
          <w:numId w:val="0"/>
        </w:numPr>
        <w:spacing w:line="360" w:lineRule="auto"/>
        <w:ind w:left="420" w:firstLine="0"/>
        <w:rPr>
          <w:rFonts w:hint="eastAsia" w:ascii="宋体" w:hAnsi="宋体" w:cs="宋体"/>
          <w:bCs w:val="0"/>
          <w:color w:val="auto"/>
          <w:szCs w:val="21"/>
          <w:highlight w:val="none"/>
          <w:lang w:eastAsia="zh-CN"/>
        </w:rPr>
      </w:pPr>
      <w:r>
        <w:rPr>
          <w:rFonts w:hint="eastAsia" w:ascii="宋体" w:hAnsi="宋体" w:cs="宋体"/>
          <w:bCs w:val="0"/>
          <w:color w:val="auto"/>
          <w:szCs w:val="21"/>
          <w:highlight w:val="none"/>
          <w:lang w:eastAsia="zh-CN"/>
        </w:rPr>
        <w:t>（4）不同投标人的投标文件异常一致；</w:t>
      </w:r>
    </w:p>
    <w:p w14:paraId="66FD498E">
      <w:pPr>
        <w:keepNext w:val="0"/>
        <w:keepLines w:val="0"/>
        <w:numPr>
          <w:ilvl w:val="0"/>
          <w:numId w:val="0"/>
        </w:numPr>
        <w:spacing w:line="360" w:lineRule="auto"/>
        <w:ind w:left="420" w:firstLine="0"/>
        <w:rPr>
          <w:rFonts w:hint="eastAsia" w:ascii="宋体" w:hAnsi="宋体" w:cs="宋体"/>
          <w:bCs w:val="0"/>
          <w:color w:val="auto"/>
          <w:szCs w:val="21"/>
          <w:highlight w:val="none"/>
          <w:lang w:eastAsia="zh-CN"/>
        </w:rPr>
      </w:pPr>
      <w:r>
        <w:rPr>
          <w:rFonts w:hint="eastAsia" w:ascii="宋体" w:hAnsi="宋体" w:cs="宋体"/>
          <w:bCs w:val="0"/>
          <w:color w:val="auto"/>
          <w:szCs w:val="21"/>
          <w:highlight w:val="none"/>
          <w:lang w:eastAsia="zh-CN"/>
        </w:rPr>
        <w:t>（5）不同投标人的投标文件相互混装；</w:t>
      </w:r>
    </w:p>
    <w:p w14:paraId="46DC7588">
      <w:pPr>
        <w:keepNext w:val="0"/>
        <w:keepLines w:val="0"/>
        <w:numPr>
          <w:ilvl w:val="0"/>
          <w:numId w:val="0"/>
        </w:numPr>
        <w:spacing w:line="360" w:lineRule="auto"/>
        <w:ind w:left="0" w:firstLine="420" w:firstLineChars="200"/>
        <w:rPr>
          <w:rFonts w:hint="eastAsia" w:ascii="宋体" w:hAnsi="宋体" w:cs="宋体"/>
          <w:bCs w:val="0"/>
          <w:color w:val="auto"/>
          <w:szCs w:val="21"/>
          <w:highlight w:val="none"/>
          <w:lang w:eastAsia="zh-CN"/>
        </w:rPr>
      </w:pPr>
      <w:r>
        <w:rPr>
          <w:rFonts w:hint="eastAsia" w:ascii="宋体" w:hAnsi="宋体" w:cs="宋体"/>
          <w:bCs w:val="0"/>
          <w:color w:val="auto"/>
          <w:szCs w:val="21"/>
          <w:highlight w:val="none"/>
          <w:lang w:eastAsia="zh-CN"/>
        </w:rPr>
        <w:t>（6）不同投标人的投标特征码经交易系统检测出一致的（通过中山市公共资源交易中心计算机投标的除外）；</w:t>
      </w:r>
    </w:p>
    <w:p w14:paraId="32CA9B48">
      <w:pPr>
        <w:keepNext w:val="0"/>
        <w:keepLines w:val="0"/>
        <w:numPr>
          <w:ilvl w:val="0"/>
          <w:numId w:val="0"/>
        </w:numPr>
        <w:spacing w:line="360" w:lineRule="auto"/>
        <w:ind w:left="420" w:firstLine="0"/>
        <w:rPr>
          <w:rFonts w:hint="eastAsia" w:ascii="宋体" w:hAnsi="宋体" w:eastAsia="宋体" w:cs="宋体"/>
          <w:color w:val="auto"/>
          <w:szCs w:val="21"/>
          <w:highlight w:val="none"/>
          <w:lang w:val="en-US" w:eastAsia="zh-CN"/>
        </w:rPr>
      </w:pPr>
      <w:r>
        <w:rPr>
          <w:rFonts w:hint="eastAsia" w:ascii="宋体" w:hAnsi="宋体" w:cs="宋体"/>
          <w:bCs w:val="0"/>
          <w:color w:val="auto"/>
          <w:szCs w:val="21"/>
          <w:highlight w:val="none"/>
          <w:lang w:eastAsia="zh-CN"/>
        </w:rPr>
        <w:t>（7）资格审查工作小组认定的其他串通投标情形。</w:t>
      </w:r>
    </w:p>
    <w:p w14:paraId="1C388DF4">
      <w:pPr>
        <w:keepNext w:val="0"/>
        <w:keepLines w:val="0"/>
        <w:pageBreakBefore w:val="0"/>
        <w:widowControl w:val="0"/>
        <w:numPr>
          <w:ilvl w:val="0"/>
          <w:numId w:val="3"/>
        </w:numPr>
        <w:tabs>
          <w:tab w:val="clear" w:pos="0"/>
        </w:tabs>
        <w:kinsoku/>
        <w:wordWrap/>
        <w:overflowPunct/>
        <w:topLinePunct w:val="0"/>
        <w:autoSpaceDE/>
        <w:autoSpaceDN/>
        <w:bidi w:val="0"/>
        <w:adjustRightInd/>
        <w:snapToGrid/>
        <w:spacing w:line="360" w:lineRule="auto"/>
        <w:ind w:left="17" w:leftChars="0" w:firstLine="403" w:firstLineChars="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因投标人原因，上传的电子投标文件</w:t>
      </w:r>
      <w:r>
        <w:rPr>
          <w:rFonts w:hint="eastAsia" w:ascii="宋体" w:hAnsi="宋体" w:cs="宋体"/>
          <w:color w:val="auto"/>
          <w:szCs w:val="21"/>
          <w:highlight w:val="none"/>
        </w:rPr>
        <w:t>未解密或解密失败或</w:t>
      </w:r>
      <w:r>
        <w:rPr>
          <w:rFonts w:hint="eastAsia" w:ascii="宋体" w:hAnsi="宋体" w:eastAsia="宋体" w:cs="宋体"/>
          <w:color w:val="auto"/>
          <w:szCs w:val="21"/>
          <w:highlight w:val="none"/>
          <w:lang w:val="en-US" w:eastAsia="zh-CN"/>
        </w:rPr>
        <w:t>无法正常打开的。</w:t>
      </w:r>
    </w:p>
    <w:p w14:paraId="46ADF070">
      <w:pPr>
        <w:keepNext w:val="0"/>
        <w:keepLines w:val="0"/>
        <w:pageBreakBefore w:val="0"/>
        <w:widowControl w:val="0"/>
        <w:numPr>
          <w:ilvl w:val="0"/>
          <w:numId w:val="3"/>
        </w:numPr>
        <w:tabs>
          <w:tab w:val="clear" w:pos="0"/>
        </w:tabs>
        <w:kinsoku/>
        <w:wordWrap/>
        <w:overflowPunct/>
        <w:topLinePunct w:val="0"/>
        <w:autoSpaceDE/>
        <w:autoSpaceDN/>
        <w:bidi w:val="0"/>
        <w:adjustRightInd/>
        <w:snapToGrid/>
        <w:spacing w:line="360" w:lineRule="auto"/>
        <w:ind w:left="17" w:leftChars="0" w:firstLine="403" w:firstLineChars="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投标文件的组成不符合招标文件规定的。</w:t>
      </w:r>
    </w:p>
    <w:p w14:paraId="7552FEAA">
      <w:pPr>
        <w:keepNext w:val="0"/>
        <w:keepLines w:val="0"/>
        <w:pageBreakBefore w:val="0"/>
        <w:widowControl w:val="0"/>
        <w:numPr>
          <w:ilvl w:val="0"/>
          <w:numId w:val="3"/>
        </w:numPr>
        <w:tabs>
          <w:tab w:val="clear" w:pos="0"/>
        </w:tabs>
        <w:kinsoku/>
        <w:wordWrap/>
        <w:overflowPunct/>
        <w:topLinePunct w:val="0"/>
        <w:autoSpaceDE/>
        <w:autoSpaceDN/>
        <w:bidi w:val="0"/>
        <w:adjustRightInd/>
        <w:snapToGrid/>
        <w:spacing w:line="360" w:lineRule="auto"/>
        <w:ind w:left="17" w:leftChars="0" w:firstLine="403" w:firstLineChars="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投标文件上标明的投标人名称与提交投标保证金时不一致的（有提供市场监督管理部门出具的相关变更证明的除外）。</w:t>
      </w:r>
    </w:p>
    <w:p w14:paraId="12C53306">
      <w:pPr>
        <w:keepNext w:val="0"/>
        <w:keepLines w:val="0"/>
        <w:pageBreakBefore w:val="0"/>
        <w:widowControl w:val="0"/>
        <w:numPr>
          <w:ilvl w:val="0"/>
          <w:numId w:val="3"/>
        </w:numPr>
        <w:tabs>
          <w:tab w:val="clear" w:pos="0"/>
        </w:tabs>
        <w:kinsoku/>
        <w:wordWrap/>
        <w:overflowPunct/>
        <w:topLinePunct w:val="0"/>
        <w:autoSpaceDE/>
        <w:autoSpaceDN/>
        <w:bidi w:val="0"/>
        <w:adjustRightInd/>
        <w:snapToGrid/>
        <w:spacing w:line="360" w:lineRule="auto"/>
        <w:ind w:left="17" w:leftChars="0" w:firstLine="403" w:firstLineChars="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不符合招标公告中</w:t>
      </w:r>
      <w:r>
        <w:rPr>
          <w:rFonts w:hint="eastAsia" w:ascii="宋体" w:hAnsi="宋体" w:eastAsia="宋体" w:cs="Times New Roman"/>
          <w:bCs/>
          <w:color w:val="auto"/>
          <w:szCs w:val="21"/>
          <w:highlight w:val="none"/>
        </w:rPr>
        <w:t>投标资格能力要求</w:t>
      </w:r>
      <w:r>
        <w:rPr>
          <w:rFonts w:hint="eastAsia" w:ascii="宋体" w:hAnsi="宋体" w:eastAsia="宋体" w:cs="宋体"/>
          <w:color w:val="auto"/>
          <w:szCs w:val="21"/>
          <w:highlight w:val="none"/>
          <w:lang w:val="en-US" w:eastAsia="zh-CN"/>
        </w:rPr>
        <w:t>的</w:t>
      </w:r>
      <w:r>
        <w:rPr>
          <w:rFonts w:hint="eastAsia" w:ascii="宋体" w:hAnsi="宋体" w:eastAsia="宋体" w:cs="宋体"/>
          <w:color w:val="auto"/>
          <w:szCs w:val="21"/>
          <w:highlight w:val="none"/>
          <w:lang w:val="zh-CN" w:eastAsia="zh-CN"/>
        </w:rPr>
        <w:t>。</w:t>
      </w:r>
    </w:p>
    <w:p w14:paraId="1D080AA4">
      <w:pPr>
        <w:keepNext w:val="0"/>
        <w:keepLines w:val="0"/>
        <w:pageBreakBefore w:val="0"/>
        <w:widowControl w:val="0"/>
        <w:numPr>
          <w:ilvl w:val="0"/>
          <w:numId w:val="3"/>
        </w:numPr>
        <w:tabs>
          <w:tab w:val="clear" w:pos="0"/>
        </w:tabs>
        <w:kinsoku/>
        <w:wordWrap/>
        <w:overflowPunct/>
        <w:topLinePunct w:val="0"/>
        <w:autoSpaceDE/>
        <w:autoSpaceDN/>
        <w:bidi w:val="0"/>
        <w:adjustRightInd/>
        <w:snapToGrid/>
        <w:spacing w:line="360" w:lineRule="auto"/>
        <w:ind w:left="17" w:leftChars="0" w:firstLine="403" w:firstLineChars="0"/>
        <w:textAlignment w:val="auto"/>
        <w:rPr>
          <w:rFonts w:hint="eastAsia" w:ascii="宋体" w:hAnsi="宋体" w:eastAsia="宋体" w:cs="宋体"/>
          <w:bCs w:val="0"/>
          <w:color w:val="auto"/>
          <w:szCs w:val="21"/>
          <w:highlight w:val="none"/>
        </w:rPr>
      </w:pPr>
      <w:r>
        <w:rPr>
          <w:rFonts w:hint="eastAsia" w:ascii="宋体" w:hAnsi="宋体" w:eastAsia="宋体" w:cs="宋体"/>
          <w:bCs w:val="0"/>
          <w:color w:val="auto"/>
          <w:szCs w:val="21"/>
          <w:highlight w:val="none"/>
        </w:rPr>
        <w:t>联合体投标的，有以下情形之一的</w:t>
      </w:r>
      <w:r>
        <w:rPr>
          <w:rFonts w:hint="eastAsia" w:ascii="宋体" w:hAnsi="宋体" w:eastAsia="宋体" w:cs="宋体"/>
          <w:bCs w:val="0"/>
          <w:color w:val="auto"/>
          <w:szCs w:val="21"/>
          <w:highlight w:val="none"/>
          <w:lang w:eastAsia="zh-CN"/>
        </w:rPr>
        <w:t>：</w:t>
      </w:r>
      <w:r>
        <w:rPr>
          <w:rFonts w:hint="eastAsia" w:ascii="宋体" w:hAnsi="宋体" w:eastAsia="宋体" w:cs="宋体"/>
          <w:bCs w:val="0"/>
          <w:color w:val="auto"/>
          <w:szCs w:val="21"/>
          <w:highlight w:val="none"/>
        </w:rPr>
        <w:t>（接受联合体投标的设定此条款）</w:t>
      </w:r>
    </w:p>
    <w:p w14:paraId="3C8D428F">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lang w:eastAsia="zh-CN"/>
        </w:rPr>
        <w:t>（</w:t>
      </w:r>
      <w:r>
        <w:rPr>
          <w:rFonts w:hint="eastAsia" w:ascii="宋体" w:hAnsi="宋体" w:eastAsia="宋体" w:cs="Times New Roman"/>
          <w:bCs/>
          <w:color w:val="auto"/>
          <w:szCs w:val="21"/>
          <w:highlight w:val="none"/>
          <w:lang w:val="en-US" w:eastAsia="zh-CN"/>
        </w:rPr>
        <w:t>1</w:t>
      </w:r>
      <w:r>
        <w:rPr>
          <w:rFonts w:hint="eastAsia" w:ascii="宋体" w:hAnsi="宋体" w:eastAsia="宋体" w:cs="Times New Roman"/>
          <w:bCs/>
          <w:color w:val="auto"/>
          <w:szCs w:val="21"/>
          <w:highlight w:val="none"/>
          <w:lang w:eastAsia="zh-CN"/>
        </w:rPr>
        <w:t>）</w:t>
      </w:r>
      <w:r>
        <w:rPr>
          <w:rFonts w:hint="eastAsia" w:ascii="宋体" w:hAnsi="宋体" w:eastAsia="宋体" w:cs="Times New Roman"/>
          <w:bCs/>
          <w:color w:val="auto"/>
          <w:szCs w:val="21"/>
          <w:highlight w:val="none"/>
        </w:rPr>
        <w:t>联合体牵头人不具备与所投标段工程内容相适应的</w:t>
      </w:r>
      <w:r>
        <w:rPr>
          <w:rFonts w:hint="eastAsia" w:ascii="宋体" w:hAnsi="宋体" w:eastAsia="宋体" w:cs="Times New Roman"/>
          <w:bCs/>
          <w:color w:val="auto"/>
          <w:szCs w:val="21"/>
          <w:highlight w:val="none"/>
          <w:lang w:eastAsia="zh-CN"/>
        </w:rPr>
        <w:t>施工</w:t>
      </w:r>
      <w:r>
        <w:rPr>
          <w:rFonts w:hint="eastAsia" w:ascii="宋体" w:hAnsi="宋体" w:eastAsia="宋体" w:cs="Times New Roman"/>
          <w:bCs/>
          <w:color w:val="auto"/>
          <w:szCs w:val="21"/>
          <w:highlight w:val="none"/>
        </w:rPr>
        <w:t>资质，或成员单位不具备与所承担工程内容相适应的</w:t>
      </w:r>
      <w:r>
        <w:rPr>
          <w:rFonts w:hint="eastAsia" w:ascii="宋体" w:hAnsi="宋体" w:eastAsia="宋体" w:cs="Times New Roman"/>
          <w:bCs/>
          <w:color w:val="auto"/>
          <w:szCs w:val="21"/>
          <w:highlight w:val="none"/>
          <w:lang w:eastAsia="zh-CN"/>
        </w:rPr>
        <w:t>施工</w:t>
      </w:r>
      <w:r>
        <w:rPr>
          <w:rFonts w:hint="eastAsia" w:ascii="宋体" w:hAnsi="宋体" w:eastAsia="宋体" w:cs="Times New Roman"/>
          <w:bCs/>
          <w:color w:val="auto"/>
          <w:szCs w:val="21"/>
          <w:highlight w:val="none"/>
        </w:rPr>
        <w:t>资质。</w:t>
      </w:r>
    </w:p>
    <w:p w14:paraId="575B959D">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lang w:eastAsia="zh-CN"/>
        </w:rPr>
        <w:t>（</w:t>
      </w:r>
      <w:r>
        <w:rPr>
          <w:rFonts w:hint="eastAsia" w:ascii="宋体" w:hAnsi="宋体" w:eastAsia="宋体" w:cs="Times New Roman"/>
          <w:bCs/>
          <w:color w:val="auto"/>
          <w:szCs w:val="21"/>
          <w:highlight w:val="none"/>
          <w:lang w:val="en-US" w:eastAsia="zh-CN"/>
        </w:rPr>
        <w:t>2</w:t>
      </w:r>
      <w:r>
        <w:rPr>
          <w:rFonts w:hint="eastAsia" w:ascii="宋体" w:hAnsi="宋体" w:eastAsia="宋体" w:cs="Times New Roman"/>
          <w:bCs/>
          <w:color w:val="auto"/>
          <w:szCs w:val="21"/>
          <w:highlight w:val="none"/>
          <w:lang w:eastAsia="zh-CN"/>
        </w:rPr>
        <w:t>）</w:t>
      </w:r>
      <w:r>
        <w:rPr>
          <w:rFonts w:hint="eastAsia" w:ascii="宋体" w:hAnsi="宋体" w:eastAsia="宋体" w:cs="Times New Roman"/>
          <w:bCs/>
          <w:color w:val="auto"/>
          <w:szCs w:val="21"/>
          <w:highlight w:val="none"/>
        </w:rPr>
        <w:t>联合体各方签订联合体协议后，再以自己名义单独或以其他联合体成员的名义参加同一标段的投标。</w:t>
      </w:r>
    </w:p>
    <w:p w14:paraId="1937C014">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lang w:eastAsia="zh-CN"/>
        </w:rPr>
        <w:t>（</w:t>
      </w:r>
      <w:r>
        <w:rPr>
          <w:rFonts w:hint="eastAsia" w:ascii="宋体" w:hAnsi="宋体" w:eastAsia="宋体" w:cs="Times New Roman"/>
          <w:bCs/>
          <w:color w:val="auto"/>
          <w:szCs w:val="21"/>
          <w:highlight w:val="none"/>
          <w:lang w:val="en-US" w:eastAsia="zh-CN"/>
        </w:rPr>
        <w:t>3</w:t>
      </w:r>
      <w:r>
        <w:rPr>
          <w:rFonts w:hint="eastAsia" w:ascii="宋体" w:hAnsi="宋体" w:eastAsia="宋体" w:cs="Times New Roman"/>
          <w:bCs/>
          <w:color w:val="auto"/>
          <w:szCs w:val="21"/>
          <w:highlight w:val="none"/>
          <w:lang w:eastAsia="zh-CN"/>
        </w:rPr>
        <w:t>）</w:t>
      </w:r>
      <w:r>
        <w:rPr>
          <w:rFonts w:hint="eastAsia" w:ascii="宋体" w:hAnsi="宋体" w:eastAsia="宋体" w:cs="Times New Roman"/>
          <w:bCs/>
          <w:color w:val="auto"/>
          <w:szCs w:val="21"/>
          <w:highlight w:val="none"/>
        </w:rPr>
        <w:t>提交联合体各成员单位共同签订的联合体协议，没有明确牵头人及成员单位各自的权利和义务以及应当承担的责任。</w:t>
      </w:r>
    </w:p>
    <w:p w14:paraId="2F76DC7E">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lang w:eastAsia="zh-CN"/>
        </w:rPr>
        <w:t>（</w:t>
      </w:r>
      <w:r>
        <w:rPr>
          <w:rFonts w:hint="eastAsia" w:ascii="宋体" w:hAnsi="宋体" w:eastAsia="宋体" w:cs="Times New Roman"/>
          <w:bCs/>
          <w:color w:val="auto"/>
          <w:szCs w:val="21"/>
          <w:highlight w:val="none"/>
          <w:lang w:val="en-US" w:eastAsia="zh-CN"/>
        </w:rPr>
        <w:t>4</w:t>
      </w:r>
      <w:r>
        <w:rPr>
          <w:rFonts w:hint="eastAsia" w:ascii="宋体" w:hAnsi="宋体" w:eastAsia="宋体" w:cs="Times New Roman"/>
          <w:bCs/>
          <w:color w:val="auto"/>
          <w:szCs w:val="21"/>
          <w:highlight w:val="none"/>
          <w:lang w:eastAsia="zh-CN"/>
        </w:rPr>
        <w:t>）</w:t>
      </w:r>
      <w:r>
        <w:rPr>
          <w:rFonts w:hint="eastAsia" w:ascii="宋体" w:hAnsi="宋体" w:eastAsia="宋体" w:cs="Times New Roman"/>
          <w:bCs/>
          <w:color w:val="auto"/>
          <w:szCs w:val="21"/>
          <w:highlight w:val="none"/>
        </w:rPr>
        <w:t>投标人组成联合体投标，但投标文件中未按规定附有联合体各方共同签署盖章的联合体协议书的。</w:t>
      </w:r>
    </w:p>
    <w:p w14:paraId="708AECDB">
      <w:pPr>
        <w:keepNext w:val="0"/>
        <w:keepLines w:val="0"/>
        <w:pageBreakBefore w:val="0"/>
        <w:widowControl w:val="0"/>
        <w:numPr>
          <w:ilvl w:val="0"/>
          <w:numId w:val="3"/>
        </w:numPr>
        <w:tabs>
          <w:tab w:val="clear" w:pos="0"/>
        </w:tabs>
        <w:kinsoku/>
        <w:wordWrap/>
        <w:overflowPunct/>
        <w:topLinePunct w:val="0"/>
        <w:autoSpaceDE/>
        <w:autoSpaceDN/>
        <w:bidi w:val="0"/>
        <w:adjustRightInd/>
        <w:snapToGrid/>
        <w:spacing w:line="360" w:lineRule="auto"/>
        <w:ind w:left="17" w:leftChars="0" w:firstLine="403" w:firstLineChars="0"/>
        <w:textAlignment w:val="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未按招标文件第</w:t>
      </w: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lang w:val="zh-CN" w:eastAsia="zh-CN"/>
        </w:rPr>
        <w:t>章“投标文件格式”</w:t>
      </w:r>
      <w:r>
        <w:rPr>
          <w:rFonts w:hint="eastAsia" w:ascii="宋体" w:hAnsi="宋体" w:eastAsia="宋体" w:cs="宋体"/>
          <w:color w:val="auto"/>
          <w:szCs w:val="21"/>
          <w:highlight w:val="none"/>
          <w:lang w:val="en-US" w:eastAsia="zh-CN"/>
        </w:rPr>
        <w:t>编制投标文件</w:t>
      </w:r>
      <w:r>
        <w:rPr>
          <w:rFonts w:hint="eastAsia" w:ascii="宋体" w:hAnsi="宋体" w:eastAsia="宋体" w:cs="宋体"/>
          <w:color w:val="auto"/>
          <w:szCs w:val="21"/>
          <w:highlight w:val="none"/>
          <w:lang w:val="zh-CN" w:eastAsia="zh-CN"/>
        </w:rPr>
        <w:t>。</w:t>
      </w:r>
    </w:p>
    <w:p w14:paraId="143ADFC9">
      <w:pPr>
        <w:keepNext w:val="0"/>
        <w:keepLines w:val="0"/>
        <w:pageBreakBefore w:val="0"/>
        <w:widowControl w:val="0"/>
        <w:numPr>
          <w:ilvl w:val="0"/>
          <w:numId w:val="3"/>
        </w:numPr>
        <w:tabs>
          <w:tab w:val="clear" w:pos="0"/>
        </w:tabs>
        <w:kinsoku/>
        <w:wordWrap/>
        <w:overflowPunct/>
        <w:topLinePunct w:val="0"/>
        <w:autoSpaceDE/>
        <w:autoSpaceDN/>
        <w:bidi w:val="0"/>
        <w:adjustRightInd/>
        <w:snapToGrid/>
        <w:spacing w:line="360" w:lineRule="auto"/>
        <w:ind w:left="17" w:leftChars="0" w:firstLine="403" w:firstLineChars="0"/>
        <w:textAlignment w:val="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未按招标文件规定的内容填写或未按规定签</w:t>
      </w:r>
      <w:r>
        <w:rPr>
          <w:rFonts w:hint="eastAsia" w:ascii="宋体" w:hAnsi="宋体" w:cs="宋体"/>
          <w:color w:val="auto"/>
          <w:szCs w:val="21"/>
          <w:highlight w:val="none"/>
          <w:lang w:val="zh-CN" w:eastAsia="zh-CN"/>
        </w:rPr>
        <w:t>名</w:t>
      </w:r>
      <w:r>
        <w:rPr>
          <w:rFonts w:hint="eastAsia" w:ascii="宋体" w:hAnsi="宋体" w:eastAsia="宋体" w:cs="宋体"/>
          <w:color w:val="auto"/>
          <w:szCs w:val="21"/>
          <w:highlight w:val="none"/>
          <w:lang w:val="zh-CN" w:eastAsia="zh-CN"/>
        </w:rPr>
        <w:t>或盖章，内容不全或者关键内容字迹模糊、无法辨认的。</w:t>
      </w:r>
    </w:p>
    <w:p w14:paraId="1C971790">
      <w:pPr>
        <w:keepNext w:val="0"/>
        <w:keepLines w:val="0"/>
        <w:pageBreakBefore w:val="0"/>
        <w:widowControl w:val="0"/>
        <w:numPr>
          <w:ilvl w:val="0"/>
          <w:numId w:val="3"/>
        </w:numPr>
        <w:tabs>
          <w:tab w:val="clear" w:pos="0"/>
        </w:tabs>
        <w:kinsoku/>
        <w:wordWrap/>
        <w:overflowPunct/>
        <w:topLinePunct w:val="0"/>
        <w:autoSpaceDE/>
        <w:autoSpaceDN/>
        <w:bidi w:val="0"/>
        <w:adjustRightInd/>
        <w:snapToGrid/>
        <w:spacing w:line="360" w:lineRule="auto"/>
        <w:ind w:left="17" w:leftChars="0" w:firstLine="403" w:firstLineChars="0"/>
        <w:textAlignment w:val="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投标文件内缺少有效的法定代表人身份证明，或者投标文件由代理人签署但投标文件内未附有效的法定代表人身份证明及授权委托书的。</w:t>
      </w:r>
    </w:p>
    <w:p w14:paraId="7D9D5014">
      <w:pPr>
        <w:pageBreakBefore w:val="0"/>
        <w:kinsoku/>
        <w:wordWrap/>
        <w:overflowPunct/>
        <w:topLinePunct w:val="0"/>
        <w:bidi w:val="0"/>
        <w:spacing w:line="360" w:lineRule="auto"/>
        <w:textAlignment w:val="auto"/>
        <w:rPr>
          <w:rFonts w:hint="eastAsia" w:ascii="宋体" w:hAnsi="宋体" w:eastAsia="宋体" w:cs="宋体"/>
          <w:color w:val="auto"/>
          <w:szCs w:val="21"/>
          <w:highlight w:val="none"/>
          <w:lang w:val="en-US" w:eastAsia="zh-CN"/>
        </w:rPr>
      </w:pPr>
      <w:r>
        <w:rPr>
          <w:rFonts w:hint="eastAsia" w:ascii="宋体" w:hAnsi="宋体" w:eastAsia="宋体" w:cs="宋体"/>
          <w:b/>
          <w:color w:val="auto"/>
          <w:szCs w:val="21"/>
          <w:highlight w:val="none"/>
          <w:lang w:val="en-US" w:eastAsia="zh-CN"/>
        </w:rPr>
        <w:t>13</w:t>
      </w:r>
      <w:r>
        <w:rPr>
          <w:rFonts w:hint="eastAsia" w:ascii="宋体" w:hAnsi="宋体" w:eastAsia="宋体" w:cs="宋体"/>
          <w:b/>
          <w:color w:val="auto"/>
          <w:szCs w:val="21"/>
          <w:highlight w:val="none"/>
        </w:rPr>
        <w:t>.</w:t>
      </w:r>
      <w:r>
        <w:rPr>
          <w:rFonts w:hint="eastAsia" w:ascii="宋体" w:hAnsi="宋体" w:eastAsia="宋体" w:cs="宋体"/>
          <w:b/>
          <w:color w:val="auto"/>
          <w:szCs w:val="21"/>
          <w:highlight w:val="none"/>
          <w:lang w:val="en-US" w:eastAsia="zh-CN"/>
        </w:rPr>
        <w:t>2</w:t>
      </w:r>
      <w:r>
        <w:rPr>
          <w:rFonts w:hint="eastAsia" w:ascii="宋体" w:hAnsi="宋体" w:eastAsia="宋体" w:cs="宋体"/>
          <w:b/>
          <w:color w:val="auto"/>
          <w:szCs w:val="21"/>
          <w:highlight w:val="none"/>
        </w:rPr>
        <w:t xml:space="preserve"> </w:t>
      </w:r>
      <w:r>
        <w:rPr>
          <w:rFonts w:hint="eastAsia" w:ascii="宋体" w:hAnsi="宋体" w:eastAsia="宋体" w:cs="宋体"/>
          <w:b/>
          <w:color w:val="auto"/>
          <w:szCs w:val="21"/>
          <w:highlight w:val="none"/>
          <w:lang w:eastAsia="zh-CN"/>
        </w:rPr>
        <w:t>评标</w:t>
      </w:r>
      <w:r>
        <w:rPr>
          <w:rFonts w:hint="eastAsia" w:ascii="宋体" w:hAnsi="宋体" w:eastAsia="宋体" w:cs="宋体"/>
          <w:b/>
          <w:color w:val="auto"/>
          <w:szCs w:val="21"/>
          <w:highlight w:val="none"/>
          <w:lang w:val="en-US" w:eastAsia="zh-CN"/>
        </w:rPr>
        <w:t>阶段否决投标的情形（由评标委员会负责判定）</w:t>
      </w:r>
    </w:p>
    <w:p w14:paraId="48546DC6">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因投标人原因，上传的电子投标文件无法正常打开的。</w:t>
      </w:r>
    </w:p>
    <w:p w14:paraId="758406EB">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投标文件的组成不符合招标文件规定的。</w:t>
      </w:r>
    </w:p>
    <w:p w14:paraId="333F62CF">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bCs/>
          <w:color w:val="auto"/>
          <w:szCs w:val="21"/>
          <w:highlight w:val="none"/>
          <w:lang w:val="zh-CN" w:eastAsia="zh-CN"/>
        </w:rPr>
      </w:pPr>
      <w:r>
        <w:rPr>
          <w:rFonts w:hint="eastAsia" w:ascii="宋体" w:hAnsi="宋体" w:eastAsia="宋体" w:cs="宋体"/>
          <w:bCs/>
          <w:color w:val="auto"/>
          <w:szCs w:val="21"/>
          <w:highlight w:val="none"/>
          <w:lang w:val="zh-CN" w:eastAsia="zh-CN"/>
        </w:rPr>
        <w:t>同一投标人提交两个以上不同的投标文件或者投标报价的。（招标文件另有规定除外）</w:t>
      </w:r>
    </w:p>
    <w:p w14:paraId="644A2E51">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bCs/>
          <w:color w:val="auto"/>
          <w:szCs w:val="21"/>
          <w:highlight w:val="none"/>
          <w:lang w:val="zh-CN" w:eastAsia="zh-CN"/>
        </w:rPr>
      </w:pPr>
      <w:r>
        <w:rPr>
          <w:rFonts w:hint="eastAsia" w:ascii="宋体" w:hAnsi="宋体" w:eastAsia="宋体" w:cs="宋体"/>
          <w:bCs/>
          <w:color w:val="auto"/>
          <w:szCs w:val="21"/>
          <w:highlight w:val="none"/>
          <w:lang w:val="zh-CN" w:eastAsia="zh-CN"/>
        </w:rPr>
        <w:t>未按招标文件第</w:t>
      </w:r>
      <w:r>
        <w:rPr>
          <w:rFonts w:hint="eastAsia" w:ascii="宋体" w:hAnsi="宋体" w:eastAsia="宋体" w:cs="宋体"/>
          <w:bCs/>
          <w:color w:val="auto"/>
          <w:szCs w:val="21"/>
          <w:highlight w:val="none"/>
          <w:lang w:val="en-US" w:eastAsia="zh-CN"/>
        </w:rPr>
        <w:t>八</w:t>
      </w:r>
      <w:r>
        <w:rPr>
          <w:rFonts w:hint="eastAsia" w:ascii="宋体" w:hAnsi="宋体" w:eastAsia="宋体" w:cs="宋体"/>
          <w:bCs/>
          <w:color w:val="auto"/>
          <w:szCs w:val="21"/>
          <w:highlight w:val="none"/>
          <w:lang w:val="zh-CN" w:eastAsia="zh-CN"/>
        </w:rPr>
        <w:t>章“投标文件格式”</w:t>
      </w:r>
      <w:r>
        <w:rPr>
          <w:rFonts w:hint="eastAsia" w:ascii="宋体" w:hAnsi="宋体" w:eastAsia="宋体" w:cs="宋体"/>
          <w:bCs/>
          <w:color w:val="auto"/>
          <w:szCs w:val="21"/>
          <w:highlight w:val="none"/>
          <w:lang w:val="en-US" w:eastAsia="zh-CN"/>
        </w:rPr>
        <w:t>编制投标文件</w:t>
      </w:r>
      <w:r>
        <w:rPr>
          <w:rFonts w:hint="eastAsia" w:ascii="宋体" w:hAnsi="宋体" w:eastAsia="宋体" w:cs="宋体"/>
          <w:bCs/>
          <w:color w:val="auto"/>
          <w:szCs w:val="21"/>
          <w:highlight w:val="none"/>
          <w:lang w:val="zh-CN" w:eastAsia="zh-CN"/>
        </w:rPr>
        <w:t>。</w:t>
      </w:r>
    </w:p>
    <w:p w14:paraId="58EEFF45">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bCs/>
          <w:color w:val="auto"/>
          <w:szCs w:val="21"/>
          <w:highlight w:val="none"/>
          <w:lang w:val="zh-CN" w:eastAsia="zh-CN"/>
        </w:rPr>
      </w:pPr>
      <w:r>
        <w:rPr>
          <w:rFonts w:hint="eastAsia" w:ascii="宋体" w:hAnsi="宋体" w:eastAsia="宋体" w:cs="宋体"/>
          <w:bCs/>
          <w:color w:val="auto"/>
          <w:szCs w:val="21"/>
          <w:highlight w:val="none"/>
          <w:lang w:val="zh-CN" w:eastAsia="zh-CN"/>
        </w:rPr>
        <w:t>未按招标文件规定的内容填写或未按规定签</w:t>
      </w:r>
      <w:r>
        <w:rPr>
          <w:rFonts w:hint="eastAsia" w:ascii="宋体" w:hAnsi="宋体" w:cs="宋体"/>
          <w:bCs/>
          <w:color w:val="auto"/>
          <w:szCs w:val="21"/>
          <w:highlight w:val="none"/>
          <w:lang w:val="zh-CN" w:eastAsia="zh-CN"/>
        </w:rPr>
        <w:t>名</w:t>
      </w:r>
      <w:r>
        <w:rPr>
          <w:rFonts w:hint="eastAsia" w:ascii="宋体" w:hAnsi="宋体" w:eastAsia="宋体" w:cs="宋体"/>
          <w:bCs/>
          <w:color w:val="auto"/>
          <w:szCs w:val="21"/>
          <w:highlight w:val="none"/>
          <w:lang w:val="zh-CN" w:eastAsia="zh-CN"/>
        </w:rPr>
        <w:t>或盖章，内容不全或者关键内容字迹模糊、无法辨认的。</w:t>
      </w:r>
    </w:p>
    <w:p w14:paraId="6E15435A">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bCs/>
          <w:color w:val="auto"/>
          <w:szCs w:val="21"/>
          <w:highlight w:val="none"/>
          <w:lang w:val="zh-CN" w:eastAsia="zh-CN"/>
        </w:rPr>
      </w:pPr>
      <w:r>
        <w:rPr>
          <w:rFonts w:hint="eastAsia" w:ascii="宋体" w:hAnsi="宋体" w:eastAsia="宋体" w:cs="宋体"/>
          <w:bCs/>
          <w:color w:val="auto"/>
          <w:szCs w:val="21"/>
          <w:highlight w:val="none"/>
          <w:lang w:val="zh-CN" w:eastAsia="zh-CN"/>
        </w:rPr>
        <w:t>投标文件载明的招标项目完成期限超过招标文件规定的期限、或没有响应招标文件相关承诺的。</w:t>
      </w:r>
    </w:p>
    <w:p w14:paraId="029A332A">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bCs/>
          <w:color w:val="auto"/>
          <w:szCs w:val="21"/>
          <w:highlight w:val="none"/>
          <w:lang w:val="zh-CN" w:eastAsia="zh-CN"/>
        </w:rPr>
      </w:pPr>
      <w:r>
        <w:rPr>
          <w:rFonts w:hint="eastAsia" w:ascii="宋体" w:hAnsi="宋体" w:eastAsia="宋体" w:cs="宋体"/>
          <w:bCs/>
          <w:color w:val="auto"/>
          <w:szCs w:val="21"/>
          <w:highlight w:val="none"/>
          <w:lang w:val="en-US" w:eastAsia="zh-CN"/>
        </w:rPr>
        <w:t>项目管理机构人员配备不符合招标文件要求或未按</w:t>
      </w:r>
      <w:r>
        <w:rPr>
          <w:rFonts w:hint="eastAsia" w:ascii="宋体" w:hAnsi="宋体" w:eastAsia="宋体" w:cs="宋体"/>
          <w:bCs/>
          <w:color w:val="auto"/>
          <w:szCs w:val="21"/>
          <w:highlight w:val="none"/>
          <w:lang w:val="zh-CN" w:eastAsia="zh-CN"/>
        </w:rPr>
        <w:t>招标文件要求提交齐全、合法、真实、有效的资料。</w:t>
      </w:r>
    </w:p>
    <w:p w14:paraId="2B0D4349">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bCs/>
          <w:color w:val="auto"/>
          <w:szCs w:val="21"/>
          <w:highlight w:val="none"/>
          <w:lang w:val="zh-CN" w:eastAsia="zh-CN"/>
        </w:rPr>
      </w:pPr>
      <w:r>
        <w:rPr>
          <w:rFonts w:hint="eastAsia" w:ascii="宋体" w:hAnsi="宋体" w:cs="宋体"/>
          <w:bCs/>
          <w:color w:val="auto"/>
          <w:szCs w:val="21"/>
          <w:highlight w:val="none"/>
          <w:lang w:val="zh-CN"/>
        </w:rPr>
        <w:t>未按招标文件第二章“投标人须知”第1.3.6项要求补充完善危大工程清单并明确相应的安全管理措施的。</w:t>
      </w:r>
    </w:p>
    <w:p w14:paraId="05D68BD1">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bCs/>
          <w:color w:val="auto"/>
          <w:szCs w:val="21"/>
          <w:highlight w:val="none"/>
          <w:lang w:val="zh-CN" w:eastAsia="zh-CN"/>
        </w:rPr>
      </w:pPr>
      <w:r>
        <w:rPr>
          <w:rFonts w:hint="eastAsia" w:ascii="宋体" w:hAnsi="宋体" w:eastAsia="宋体" w:cs="宋体"/>
          <w:bCs/>
          <w:color w:val="auto"/>
          <w:szCs w:val="21"/>
          <w:highlight w:val="none"/>
          <w:lang w:val="en-US" w:eastAsia="zh-CN"/>
        </w:rPr>
        <w:t>技术标书中存在违反国家工程建设标准强制性条文的。</w:t>
      </w:r>
    </w:p>
    <w:p w14:paraId="781A2A9C">
      <w:pPr>
        <w:keepNext w:val="0"/>
        <w:keepLines w:val="0"/>
        <w:pageBreakBefore w:val="0"/>
        <w:widowControl w:val="0"/>
        <w:numPr>
          <w:ilvl w:val="0"/>
          <w:numId w:val="4"/>
        </w:numPr>
        <w:tabs>
          <w:tab w:val="clear" w:pos="0"/>
        </w:tabs>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评标委员会以书面方式要求投标人对投标文件中含义不明确、对同类问题表述不一致或者有明显文字和计算错误的内容作必要的澄清、说明或补正，投标人拒不按照要求对投标文件进行澄清、说明或者补正的。</w:t>
      </w:r>
    </w:p>
    <w:p w14:paraId="343B537D">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bCs/>
          <w:color w:val="auto"/>
          <w:szCs w:val="21"/>
          <w:highlight w:val="none"/>
          <w:lang w:val="zh-CN" w:eastAsia="zh-CN"/>
        </w:rPr>
      </w:pPr>
      <w:r>
        <w:rPr>
          <w:rFonts w:hint="eastAsia" w:ascii="宋体" w:hAnsi="宋体" w:eastAsia="宋体" w:cs="宋体"/>
          <w:color w:val="auto"/>
          <w:szCs w:val="21"/>
          <w:highlight w:val="none"/>
        </w:rPr>
        <w:t>投标报价有算术错误的，评标委员会根据招标文件约定对投标报价进行修正，投标人不接受修正价格的。</w:t>
      </w:r>
    </w:p>
    <w:p w14:paraId="49D4EC5E">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bCs/>
          <w:color w:val="auto"/>
          <w:szCs w:val="21"/>
          <w:highlight w:val="none"/>
          <w:lang w:val="zh-CN" w:eastAsia="zh-CN"/>
        </w:rPr>
      </w:pPr>
      <w:r>
        <w:rPr>
          <w:rFonts w:hint="eastAsia" w:ascii="宋体" w:hAnsi="宋体" w:eastAsia="宋体" w:cs="宋体"/>
          <w:bCs/>
          <w:color w:val="auto"/>
          <w:szCs w:val="21"/>
          <w:highlight w:val="none"/>
          <w:lang w:val="zh-CN" w:eastAsia="zh-CN"/>
        </w:rPr>
        <w:t>投标报价高于投标报价上限</w:t>
      </w:r>
      <w:r>
        <w:rPr>
          <w:rFonts w:hint="eastAsia" w:ascii="宋体" w:hAnsi="宋体" w:cs="宋体"/>
          <w:bCs/>
          <w:color w:val="auto"/>
          <w:szCs w:val="21"/>
          <w:highlight w:val="none"/>
          <w:lang w:val="zh-CN" w:eastAsia="zh-CN"/>
        </w:rPr>
        <w:t>值</w:t>
      </w:r>
      <w:r>
        <w:rPr>
          <w:rFonts w:hint="eastAsia" w:ascii="宋体" w:hAnsi="宋体" w:eastAsia="宋体" w:cs="宋体"/>
          <w:bCs/>
          <w:color w:val="auto"/>
          <w:szCs w:val="21"/>
          <w:highlight w:val="none"/>
          <w:lang w:val="zh-CN" w:eastAsia="zh-CN"/>
        </w:rPr>
        <w:t>的。</w:t>
      </w:r>
    </w:p>
    <w:p w14:paraId="65F6DCFA">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投标报价单</w:t>
      </w:r>
      <w:r>
        <w:rPr>
          <w:rFonts w:hint="eastAsia" w:ascii="宋体" w:hAnsi="宋体" w:eastAsia="宋体" w:cs="宋体"/>
          <w:color w:val="auto"/>
          <w:szCs w:val="21"/>
          <w:highlight w:val="none"/>
        </w:rPr>
        <w:t>中没有单列</w:t>
      </w:r>
      <w:r>
        <w:rPr>
          <w:rFonts w:hint="eastAsia" w:ascii="宋体" w:hAnsi="宋体" w:cs="宋体"/>
          <w:color w:val="auto"/>
          <w:szCs w:val="21"/>
          <w:highlight w:val="none"/>
          <w:lang w:eastAsia="zh-CN"/>
        </w:rPr>
        <w:t>安全生产措施费</w:t>
      </w:r>
      <w:r>
        <w:rPr>
          <w:rFonts w:hint="eastAsia" w:ascii="宋体" w:hAnsi="宋体" w:eastAsia="宋体" w:cs="宋体"/>
          <w:color w:val="auto"/>
          <w:szCs w:val="21"/>
          <w:highlight w:val="none"/>
        </w:rPr>
        <w:t>的；或投标人的</w:t>
      </w:r>
      <w:r>
        <w:rPr>
          <w:rFonts w:hint="eastAsia" w:ascii="宋体" w:hAnsi="宋体" w:cs="宋体"/>
          <w:color w:val="auto"/>
          <w:szCs w:val="21"/>
          <w:highlight w:val="none"/>
          <w:lang w:eastAsia="zh-CN"/>
        </w:rPr>
        <w:t>安全生产措施费</w:t>
      </w:r>
      <w:r>
        <w:rPr>
          <w:rFonts w:hint="eastAsia" w:ascii="宋体" w:hAnsi="宋体" w:eastAsia="宋体" w:cs="宋体"/>
          <w:color w:val="auto"/>
          <w:szCs w:val="21"/>
          <w:highlight w:val="none"/>
        </w:rPr>
        <w:t>的报价低于招标文件公布的</w:t>
      </w:r>
      <w:r>
        <w:rPr>
          <w:rFonts w:hint="eastAsia" w:ascii="宋体" w:hAnsi="宋体" w:cs="宋体"/>
          <w:color w:val="auto"/>
          <w:szCs w:val="21"/>
          <w:highlight w:val="none"/>
          <w:lang w:eastAsia="zh-CN"/>
        </w:rPr>
        <w:t>最高投标限价</w:t>
      </w:r>
      <w:r>
        <w:rPr>
          <w:rFonts w:hint="eastAsia" w:ascii="宋体" w:hAnsi="宋体" w:eastAsia="宋体" w:cs="宋体"/>
          <w:color w:val="auto"/>
          <w:szCs w:val="21"/>
          <w:highlight w:val="none"/>
        </w:rPr>
        <w:t>中的</w:t>
      </w:r>
      <w:r>
        <w:rPr>
          <w:rFonts w:hint="eastAsia" w:ascii="宋体" w:hAnsi="宋体" w:cs="宋体"/>
          <w:color w:val="auto"/>
          <w:szCs w:val="21"/>
          <w:highlight w:val="none"/>
          <w:lang w:eastAsia="zh-CN"/>
        </w:rPr>
        <w:t>安全生产措施费</w:t>
      </w:r>
      <w:r>
        <w:rPr>
          <w:rFonts w:hint="eastAsia" w:ascii="宋体" w:hAnsi="宋体" w:eastAsia="宋体" w:cs="宋体"/>
          <w:color w:val="auto"/>
          <w:szCs w:val="21"/>
          <w:highlight w:val="none"/>
        </w:rPr>
        <w:t>的。</w:t>
      </w:r>
    </w:p>
    <w:p w14:paraId="4FBD1FD3">
      <w:pPr>
        <w:keepNext w:val="0"/>
        <w:keepLines w:val="0"/>
        <w:pageBreakBefore w:val="0"/>
        <w:widowControl w:val="0"/>
        <w:numPr>
          <w:ilvl w:val="0"/>
          <w:numId w:val="4"/>
        </w:numPr>
        <w:tabs>
          <w:tab w:val="clear" w:pos="0"/>
        </w:tabs>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投标人的投标报价低于投标报价警戒值，未按招标文件的有关规定提供合理的相关分析依据、证明材料的。</w:t>
      </w:r>
    </w:p>
    <w:p w14:paraId="55EF4694">
      <w:pPr>
        <w:keepNext w:val="0"/>
        <w:keepLines w:val="0"/>
        <w:pageBreakBefore w:val="0"/>
        <w:widowControl w:val="0"/>
        <w:numPr>
          <w:ilvl w:val="0"/>
          <w:numId w:val="4"/>
        </w:numPr>
        <w:tabs>
          <w:tab w:val="clear" w:pos="0"/>
        </w:tabs>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暂列金额、材料暂估单价、专业工程暂估价未按招标工程量清单提供的相应金额报价的。</w:t>
      </w:r>
    </w:p>
    <w:p w14:paraId="29261F46">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不同投标人的投标文件，由同一台电脑编制或用同一管理软件密码锁生成投标文件的或用同一台电脑上传投标文件的（通过交易中心计算机编制或上传的除外）。</w:t>
      </w:r>
    </w:p>
    <w:p w14:paraId="1AEFD5E4">
      <w:pPr>
        <w:pageBreakBefore w:val="0"/>
        <w:numPr>
          <w:ilvl w:val="0"/>
          <w:numId w:val="4"/>
        </w:numPr>
        <w:tabs>
          <w:tab w:val="clear" w:pos="0"/>
        </w:tabs>
        <w:kinsoku/>
        <w:wordWrap/>
        <w:overflowPunct/>
        <w:topLinePunct w:val="0"/>
        <w:bidi w:val="0"/>
        <w:spacing w:line="360" w:lineRule="auto"/>
        <w:ind w:left="0" w:leftChars="0" w:firstLine="403" w:firstLineChars="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投标人以他人的名义投标或出现下列串通投标、弄虚作假投标嫌疑情形之一的：</w:t>
      </w:r>
    </w:p>
    <w:p w14:paraId="2C2B06BF">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403" w:firstLine="0" w:firstLineChars="0"/>
        <w:textAlignment w:val="auto"/>
        <w:rPr>
          <w:rFonts w:hint="eastAsia" w:ascii="宋体" w:hAnsi="宋体" w:eastAsia="宋体" w:cs="Times New Roman"/>
          <w:bCs/>
          <w:color w:val="auto"/>
          <w:szCs w:val="21"/>
          <w:highlight w:val="none"/>
          <w:lang w:val="en-US" w:eastAsia="zh-CN"/>
        </w:rPr>
      </w:pPr>
      <w:r>
        <w:rPr>
          <w:rFonts w:hint="eastAsia" w:ascii="宋体" w:hAnsi="宋体" w:eastAsia="宋体" w:cs="Times New Roman"/>
          <w:bCs/>
          <w:color w:val="auto"/>
          <w:szCs w:val="21"/>
          <w:highlight w:val="none"/>
          <w:lang w:val="en-US" w:eastAsia="zh-CN"/>
        </w:rPr>
        <w:t>（1）不同投标人的投标文件由同一单位或者个人编制；</w:t>
      </w:r>
    </w:p>
    <w:p w14:paraId="3BA6152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403" w:firstLine="0" w:firstLineChars="0"/>
        <w:textAlignment w:val="auto"/>
        <w:rPr>
          <w:rFonts w:hint="eastAsia" w:ascii="宋体" w:hAnsi="宋体" w:eastAsia="宋体" w:cs="Times New Roman"/>
          <w:bCs/>
          <w:color w:val="auto"/>
          <w:szCs w:val="21"/>
          <w:highlight w:val="none"/>
          <w:lang w:val="en-US" w:eastAsia="zh-CN"/>
        </w:rPr>
      </w:pPr>
      <w:r>
        <w:rPr>
          <w:rFonts w:hint="eastAsia" w:ascii="宋体" w:hAnsi="宋体" w:eastAsia="宋体" w:cs="Times New Roman"/>
          <w:bCs/>
          <w:color w:val="auto"/>
          <w:szCs w:val="21"/>
          <w:highlight w:val="none"/>
          <w:lang w:val="en-US" w:eastAsia="zh-CN"/>
        </w:rPr>
        <w:t>（2）不同投标人委托同一单位或者个人办理投标事宜；</w:t>
      </w:r>
    </w:p>
    <w:p w14:paraId="47C255C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403" w:firstLine="0" w:firstLineChars="0"/>
        <w:textAlignment w:val="auto"/>
        <w:rPr>
          <w:rFonts w:hint="eastAsia" w:ascii="宋体" w:hAnsi="宋体" w:eastAsia="宋体" w:cs="Times New Roman"/>
          <w:bCs/>
          <w:color w:val="auto"/>
          <w:szCs w:val="21"/>
          <w:highlight w:val="none"/>
          <w:lang w:val="en-US" w:eastAsia="zh-CN"/>
        </w:rPr>
      </w:pPr>
      <w:r>
        <w:rPr>
          <w:rFonts w:hint="eastAsia" w:ascii="宋体" w:hAnsi="宋体" w:eastAsia="宋体" w:cs="Times New Roman"/>
          <w:bCs/>
          <w:color w:val="auto"/>
          <w:szCs w:val="21"/>
          <w:highlight w:val="none"/>
          <w:lang w:val="en-US" w:eastAsia="zh-CN"/>
        </w:rPr>
        <w:t>（3）不同投标人的投标文件载明的项目管理成员为同一人；</w:t>
      </w:r>
    </w:p>
    <w:p w14:paraId="5D3DC73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403" w:firstLine="0" w:firstLineChars="0"/>
        <w:textAlignment w:val="auto"/>
        <w:rPr>
          <w:rFonts w:hint="eastAsia" w:ascii="宋体" w:hAnsi="宋体" w:eastAsia="宋体" w:cs="Times New Roman"/>
          <w:bCs/>
          <w:color w:val="auto"/>
          <w:szCs w:val="21"/>
          <w:highlight w:val="none"/>
          <w:lang w:val="en-US" w:eastAsia="zh-CN"/>
        </w:rPr>
      </w:pPr>
      <w:r>
        <w:rPr>
          <w:rFonts w:hint="eastAsia" w:ascii="宋体" w:hAnsi="宋体" w:eastAsia="宋体" w:cs="Times New Roman"/>
          <w:bCs/>
          <w:color w:val="auto"/>
          <w:szCs w:val="21"/>
          <w:highlight w:val="none"/>
          <w:lang w:val="en-US" w:eastAsia="zh-CN"/>
        </w:rPr>
        <w:t>（4）不同投标人的投标文件异常一致或者投标报价呈规律性差异；</w:t>
      </w:r>
    </w:p>
    <w:p w14:paraId="29F4CEC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403" w:firstLine="0" w:firstLineChars="0"/>
        <w:textAlignment w:val="auto"/>
        <w:rPr>
          <w:rFonts w:hint="eastAsia" w:ascii="宋体" w:hAnsi="宋体" w:eastAsia="宋体" w:cs="Times New Roman"/>
          <w:bCs/>
          <w:color w:val="auto"/>
          <w:szCs w:val="21"/>
          <w:highlight w:val="none"/>
          <w:lang w:val="en-US" w:eastAsia="zh-CN"/>
        </w:rPr>
      </w:pPr>
      <w:r>
        <w:rPr>
          <w:rFonts w:hint="eastAsia" w:ascii="宋体" w:hAnsi="宋体" w:eastAsia="宋体" w:cs="Times New Roman"/>
          <w:bCs/>
          <w:color w:val="auto"/>
          <w:szCs w:val="21"/>
          <w:highlight w:val="none"/>
          <w:lang w:val="en-US" w:eastAsia="zh-CN"/>
        </w:rPr>
        <w:t>（5）不同投标人的投标文件相互混装；</w:t>
      </w:r>
    </w:p>
    <w:p w14:paraId="3F5DCFF1">
      <w:pPr>
        <w:numPr>
          <w:ilvl w:val="0"/>
          <w:numId w:val="0"/>
        </w:numPr>
        <w:tabs>
          <w:tab w:val="left" w:pos="0"/>
        </w:tabs>
        <w:spacing w:line="360" w:lineRule="auto"/>
        <w:ind w:left="403" w:firstLine="0" w:firstLineChars="0"/>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lang w:val="en-US" w:eastAsia="zh-CN"/>
        </w:rPr>
        <w:t>（6）评标委员会认定的其他串通投标情形。</w:t>
      </w:r>
    </w:p>
    <w:p w14:paraId="73743B96">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szCs w:val="21"/>
          <w:highlight w:val="none"/>
          <w:lang w:eastAsia="zh-CN"/>
        </w:rPr>
        <w:t>备</w:t>
      </w:r>
      <w:r>
        <w:rPr>
          <w:rFonts w:hint="eastAsia" w:ascii="宋体" w:hAnsi="宋体" w:eastAsia="宋体" w:cs="宋体"/>
          <w:color w:val="auto"/>
          <w:szCs w:val="21"/>
          <w:highlight w:val="none"/>
        </w:rPr>
        <w:t>注：</w:t>
      </w:r>
      <w:r>
        <w:rPr>
          <w:rFonts w:hint="eastAsia" w:ascii="宋体" w:hAnsi="宋体" w:eastAsia="宋体" w:cs="宋体"/>
          <w:color w:val="auto"/>
          <w:highlight w:val="none"/>
        </w:rPr>
        <w:t>在</w:t>
      </w:r>
      <w:r>
        <w:rPr>
          <w:rFonts w:hint="eastAsia" w:ascii="宋体" w:hAnsi="宋体" w:eastAsia="宋体" w:cs="宋体"/>
          <w:color w:val="auto"/>
          <w:highlight w:val="none"/>
          <w:lang w:val="en-US" w:eastAsia="zh-CN"/>
        </w:rPr>
        <w:t>资格审查</w:t>
      </w:r>
      <w:r>
        <w:rPr>
          <w:rFonts w:hint="eastAsia" w:ascii="宋体" w:hAnsi="宋体" w:eastAsia="宋体" w:cs="宋体"/>
          <w:color w:val="auto"/>
          <w:highlight w:val="none"/>
        </w:rPr>
        <w:t>环节中，如遇争议部分需</w:t>
      </w:r>
      <w:r>
        <w:rPr>
          <w:rFonts w:hint="eastAsia" w:ascii="宋体" w:hAnsi="宋体" w:eastAsia="宋体" w:cs="宋体"/>
          <w:color w:val="auto"/>
          <w:highlight w:val="none"/>
          <w:lang w:val="en-US" w:eastAsia="zh-CN"/>
        </w:rPr>
        <w:t>资格审查工作小组作</w:t>
      </w:r>
      <w:r>
        <w:rPr>
          <w:rFonts w:hint="eastAsia" w:ascii="宋体" w:hAnsi="宋体" w:eastAsia="宋体" w:cs="宋体"/>
          <w:color w:val="auto"/>
          <w:highlight w:val="none"/>
        </w:rPr>
        <w:t>出表决的，由</w:t>
      </w:r>
      <w:r>
        <w:rPr>
          <w:rFonts w:hint="eastAsia" w:ascii="宋体" w:hAnsi="宋体" w:eastAsia="宋体" w:cs="宋体"/>
          <w:color w:val="auto"/>
          <w:highlight w:val="none"/>
          <w:lang w:val="en-US" w:eastAsia="zh-CN"/>
        </w:rPr>
        <w:t>资格审查委员会</w:t>
      </w:r>
      <w:r>
        <w:rPr>
          <w:rFonts w:hint="eastAsia" w:ascii="宋体" w:hAnsi="宋体" w:eastAsia="宋体" w:cs="宋体"/>
          <w:color w:val="auto"/>
          <w:highlight w:val="none"/>
        </w:rPr>
        <w:t>全体成</w:t>
      </w:r>
      <w:r>
        <w:rPr>
          <w:rFonts w:hint="eastAsia" w:ascii="宋体" w:hAnsi="宋体" w:eastAsia="宋体" w:cs="宋体"/>
          <w:color w:val="auto"/>
          <w:szCs w:val="21"/>
          <w:highlight w:val="none"/>
        </w:rPr>
        <w:t>员按照少数服从多数的原则，以记名投票方式表决。在评标环节中，如遇争议部分需评标委员会</w:t>
      </w:r>
      <w:r>
        <w:rPr>
          <w:rFonts w:hint="eastAsia" w:ascii="宋体" w:hAnsi="宋体" w:eastAsia="宋体" w:cs="宋体"/>
          <w:color w:val="auto"/>
          <w:szCs w:val="21"/>
          <w:highlight w:val="none"/>
          <w:lang w:eastAsia="zh-CN"/>
        </w:rPr>
        <w:t>作</w:t>
      </w:r>
      <w:r>
        <w:rPr>
          <w:rFonts w:hint="eastAsia" w:ascii="宋体" w:hAnsi="宋体" w:eastAsia="宋体" w:cs="宋体"/>
          <w:color w:val="auto"/>
          <w:szCs w:val="21"/>
          <w:highlight w:val="none"/>
        </w:rPr>
        <w:t>出表决的，由评标委员会全体成员按照少数服从多数的原则，以记名投票方式表决。</w:t>
      </w:r>
    </w:p>
    <w:p w14:paraId="26E8110C">
      <w:pPr>
        <w:pStyle w:val="3"/>
        <w:numPr>
          <w:ilvl w:val="0"/>
          <w:numId w:val="0"/>
        </w:numPr>
        <w:bidi w:val="0"/>
        <w:rPr>
          <w:rFonts w:hint="eastAsia" w:ascii="宋体" w:hAnsi="宋体" w:eastAsia="宋体" w:cs="宋体"/>
          <w:b/>
          <w:bCs/>
          <w:color w:val="auto"/>
          <w:highlight w:val="none"/>
          <w:lang w:val="en-US" w:eastAsia="zh-CN"/>
        </w:rPr>
      </w:pPr>
      <w:bookmarkStart w:id="1446" w:name="_Toc485780994"/>
      <w:bookmarkStart w:id="1447" w:name="_Toc1055157018"/>
      <w:bookmarkStart w:id="1448" w:name="_Toc704920432"/>
      <w:bookmarkStart w:id="1449" w:name="_Toc2025242161"/>
      <w:bookmarkStart w:id="1450" w:name="_Toc211582780"/>
      <w:bookmarkStart w:id="1451" w:name="_Toc22363"/>
      <w:bookmarkStart w:id="1452" w:name="_Toc1440169551"/>
      <w:bookmarkStart w:id="1453" w:name="_Toc1956124948"/>
      <w:bookmarkStart w:id="1454" w:name="_Toc1385754745"/>
      <w:bookmarkStart w:id="1455" w:name="_Toc25486678"/>
      <w:bookmarkStart w:id="1456" w:name="_Toc1205778846"/>
      <w:bookmarkStart w:id="1457" w:name="_Toc88915820"/>
      <w:bookmarkStart w:id="1458" w:name="_Toc190515254"/>
      <w:bookmarkStart w:id="1459" w:name="_Toc1277556441"/>
      <w:bookmarkStart w:id="1460" w:name="_Toc871180208"/>
      <w:bookmarkStart w:id="1461" w:name="_Toc994353443"/>
      <w:bookmarkStart w:id="1462" w:name="_Toc684896490"/>
      <w:bookmarkStart w:id="1463" w:name="_Toc1976805863"/>
      <w:bookmarkStart w:id="1464" w:name="_Toc958575164"/>
      <w:bookmarkStart w:id="1465" w:name="_Toc1397094115"/>
      <w:bookmarkStart w:id="1466" w:name="_Toc165228759"/>
      <w:bookmarkStart w:id="1467" w:name="_Toc1309811133"/>
      <w:bookmarkStart w:id="1468" w:name="_Toc381034457"/>
      <w:bookmarkStart w:id="1469" w:name="_Toc345788321"/>
      <w:bookmarkStart w:id="1470" w:name="_Toc764668087"/>
      <w:bookmarkStart w:id="1471" w:name="_Toc1376600068"/>
      <w:bookmarkStart w:id="1472" w:name="_Toc486616294"/>
      <w:bookmarkStart w:id="1473" w:name="_Toc261807274"/>
      <w:bookmarkStart w:id="1474" w:name="_Toc510171664"/>
      <w:bookmarkStart w:id="1475" w:name="_Toc540860871"/>
      <w:bookmarkStart w:id="1476" w:name="_Toc1880070649"/>
      <w:bookmarkStart w:id="1477" w:name="_Toc1072852774"/>
      <w:bookmarkStart w:id="1478" w:name="_Toc964028188"/>
      <w:bookmarkStart w:id="1479" w:name="_Toc1232924998"/>
      <w:bookmarkStart w:id="1480" w:name="_Toc2052597851"/>
      <w:bookmarkStart w:id="1481" w:name="_Toc22028"/>
      <w:bookmarkStart w:id="1482" w:name="_Toc6550"/>
      <w:r>
        <w:rPr>
          <w:rFonts w:hint="eastAsia" w:ascii="宋体" w:hAnsi="宋体" w:eastAsia="宋体" w:cs="宋体"/>
          <w:color w:val="auto"/>
          <w:highlight w:val="none"/>
          <w:lang w:val="en-US" w:eastAsia="zh-CN"/>
        </w:rPr>
        <w:t>1</w:t>
      </w:r>
      <w:r>
        <w:rPr>
          <w:rFonts w:hint="eastAsia" w:ascii="宋体" w:hAnsi="宋体" w:cs="宋体"/>
          <w:color w:val="auto"/>
          <w:highlight w:val="none"/>
          <w:lang w:val="en-US" w:eastAsia="zh-CN"/>
        </w:rPr>
        <w:t xml:space="preserve">4. </w:t>
      </w:r>
      <w:r>
        <w:rPr>
          <w:rFonts w:hint="eastAsia" w:ascii="宋体" w:hAnsi="宋体" w:eastAsia="宋体" w:cs="宋体"/>
          <w:b/>
          <w:bCs/>
          <w:color w:val="auto"/>
          <w:highlight w:val="none"/>
          <w:lang w:val="en-US" w:eastAsia="zh-CN"/>
        </w:rPr>
        <w:t>需要补充的其他内容</w:t>
      </w:r>
      <w:bookmarkEnd w:id="1446"/>
      <w:bookmarkEnd w:id="1447"/>
      <w:bookmarkEnd w:id="1448"/>
      <w:bookmarkEnd w:id="1449"/>
      <w:bookmarkEnd w:id="1450"/>
      <w:bookmarkEnd w:id="1451"/>
      <w:bookmarkEnd w:id="1452"/>
      <w:bookmarkEnd w:id="1453"/>
      <w:bookmarkEnd w:id="1454"/>
      <w:bookmarkEnd w:id="1455"/>
      <w:bookmarkEnd w:id="1456"/>
      <w:bookmarkEnd w:id="1457"/>
    </w:p>
    <w:p w14:paraId="5A609388">
      <w:pPr>
        <w:pStyle w:val="4"/>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.1</w:t>
      </w:r>
      <w:r>
        <w:rPr>
          <w:rFonts w:hint="eastAsia" w:ascii="宋体" w:hAnsi="宋体" w:cs="宋体"/>
          <w:color w:val="auto"/>
          <w:highlight w:val="none"/>
          <w:lang w:val="en-US" w:eastAsia="zh-CN"/>
        </w:rPr>
        <w:t>最高投标限价</w:t>
      </w:r>
      <w:r>
        <w:rPr>
          <w:rFonts w:hint="eastAsia" w:ascii="宋体" w:hAnsi="宋体" w:eastAsia="宋体" w:cs="宋体"/>
          <w:color w:val="auto"/>
          <w:highlight w:val="none"/>
        </w:rPr>
        <w:t>和承包标准</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14:paraId="163A6C40">
      <w:pPr>
        <w:numPr>
          <w:ilvl w:val="0"/>
          <w:numId w:val="5"/>
        </w:numPr>
        <w:ind w:firstLine="403" w:firstLineChars="0"/>
        <w:rPr>
          <w:rFonts w:hint="eastAsia" w:eastAsia="宋体"/>
          <w:color w:val="auto"/>
          <w:lang w:eastAsia="zh-CN"/>
        </w:rPr>
      </w:pPr>
      <w:permStart w:id="138" w:edGrp="everyone"/>
      <w:r>
        <w:rPr>
          <w:rFonts w:hint="eastAsia" w:ascii="宋体" w:hAnsi="宋体" w:eastAsia="宋体" w:cs="宋体"/>
          <w:color w:val="auto"/>
          <w:highlight w:val="none"/>
        </w:rPr>
        <w:t>工程量清单按</w:t>
      </w:r>
      <w:r>
        <w:rPr>
          <w:rFonts w:hint="eastAsia" w:ascii="宋体" w:hAnsi="宋体" w:eastAsia="宋体" w:cs="宋体"/>
          <w:color w:val="auto"/>
          <w:szCs w:val="21"/>
          <w:highlight w:val="none"/>
        </w:rPr>
        <w:t>有关工程量清单</w:t>
      </w:r>
      <w:r>
        <w:rPr>
          <w:rFonts w:hint="eastAsia" w:ascii="宋体" w:hAnsi="宋体" w:cs="宋体"/>
          <w:color w:val="auto"/>
          <w:szCs w:val="21"/>
          <w:highlight w:val="none"/>
          <w:lang w:eastAsia="zh-CN"/>
        </w:rPr>
        <w:t>计价标准</w:t>
      </w:r>
      <w:r>
        <w:rPr>
          <w:rFonts w:hint="eastAsia" w:ascii="宋体" w:hAnsi="宋体" w:eastAsia="宋体" w:cs="宋体"/>
          <w:color w:val="auto"/>
          <w:szCs w:val="21"/>
          <w:highlight w:val="none"/>
        </w:rPr>
        <w:t>、工程量</w:t>
      </w:r>
      <w:r>
        <w:rPr>
          <w:rFonts w:hint="eastAsia" w:ascii="宋体" w:hAnsi="宋体" w:cs="宋体"/>
          <w:color w:val="auto"/>
          <w:szCs w:val="21"/>
          <w:highlight w:val="none"/>
          <w:lang w:eastAsia="zh-CN"/>
        </w:rPr>
        <w:t>计算标准</w:t>
      </w:r>
      <w:r>
        <w:rPr>
          <w:rFonts w:hint="eastAsia" w:ascii="宋体" w:hAnsi="宋体" w:eastAsia="宋体" w:cs="宋体"/>
          <w:color w:val="auto"/>
          <w:szCs w:val="21"/>
          <w:highlight w:val="none"/>
        </w:rPr>
        <w:t>的国家标准及省、市建设主管部门的相关规定进行</w:t>
      </w:r>
      <w:r>
        <w:rPr>
          <w:rFonts w:hint="eastAsia" w:ascii="宋体" w:hAnsi="宋体" w:eastAsia="宋体" w:cs="宋体"/>
          <w:color w:val="auto"/>
          <w:highlight w:val="none"/>
        </w:rPr>
        <w:t>编制</w:t>
      </w:r>
      <w:r>
        <w:rPr>
          <w:rFonts w:hint="eastAsia" w:ascii="宋体" w:hAnsi="宋体" w:eastAsia="宋体" w:cs="宋体"/>
          <w:color w:val="auto"/>
          <w:szCs w:val="21"/>
          <w:highlight w:val="none"/>
        </w:rPr>
        <w:t>。</w:t>
      </w:r>
      <w:r>
        <w:rPr>
          <w:rFonts w:hint="eastAsia" w:ascii="宋体" w:hAnsi="宋体" w:eastAsia="宋体" w:cs="宋体"/>
          <w:bCs/>
          <w:color w:val="auto"/>
          <w:highlight w:val="none"/>
        </w:rPr>
        <w:t>工程量清单应与投标人须知、合同通用条款、合同专用条款、技术规范、技术要求、图纸等文件结合起来理解或解释。</w:t>
      </w:r>
    </w:p>
    <w:p w14:paraId="34BC0314">
      <w:pPr>
        <w:pageBreakBefore w:val="0"/>
        <w:numPr>
          <w:ilvl w:val="0"/>
          <w:numId w:val="5"/>
        </w:numPr>
        <w:kinsoku/>
        <w:wordWrap/>
        <w:overflowPunct/>
        <w:topLinePunct w:val="0"/>
        <w:bidi w:val="0"/>
        <w:spacing w:line="360" w:lineRule="auto"/>
        <w:ind w:firstLine="403" w:firstLineChars="0"/>
        <w:textAlignment w:val="auto"/>
        <w:rPr>
          <w:rFonts w:hint="default" w:ascii="宋体" w:hAnsi="宋体" w:eastAsia="宋体" w:cs="宋体"/>
          <w:bCs/>
          <w:color w:val="auto"/>
          <w:highlight w:val="none"/>
        </w:rPr>
      </w:pPr>
      <w:r>
        <w:rPr>
          <w:rFonts w:hint="eastAsia" w:ascii="宋体" w:hAnsi="宋体" w:cs="宋体"/>
          <w:bCs/>
          <w:color w:val="auto"/>
          <w:highlight w:val="none"/>
          <w:lang w:val="en-US" w:eastAsia="zh-CN"/>
        </w:rPr>
        <w:t xml:space="preserve"> </w:t>
      </w:r>
      <w:r>
        <w:rPr>
          <w:rFonts w:hint="eastAsia" w:ascii="宋体" w:hAnsi="宋体" w:eastAsia="宋体" w:cs="宋体"/>
          <w:color w:val="auto"/>
          <w:highlight w:val="none"/>
        </w:rPr>
        <w:t>招标人根据全套施工设计图纸，按照招标文件的有关规定，委托工程造价咨询企业编制</w:t>
      </w:r>
      <w:r>
        <w:rPr>
          <w:rFonts w:hint="eastAsia" w:ascii="宋体" w:hAnsi="宋体" w:cs="宋体"/>
          <w:color w:val="auto"/>
          <w:highlight w:val="none"/>
          <w:lang w:eastAsia="zh-CN"/>
        </w:rPr>
        <w:t>最高投标限价</w:t>
      </w:r>
      <w:r>
        <w:rPr>
          <w:rFonts w:hint="eastAsia" w:ascii="宋体" w:hAnsi="宋体" w:eastAsia="宋体" w:cs="宋体"/>
          <w:color w:val="auto"/>
          <w:highlight w:val="none"/>
        </w:rPr>
        <w:t>。</w:t>
      </w:r>
      <w:r>
        <w:rPr>
          <w:rFonts w:hint="eastAsia" w:ascii="宋体" w:hAnsi="宋体" w:cs="宋体"/>
          <w:color w:val="auto"/>
          <w:highlight w:val="none"/>
          <w:lang w:eastAsia="zh-CN"/>
        </w:rPr>
        <w:t>最高投标限价</w:t>
      </w:r>
      <w:r>
        <w:rPr>
          <w:rFonts w:hint="eastAsia" w:ascii="宋体" w:hAnsi="宋体" w:eastAsia="宋体" w:cs="宋体"/>
          <w:color w:val="auto"/>
          <w:highlight w:val="none"/>
        </w:rPr>
        <w:t>材料价格按</w:t>
      </w:r>
      <w:r>
        <w:rPr>
          <w:rFonts w:hint="eastAsia" w:ascii="宋体" w:hAnsi="宋体" w:eastAsia="宋体" w:cs="宋体"/>
          <w:color w:val="auto"/>
          <w:sz w:val="21"/>
          <w:szCs w:val="24"/>
          <w:highlight w:val="none"/>
        </w:rPr>
        <w:t>中山市建设工程造价事务中心</w:t>
      </w:r>
      <w:r>
        <w:rPr>
          <w:rFonts w:hint="eastAsia" w:ascii="宋体" w:hAnsi="宋体" w:eastAsia="宋体" w:cs="宋体"/>
          <w:color w:val="auto"/>
          <w:highlight w:val="none"/>
        </w:rPr>
        <w:t>发布的《</w:t>
      </w:r>
      <w:r>
        <w:rPr>
          <w:rFonts w:hint="eastAsia" w:ascii="宋体" w:hAnsi="宋体" w:eastAsia="宋体" w:cs="宋体"/>
          <w:color w:val="auto"/>
          <w:sz w:val="21"/>
          <w:szCs w:val="24"/>
          <w:highlight w:val="none"/>
        </w:rPr>
        <w:t>中山市建设工程材料综合</w:t>
      </w:r>
      <w:r>
        <w:rPr>
          <w:rFonts w:hint="default" w:ascii="宋体" w:hAnsi="宋体" w:eastAsia="宋体" w:cs="宋体"/>
          <w:bCs/>
          <w:color w:val="auto"/>
          <w:sz w:val="21"/>
          <w:szCs w:val="24"/>
          <w:highlight w:val="none"/>
        </w:rPr>
        <w:t>价</w:t>
      </w:r>
      <w:r>
        <w:rPr>
          <w:rFonts w:hint="default" w:ascii="宋体" w:hAnsi="宋体" w:eastAsia="宋体" w:cs="宋体"/>
          <w:bCs/>
          <w:color w:val="auto"/>
          <w:highlight w:val="none"/>
        </w:rPr>
        <w:t>》编制或同期市场价格。</w:t>
      </w:r>
    </w:p>
    <w:p w14:paraId="3893502B">
      <w:pPr>
        <w:pageBreakBefore w:val="0"/>
        <w:numPr>
          <w:ilvl w:val="0"/>
          <w:numId w:val="5"/>
        </w:numPr>
        <w:kinsoku/>
        <w:wordWrap/>
        <w:overflowPunct/>
        <w:topLinePunct w:val="0"/>
        <w:bidi w:val="0"/>
        <w:spacing w:line="360" w:lineRule="auto"/>
        <w:ind w:firstLine="403" w:firstLineChars="0"/>
        <w:textAlignment w:val="auto"/>
        <w:rPr>
          <w:rFonts w:hint="default" w:ascii="宋体" w:hAnsi="宋体" w:eastAsia="宋体" w:cs="宋体"/>
          <w:bCs/>
          <w:color w:val="auto"/>
          <w:highlight w:val="none"/>
        </w:rPr>
      </w:pPr>
      <w:r>
        <w:rPr>
          <w:rFonts w:hint="default" w:ascii="宋体" w:hAnsi="宋体" w:eastAsia="宋体" w:cs="宋体"/>
          <w:bCs/>
          <w:color w:val="auto"/>
          <w:highlight w:val="none"/>
        </w:rPr>
        <w:t>投标人应核对全部工程量清单（或调整后工程量清单）、图纸项目和招标范围说明，如果认为工程量清单存在项目特征描述不符、错漏或误差，或对施工图设计文件有疑问的，应在答疑会前规定时间内向招标人提出书面意见（书面意见中必须提供具体、完整的工程量计算式），招标人于答疑会统一书面回复，招标人据实调整并重新发布工程量清单和调整</w:t>
      </w:r>
      <w:r>
        <w:rPr>
          <w:rFonts w:hint="eastAsia" w:ascii="宋体" w:hAnsi="宋体" w:eastAsia="宋体" w:cs="宋体"/>
          <w:bCs/>
          <w:color w:val="auto"/>
          <w:highlight w:val="none"/>
          <w:lang w:eastAsia="zh-CN"/>
        </w:rPr>
        <w:t>最高投标限价</w:t>
      </w:r>
      <w:r>
        <w:rPr>
          <w:rFonts w:hint="default" w:ascii="宋体" w:hAnsi="宋体" w:eastAsia="宋体" w:cs="宋体"/>
          <w:bCs/>
          <w:color w:val="auto"/>
          <w:highlight w:val="none"/>
        </w:rPr>
        <w:t>。若投标人对调整后工程量清单有异议，应在答疑提问截止前向招标人提出书面意见（书面意见中必须提供具体、完整的工程量计算式），招标人统一书面回复。</w:t>
      </w:r>
    </w:p>
    <w:p w14:paraId="5A3CB6FD">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投标人按工程量清单（或调整后工程量清单）报价，中标后按招标图纸（招标范围内项目）施工。除了因不可预见、招标人原因、设计修改、材料或人工单价调整按</w:t>
      </w:r>
      <w:r>
        <w:rPr>
          <w:rFonts w:hint="eastAsia" w:ascii="宋体" w:hAnsi="宋体" w:eastAsia="宋体" w:cs="宋体"/>
          <w:color w:val="auto"/>
          <w:highlight w:val="none"/>
          <w:lang w:eastAsia="zh-CN"/>
        </w:rPr>
        <w:t>财政局</w:t>
      </w:r>
      <w:r>
        <w:rPr>
          <w:rFonts w:hint="eastAsia" w:ascii="宋体" w:hAnsi="宋体" w:eastAsia="宋体" w:cs="宋体"/>
          <w:color w:val="auto"/>
          <w:highlight w:val="none"/>
        </w:rPr>
        <w:t>文件执行等特别说明的原因或其他招标人特别同意等因素可以调整价格外，报价不予调整。</w:t>
      </w:r>
    </w:p>
    <w:p w14:paraId="26901964">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若投标人对工程量清单无异议或明知有误而不提出疑问，则视为投标人默认本招标文件规定的施工图内容、工程范围，中标后按施工图及有关说明执行，工程承包合同价不作调整。若投标人出现较大的不平衡报价，且不能提供使招标人信服的充足理由，则视为无效标。</w:t>
      </w:r>
    </w:p>
    <w:p w14:paraId="68517625">
      <w:pPr>
        <w:pageBreakBefore w:val="0"/>
        <w:numPr>
          <w:ilvl w:val="0"/>
          <w:numId w:val="5"/>
        </w:numPr>
        <w:kinsoku/>
        <w:wordWrap/>
        <w:overflowPunct/>
        <w:topLinePunct w:val="0"/>
        <w:bidi w:val="0"/>
        <w:spacing w:line="360" w:lineRule="auto"/>
        <w:ind w:firstLine="403"/>
        <w:textAlignment w:val="auto"/>
        <w:rPr>
          <w:rFonts w:hint="default" w:ascii="宋体" w:hAnsi="宋体" w:eastAsia="宋体" w:cs="宋体"/>
          <w:bCs/>
          <w:color w:val="auto"/>
          <w:highlight w:val="none"/>
        </w:rPr>
      </w:pPr>
      <w:r>
        <w:rPr>
          <w:rFonts w:hint="default" w:ascii="宋体" w:hAnsi="宋体" w:eastAsia="宋体" w:cs="宋体"/>
          <w:bCs/>
          <w:color w:val="auto"/>
          <w:highlight w:val="none"/>
        </w:rPr>
        <w:t>投标人的投标价，应是完成本项目招标范围内的全部工程的投标总报价。投标人应认真填写工程量清单中所列明的所有需要填写综合单价和合价的项目，且只允许有一个报价。投标人没有填入综合单价和合价的项目，招标人将不予支付，并认为该费用已包括在工程量清单中其他项目的综合单价和合价中。</w:t>
      </w:r>
    </w:p>
    <w:p w14:paraId="6747D6FF">
      <w:pPr>
        <w:pageBreakBefore w:val="0"/>
        <w:numPr>
          <w:ilvl w:val="0"/>
          <w:numId w:val="5"/>
        </w:numPr>
        <w:kinsoku/>
        <w:wordWrap/>
        <w:overflowPunct/>
        <w:topLinePunct w:val="0"/>
        <w:bidi w:val="0"/>
        <w:spacing w:line="360" w:lineRule="auto"/>
        <w:ind w:firstLine="403"/>
        <w:textAlignment w:val="auto"/>
        <w:rPr>
          <w:rFonts w:hint="default" w:ascii="宋体" w:hAnsi="宋体" w:eastAsia="宋体" w:cs="宋体"/>
          <w:bCs/>
          <w:color w:val="auto"/>
          <w:highlight w:val="none"/>
        </w:rPr>
      </w:pPr>
      <w:r>
        <w:rPr>
          <w:rFonts w:hint="default" w:ascii="宋体" w:hAnsi="宋体" w:eastAsia="宋体" w:cs="宋体"/>
          <w:bCs/>
          <w:color w:val="auto"/>
          <w:highlight w:val="none"/>
        </w:rPr>
        <w:t>工程量清单中所填入的综合单价为按技术规范与技术要求完成一个规定计量单位的工程所需的人工费、材料费、机具使用费、管理费、利润并考虑风险因素。按技术规范、招标文件、设计图纸、国标</w:t>
      </w:r>
      <w:r>
        <w:rPr>
          <w:rFonts w:hint="default" w:ascii="宋体" w:hAnsi="宋体" w:eastAsia="宋体" w:cs="宋体"/>
          <w:bCs/>
          <w:strike w:val="0"/>
          <w:dstrike w:val="0"/>
          <w:color w:val="auto"/>
          <w:highlight w:val="none"/>
        </w:rPr>
        <w:t>《建设工程工程量清单计价标准》</w:t>
      </w:r>
      <w:r>
        <w:rPr>
          <w:rFonts w:hint="default" w:ascii="宋体" w:hAnsi="宋体" w:eastAsia="宋体" w:cs="宋体"/>
          <w:bCs/>
          <w:color w:val="auto"/>
          <w:highlight w:val="none"/>
        </w:rPr>
        <w:t>、有关现行计价依据及办法等要求为完成一个规定计量单位的工程量所需的其他一切费用</w:t>
      </w:r>
      <w:r>
        <w:rPr>
          <w:rFonts w:hint="default" w:ascii="宋体" w:hAnsi="宋体" w:eastAsia="宋体" w:cs="宋体"/>
          <w:bCs/>
          <w:color w:val="auto"/>
          <w:highlight w:val="none"/>
          <w:lang w:eastAsia="zh-CN"/>
        </w:rPr>
        <w:t>，</w:t>
      </w:r>
      <w:r>
        <w:rPr>
          <w:rFonts w:hint="default" w:ascii="宋体" w:hAnsi="宋体" w:eastAsia="宋体" w:cs="宋体"/>
          <w:bCs/>
          <w:color w:val="auto"/>
          <w:highlight w:val="none"/>
        </w:rPr>
        <w:t>除非投标人在措施项目清单中列出，否则视为已被包含在工程量清单各项目综合单价中。</w:t>
      </w:r>
      <w:r>
        <w:rPr>
          <w:rFonts w:hint="eastAsia" w:ascii="宋体" w:hAnsi="宋体" w:eastAsia="宋体" w:cs="宋体"/>
          <w:color w:val="auto"/>
          <w:highlight w:val="none"/>
        </w:rPr>
        <w:t>本项目采用2024版清单计价计算标准，投标人应当使用适配清单计价计算规范的造价软件编制工程量清单，中标人在中标后提供软件版清单给招标人，如不能提供，影响进度款支付及结算后果自负。</w:t>
      </w:r>
    </w:p>
    <w:p w14:paraId="542310A3">
      <w:pPr>
        <w:pageBreakBefore w:val="0"/>
        <w:kinsoku/>
        <w:wordWrap/>
        <w:overflowPunct/>
        <w:topLinePunct w:val="0"/>
        <w:bidi w:val="0"/>
        <w:spacing w:line="360" w:lineRule="auto"/>
        <w:ind w:firstLine="480"/>
        <w:textAlignment w:val="auto"/>
        <w:rPr>
          <w:rFonts w:hint="eastAsia" w:ascii="宋体" w:hAnsi="宋体" w:eastAsia="宋体" w:cs="宋体"/>
          <w:b/>
          <w:color w:val="auto"/>
          <w:highlight w:val="none"/>
        </w:rPr>
      </w:pPr>
      <w:r>
        <w:rPr>
          <w:rFonts w:hint="eastAsia" w:ascii="宋体" w:hAnsi="宋体" w:eastAsia="宋体" w:cs="宋体"/>
          <w:b/>
          <w:bCs/>
          <w:color w:val="auto"/>
          <w:highlight w:val="none"/>
        </w:rPr>
        <w:t>提示</w:t>
      </w:r>
      <w:r>
        <w:rPr>
          <w:rFonts w:hint="eastAsia" w:ascii="宋体" w:hAnsi="宋体" w:eastAsia="宋体" w:cs="宋体"/>
          <w:b/>
          <w:color w:val="auto"/>
          <w:highlight w:val="none"/>
        </w:rPr>
        <w:t>：投标人所填报的该项单价均已包含了完成与该分部分项工程有关的一切必要的工序和工作内容以及达到合格工程质量要求的一切工程费用和措施性费用（措施项目清单内单列的除外），即包含工程量清单中没有体现的但施工中必须发生的一切工作内容所需费用。</w:t>
      </w:r>
    </w:p>
    <w:p w14:paraId="77877864">
      <w:pPr>
        <w:pageBreakBefore w:val="0"/>
        <w:numPr>
          <w:ilvl w:val="0"/>
          <w:numId w:val="5"/>
        </w:numPr>
        <w:kinsoku/>
        <w:wordWrap/>
        <w:overflowPunct/>
        <w:topLinePunct w:val="0"/>
        <w:bidi w:val="0"/>
        <w:spacing w:line="360" w:lineRule="auto"/>
        <w:ind w:firstLine="403"/>
        <w:textAlignment w:val="auto"/>
        <w:rPr>
          <w:rFonts w:hint="default" w:ascii="宋体" w:hAnsi="宋体" w:eastAsia="宋体" w:cs="宋体"/>
          <w:bCs/>
          <w:color w:val="auto"/>
          <w:highlight w:val="none"/>
        </w:rPr>
      </w:pPr>
      <w:r>
        <w:rPr>
          <w:rFonts w:hint="default" w:ascii="宋体" w:hAnsi="宋体" w:eastAsia="宋体" w:cs="宋体"/>
          <w:bCs/>
          <w:color w:val="auto"/>
          <w:highlight w:val="none"/>
        </w:rPr>
        <w:t>承包人因承包本项目需缴纳的一切税费均由承包人承担，并包含在所报的单价或总价中。</w:t>
      </w:r>
    </w:p>
    <w:p w14:paraId="50428AC7">
      <w:pPr>
        <w:pageBreakBefore w:val="0"/>
        <w:numPr>
          <w:ilvl w:val="0"/>
          <w:numId w:val="5"/>
        </w:numPr>
        <w:kinsoku/>
        <w:wordWrap/>
        <w:overflowPunct/>
        <w:topLinePunct w:val="0"/>
        <w:bidi w:val="0"/>
        <w:spacing w:line="360" w:lineRule="auto"/>
        <w:ind w:firstLine="403"/>
        <w:textAlignment w:val="auto"/>
        <w:rPr>
          <w:rFonts w:hint="default" w:ascii="宋体" w:hAnsi="宋体" w:eastAsia="宋体" w:cs="宋体"/>
          <w:bCs/>
          <w:color w:val="auto"/>
          <w:highlight w:val="none"/>
        </w:rPr>
      </w:pPr>
      <w:r>
        <w:rPr>
          <w:rFonts w:hint="eastAsia" w:ascii="宋体" w:hAnsi="宋体" w:eastAsia="宋体" w:cs="宋体"/>
          <w:color w:val="auto"/>
          <w:highlight w:val="none"/>
        </w:rPr>
        <w:t>本工程为固定总价合同，中标人负责按中标价完成施工设计图的所有工作内容，除招标人或代建单位确认的变更外，结算价不予调整。投标人需包质量、包工期、包安全、包文明施工及气候异常等风险费用，按照答疑会后公布的中介机构编制的该工程</w:t>
      </w:r>
      <w:r>
        <w:rPr>
          <w:rFonts w:hint="eastAsia" w:ascii="宋体" w:hAnsi="宋体" w:eastAsia="宋体" w:cs="宋体"/>
          <w:color w:val="auto"/>
          <w:szCs w:val="21"/>
          <w:highlight w:val="none"/>
          <w:lang w:bidi="ar"/>
        </w:rPr>
        <w:t>施工图预算价</w:t>
      </w:r>
      <w:r>
        <w:rPr>
          <w:rFonts w:hint="eastAsia" w:ascii="宋体" w:hAnsi="宋体" w:eastAsia="宋体" w:cs="宋体"/>
          <w:color w:val="auto"/>
          <w:highlight w:val="none"/>
        </w:rPr>
        <w:t>（或工程量清单），并根据招标项目的特点，结合市场情况和企业自身竞争能力自行确定投标报价。投标人的报价将被视为投标人完全理解了工程量清单和施工图纸中的全部项目、数量及内容。中标后，中标人在工程实施过程中发现实际施工完成量（招标人及代建单位确认的工程变更除外）与工程量清单存在差异时，差异部分不作调整。工程变更按本节第二十</w:t>
      </w:r>
      <w:r>
        <w:rPr>
          <w:rFonts w:hint="eastAsia" w:ascii="宋体" w:hAnsi="宋体" w:cs="宋体"/>
          <w:color w:val="auto"/>
          <w:highlight w:val="none"/>
          <w:lang w:val="en-US" w:eastAsia="zh-CN"/>
        </w:rPr>
        <w:t>七</w:t>
      </w:r>
      <w:r>
        <w:rPr>
          <w:rFonts w:hint="eastAsia" w:ascii="宋体" w:hAnsi="宋体" w:eastAsia="宋体" w:cs="宋体"/>
          <w:color w:val="auto"/>
          <w:highlight w:val="none"/>
        </w:rPr>
        <w:t>条有关条款执行。投标人应结合现场施工条件，将工程施工过程及完工验收可能涉及的各类相关措施费如文明施工措施、环境保护措施、临时设施和安全生产措施、场地租用、保险费、税、停水、停电以及排除影响施工的各类障碍等考虑在投标报价中</w:t>
      </w:r>
      <w:r>
        <w:rPr>
          <w:rFonts w:hint="default" w:ascii="宋体" w:hAnsi="宋体" w:eastAsia="宋体" w:cs="宋体"/>
          <w:bCs/>
          <w:color w:val="auto"/>
          <w:highlight w:val="none"/>
        </w:rPr>
        <w:t>。</w:t>
      </w:r>
    </w:p>
    <w:p w14:paraId="4BFF97AC">
      <w:pPr>
        <w:pageBreakBefore w:val="0"/>
        <w:numPr>
          <w:ilvl w:val="0"/>
          <w:numId w:val="5"/>
        </w:numPr>
        <w:kinsoku/>
        <w:wordWrap/>
        <w:overflowPunct/>
        <w:topLinePunct w:val="0"/>
        <w:bidi w:val="0"/>
        <w:spacing w:line="360" w:lineRule="auto"/>
        <w:ind w:firstLine="403"/>
        <w:textAlignment w:val="auto"/>
        <w:rPr>
          <w:rFonts w:hint="default" w:ascii="宋体" w:hAnsi="宋体" w:eastAsia="宋体" w:cs="宋体"/>
          <w:bCs/>
          <w:color w:val="auto"/>
          <w:highlight w:val="none"/>
        </w:rPr>
      </w:pPr>
      <w:r>
        <w:rPr>
          <w:rFonts w:hint="default" w:ascii="宋体" w:hAnsi="宋体" w:eastAsia="宋体" w:cs="宋体"/>
          <w:bCs/>
          <w:color w:val="auto"/>
          <w:highlight w:val="none"/>
        </w:rPr>
        <w:t>投标人投标报价时应考虑并承担一定的风险，如物价、气候、水文地质等情况变化及其他意外困难等。投标人认为必要采取的任何施工、技术施工、辅助工程、临时工程等费用须包含在投标总报价中。</w:t>
      </w:r>
    </w:p>
    <w:p w14:paraId="5F693ABE">
      <w:pPr>
        <w:pageBreakBefore w:val="0"/>
        <w:numPr>
          <w:ilvl w:val="0"/>
          <w:numId w:val="5"/>
        </w:numPr>
        <w:kinsoku/>
        <w:wordWrap/>
        <w:overflowPunct/>
        <w:topLinePunct w:val="0"/>
        <w:bidi w:val="0"/>
        <w:spacing w:line="360" w:lineRule="auto"/>
        <w:ind w:firstLine="403"/>
        <w:textAlignment w:val="auto"/>
        <w:rPr>
          <w:rFonts w:hint="default" w:ascii="宋体" w:hAnsi="宋体" w:eastAsia="宋体" w:cs="宋体"/>
          <w:bCs/>
          <w:color w:val="auto"/>
          <w:highlight w:val="none"/>
        </w:rPr>
      </w:pPr>
      <w:r>
        <w:rPr>
          <w:rFonts w:hint="eastAsia" w:ascii="宋体" w:hAnsi="宋体" w:eastAsia="宋体" w:cs="宋体"/>
          <w:color w:val="auto"/>
          <w:highlight w:val="none"/>
        </w:rPr>
        <w:t>施工中对涉及的现有建筑物、构筑物、道路、线杆、地下管线、古树名木等，中标人应采取有效的保护、防护措施，若中标人对上述设施造成破坏的，则所有责任由中标人负责。如需拆除沿途有关建（构）筑物或设施，应先将情况报送代建单位与监理单位，并与相关单位进行协调并得到同意后方可进行，如果中标人不按此规定进行施工，所产生的一切后果由中标人负责，其责任与招标人及代建单位无关，如因此造成招标人及代建单位损失的，中标人还应赔偿招标人及代建单位遭受的一切损失</w:t>
      </w:r>
      <w:r>
        <w:rPr>
          <w:rFonts w:hint="default" w:ascii="宋体" w:hAnsi="宋体" w:eastAsia="宋体" w:cs="宋体"/>
          <w:bCs/>
          <w:color w:val="auto"/>
          <w:highlight w:val="none"/>
        </w:rPr>
        <w:t>。</w:t>
      </w:r>
      <w:r>
        <w:rPr>
          <w:rFonts w:hint="eastAsia" w:ascii="宋体" w:hAnsi="宋体" w:eastAsia="宋体" w:cs="宋体"/>
          <w:color w:val="auto"/>
          <w:highlight w:val="none"/>
        </w:rPr>
        <w:t>施工中对涉及的现有建筑物、构筑物、道路、线杆、地下管线、古树名木等，中标人应采取有效的保护、防护措施，若中标人对上述设施造成破坏的，则所有责任由中标人负责。如需拆除沿途有关建（构）筑物或设施，应先将情况报送代建单位与监理单位，并与相关单位进行协调并得到同意后方可进行，如果中标人不按此规定进行施工，所产生的一切后果由中标人负责，其责任与招标人及代建单位无关，如因此造成招标人及代建单位损失的，中标人还应赔偿招标人及代建单位遭受的一切损失。</w:t>
      </w:r>
    </w:p>
    <w:p w14:paraId="327240F7">
      <w:pPr>
        <w:pageBreakBefore w:val="0"/>
        <w:numPr>
          <w:ilvl w:val="0"/>
          <w:numId w:val="5"/>
        </w:numPr>
        <w:kinsoku/>
        <w:wordWrap/>
        <w:overflowPunct/>
        <w:topLinePunct w:val="0"/>
        <w:bidi w:val="0"/>
        <w:spacing w:line="360" w:lineRule="auto"/>
        <w:ind w:firstLine="403"/>
        <w:textAlignment w:val="auto"/>
        <w:rPr>
          <w:rFonts w:hint="default" w:ascii="宋体" w:hAnsi="宋体" w:eastAsia="宋体" w:cs="宋体"/>
          <w:bCs/>
          <w:color w:val="auto"/>
          <w:highlight w:val="none"/>
        </w:rPr>
      </w:pPr>
      <w:r>
        <w:rPr>
          <w:rFonts w:hint="default" w:ascii="宋体" w:hAnsi="宋体" w:eastAsia="宋体" w:cs="宋体"/>
          <w:bCs/>
          <w:color w:val="auto"/>
          <w:highlight w:val="none"/>
        </w:rPr>
        <w:t>本工程招标人提供的</w:t>
      </w:r>
      <w:r>
        <w:rPr>
          <w:rFonts w:hint="eastAsia" w:ascii="宋体" w:hAnsi="宋体" w:eastAsia="宋体" w:cs="宋体"/>
          <w:bCs/>
          <w:color w:val="auto"/>
          <w:highlight w:val="none"/>
          <w:lang w:eastAsia="zh-CN"/>
        </w:rPr>
        <w:t>最高投标限价</w:t>
      </w:r>
      <w:r>
        <w:rPr>
          <w:rFonts w:hint="default" w:ascii="宋体" w:hAnsi="宋体" w:eastAsia="宋体" w:cs="宋体"/>
          <w:bCs/>
          <w:color w:val="auto"/>
          <w:highlight w:val="none"/>
        </w:rPr>
        <w:t>作为投标人投标报价的</w:t>
      </w:r>
      <w:r>
        <w:rPr>
          <w:rFonts w:hint="eastAsia" w:ascii="宋体" w:hAnsi="宋体" w:eastAsia="宋体" w:cs="宋体"/>
          <w:bCs/>
          <w:color w:val="auto"/>
          <w:highlight w:val="none"/>
          <w:lang w:eastAsia="zh-CN"/>
        </w:rPr>
        <w:t>依据</w:t>
      </w:r>
      <w:r>
        <w:rPr>
          <w:rFonts w:hint="default" w:ascii="宋体" w:hAnsi="宋体" w:eastAsia="宋体" w:cs="宋体"/>
          <w:bCs/>
          <w:color w:val="auto"/>
          <w:highlight w:val="none"/>
        </w:rPr>
        <w:t>文件，且答疑会后招标人提供的</w:t>
      </w:r>
      <w:r>
        <w:rPr>
          <w:rFonts w:hint="eastAsia" w:ascii="宋体" w:hAnsi="宋体" w:eastAsia="宋体" w:cs="宋体"/>
          <w:bCs/>
          <w:color w:val="auto"/>
          <w:highlight w:val="none"/>
          <w:lang w:eastAsia="zh-CN"/>
        </w:rPr>
        <w:t>最高投标限价</w:t>
      </w:r>
      <w:r>
        <w:rPr>
          <w:rFonts w:hint="default" w:ascii="宋体" w:hAnsi="宋体" w:eastAsia="宋体" w:cs="宋体"/>
          <w:bCs/>
          <w:color w:val="auto"/>
          <w:highlight w:val="none"/>
        </w:rPr>
        <w:t>的实体工程量原则上不允许改动</w:t>
      </w:r>
      <w:r>
        <w:rPr>
          <w:rFonts w:hint="default" w:ascii="宋体" w:hAnsi="宋体" w:eastAsia="宋体" w:cs="宋体"/>
          <w:bCs/>
          <w:color w:val="auto"/>
          <w:highlight w:val="none"/>
          <w:lang w:eastAsia="zh-CN"/>
        </w:rPr>
        <w:t>，</w:t>
      </w:r>
      <w:r>
        <w:rPr>
          <w:rFonts w:hint="default" w:ascii="宋体" w:hAnsi="宋体" w:eastAsia="宋体" w:cs="宋体"/>
          <w:bCs/>
          <w:color w:val="auto"/>
          <w:highlight w:val="none"/>
        </w:rPr>
        <w:t>各投标人应根据</w:t>
      </w:r>
      <w:r>
        <w:rPr>
          <w:rFonts w:hint="eastAsia" w:ascii="宋体" w:hAnsi="宋体" w:eastAsia="宋体" w:cs="宋体"/>
          <w:bCs/>
          <w:color w:val="auto"/>
          <w:highlight w:val="none"/>
          <w:lang w:eastAsia="zh-CN"/>
        </w:rPr>
        <w:t>最高投标限价</w:t>
      </w:r>
      <w:r>
        <w:rPr>
          <w:rFonts w:hint="default" w:ascii="宋体" w:hAnsi="宋体" w:eastAsia="宋体" w:cs="宋体"/>
          <w:bCs/>
          <w:color w:val="auto"/>
          <w:highlight w:val="none"/>
        </w:rPr>
        <w:t>的实体工程量、施工图纸及现场情况等进行报价，一旦确定了中标人和中标价，除另有规定外，招标人将执行中标价结算。</w:t>
      </w:r>
    </w:p>
    <w:p w14:paraId="26640B4F">
      <w:pPr>
        <w:pageBreakBefore w:val="0"/>
        <w:numPr>
          <w:ilvl w:val="0"/>
          <w:numId w:val="5"/>
        </w:numPr>
        <w:kinsoku/>
        <w:wordWrap/>
        <w:overflowPunct/>
        <w:topLinePunct w:val="0"/>
        <w:bidi w:val="0"/>
        <w:spacing w:line="360" w:lineRule="auto"/>
        <w:ind w:firstLine="403"/>
        <w:textAlignment w:val="auto"/>
        <w:rPr>
          <w:rFonts w:hint="default" w:ascii="宋体" w:hAnsi="宋体" w:eastAsia="宋体" w:cs="宋体"/>
          <w:bCs/>
          <w:color w:val="auto"/>
          <w:highlight w:val="none"/>
        </w:rPr>
      </w:pPr>
      <w:r>
        <w:rPr>
          <w:rFonts w:hint="default" w:ascii="宋体" w:hAnsi="宋体" w:eastAsia="宋体" w:cs="宋体"/>
          <w:bCs/>
          <w:color w:val="auto"/>
          <w:highlight w:val="none"/>
        </w:rPr>
        <w:t>投标报价范围内的工程造价除设计变更或招标文件、招标答疑中允许的调整范围外</w:t>
      </w:r>
      <w:r>
        <w:rPr>
          <w:rFonts w:hint="default" w:ascii="Times New Roman" w:hAnsi="Times New Roman" w:eastAsia="宋体" w:cs="Times New Roman"/>
          <w:bCs/>
          <w:color w:val="auto"/>
          <w:highlight w:val="none"/>
        </w:rPr>
        <w:t>以及</w:t>
      </w:r>
      <w:r>
        <w:rPr>
          <w:rFonts w:hint="default" w:ascii="Times New Roman" w:hAnsi="Times New Roman" w:eastAsia="宋体" w:cs="Times New Roman"/>
          <w:bCs/>
          <w:color w:val="auto"/>
          <w:highlight w:val="none"/>
          <w:lang w:eastAsia="zh-CN"/>
        </w:rPr>
        <w:t>《</w:t>
      </w:r>
      <w:r>
        <w:rPr>
          <w:rFonts w:hint="default" w:ascii="Times New Roman" w:hAnsi="Times New Roman" w:eastAsia="宋体" w:cs="Times New Roman"/>
          <w:bCs/>
          <w:color w:val="auto"/>
          <w:highlight w:val="none"/>
        </w:rPr>
        <w:t>市财政局 市住房城乡建设局关于解决政府投资项目建筑主材调差问题的指导性意见</w:t>
      </w:r>
      <w:r>
        <w:rPr>
          <w:rFonts w:hint="default" w:ascii="Times New Roman" w:hAnsi="Times New Roman" w:eastAsia="宋体" w:cs="Times New Roman"/>
          <w:bCs/>
          <w:color w:val="auto"/>
          <w:highlight w:val="none"/>
          <w:lang w:eastAsia="zh-CN"/>
        </w:rPr>
        <w:t>》</w:t>
      </w:r>
      <w:r>
        <w:rPr>
          <w:rFonts w:hint="default" w:ascii="Times New Roman" w:hAnsi="Times New Roman" w:eastAsia="宋体" w:cs="Times New Roman"/>
          <w:bCs/>
          <w:color w:val="auto"/>
          <w:highlight w:val="none"/>
        </w:rPr>
        <w:t>允许的建筑主材调差</w:t>
      </w:r>
      <w:r>
        <w:rPr>
          <w:rFonts w:hint="default" w:ascii="宋体" w:hAnsi="宋体" w:eastAsia="宋体" w:cs="宋体"/>
          <w:bCs/>
          <w:color w:val="auto"/>
          <w:highlight w:val="none"/>
        </w:rPr>
        <w:t>，其余不因市场价格变化而调整。在计费时，投标人应将施工风险系数等费用考虑入工程投标总报价中。</w:t>
      </w:r>
    </w:p>
    <w:p w14:paraId="5316B2FC">
      <w:pPr>
        <w:pageBreakBefore w:val="0"/>
        <w:numPr>
          <w:ilvl w:val="0"/>
          <w:numId w:val="5"/>
        </w:numPr>
        <w:kinsoku/>
        <w:wordWrap/>
        <w:overflowPunct/>
        <w:topLinePunct w:val="0"/>
        <w:bidi w:val="0"/>
        <w:spacing w:line="360" w:lineRule="auto"/>
        <w:ind w:firstLine="403"/>
        <w:textAlignment w:val="auto"/>
        <w:rPr>
          <w:rFonts w:hint="default" w:ascii="宋体" w:hAnsi="宋体" w:eastAsia="宋体" w:cs="宋体"/>
          <w:bCs/>
          <w:color w:val="auto"/>
          <w:highlight w:val="none"/>
        </w:rPr>
      </w:pPr>
      <w:r>
        <w:rPr>
          <w:rFonts w:hint="default" w:ascii="宋体" w:hAnsi="宋体" w:eastAsia="宋体" w:cs="宋体"/>
          <w:bCs/>
          <w:color w:val="auto"/>
          <w:highlight w:val="none"/>
        </w:rPr>
        <w:t>投标单位在投标时参考的主材品牌除满足设计、国家有关技术标准外，品质还需不低于</w:t>
      </w:r>
      <w:r>
        <w:rPr>
          <w:rFonts w:hint="eastAsia" w:ascii="宋体" w:hAnsi="宋体" w:eastAsia="宋体" w:cs="宋体"/>
          <w:bCs/>
          <w:color w:val="auto"/>
          <w:highlight w:val="none"/>
          <w:lang w:eastAsia="zh-CN"/>
        </w:rPr>
        <w:t>最高投标限价</w:t>
      </w:r>
      <w:r>
        <w:rPr>
          <w:rFonts w:hint="default" w:ascii="宋体" w:hAnsi="宋体" w:eastAsia="宋体" w:cs="宋体"/>
          <w:bCs/>
          <w:color w:val="auto"/>
          <w:highlight w:val="none"/>
        </w:rPr>
        <w:t>参考品牌。在工程实施阶段，承包人采购的主材产品，需经监理工程师及发包人审批同意方可采购。</w:t>
      </w:r>
    </w:p>
    <w:p w14:paraId="686641E9">
      <w:pPr>
        <w:pageBreakBefore w:val="0"/>
        <w:numPr>
          <w:ilvl w:val="0"/>
          <w:numId w:val="5"/>
        </w:numPr>
        <w:kinsoku/>
        <w:wordWrap/>
        <w:overflowPunct/>
        <w:topLinePunct w:val="0"/>
        <w:bidi w:val="0"/>
        <w:spacing w:line="360" w:lineRule="auto"/>
        <w:ind w:firstLine="403"/>
        <w:textAlignment w:val="auto"/>
        <w:rPr>
          <w:rFonts w:hint="eastAsia" w:ascii="宋体" w:hAnsi="宋体" w:eastAsia="宋体" w:cs="宋体"/>
          <w:color w:val="auto"/>
          <w:highlight w:val="none"/>
        </w:rPr>
      </w:pPr>
      <w:r>
        <w:rPr>
          <w:rFonts w:hint="eastAsia" w:ascii="宋体" w:hAnsi="宋体" w:eastAsia="宋体" w:cs="宋体"/>
          <w:color w:val="auto"/>
          <w:highlight w:val="none"/>
        </w:rPr>
        <w:t>由中标人在本工程承包范围内出现的一切事故均由中标人负责，与招标人无关</w:t>
      </w:r>
      <w:r>
        <w:rPr>
          <w:rFonts w:hint="eastAsia" w:ascii="宋体" w:hAnsi="宋体" w:eastAsia="宋体" w:cs="宋体"/>
          <w:color w:val="auto"/>
          <w:highlight w:val="none"/>
          <w:lang w:eastAsia="zh-CN"/>
        </w:rPr>
        <w:t>。</w:t>
      </w:r>
    </w:p>
    <w:p w14:paraId="2BBFA441">
      <w:pPr>
        <w:pageBreakBefore w:val="0"/>
        <w:numPr>
          <w:ilvl w:val="0"/>
          <w:numId w:val="5"/>
        </w:numPr>
        <w:kinsoku/>
        <w:wordWrap/>
        <w:overflowPunct/>
        <w:topLinePunct w:val="0"/>
        <w:bidi w:val="0"/>
        <w:spacing w:line="360" w:lineRule="auto"/>
        <w:ind w:firstLine="403"/>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材</w:t>
      </w:r>
      <w:r>
        <w:rPr>
          <w:rFonts w:hint="eastAsia" w:ascii="宋体" w:hAnsi="宋体" w:eastAsia="宋体" w:cs="宋体"/>
          <w:color w:val="auto"/>
          <w:highlight w:val="none"/>
        </w:rPr>
        <w:t>料、工程设备和工程的试验和检验费用的约定：按相关验收规范要求检测频率数由中标人进行自检的，相关检测费用由中标人自行承担；按相关验收规范要求频率数由招标人进行检测的，具体检测工作由</w:t>
      </w:r>
      <w:r>
        <w:rPr>
          <w:rFonts w:hint="eastAsia" w:ascii="宋体" w:hAnsi="宋体" w:cs="宋体"/>
          <w:color w:val="auto"/>
          <w:highlight w:val="none"/>
          <w:lang w:val="en-US" w:eastAsia="zh-CN"/>
        </w:rPr>
        <w:t>代建单位</w:t>
      </w:r>
      <w:r>
        <w:rPr>
          <w:rFonts w:hint="eastAsia" w:ascii="宋体" w:hAnsi="宋体" w:eastAsia="宋体" w:cs="宋体"/>
          <w:color w:val="auto"/>
          <w:highlight w:val="none"/>
        </w:rPr>
        <w:t>负责实施，相关检测费用由招标人承担。若中标人原因导致检测不合格的，该项检测费用及复检（或扩大检测）费用均由中标人承担。</w:t>
      </w:r>
    </w:p>
    <w:p w14:paraId="245BEAFF">
      <w:pPr>
        <w:pageBreakBefore w:val="0"/>
        <w:numPr>
          <w:ilvl w:val="0"/>
          <w:numId w:val="5"/>
        </w:numPr>
        <w:kinsoku/>
        <w:wordWrap/>
        <w:overflowPunct/>
        <w:topLinePunct w:val="0"/>
        <w:bidi w:val="0"/>
        <w:spacing w:line="360" w:lineRule="auto"/>
        <w:ind w:firstLine="403"/>
        <w:textAlignment w:val="auto"/>
        <w:rPr>
          <w:rFonts w:hint="default" w:ascii="宋体" w:hAnsi="宋体" w:eastAsia="宋体" w:cs="宋体"/>
          <w:bCs/>
          <w:color w:val="auto"/>
          <w:highlight w:val="none"/>
        </w:rPr>
      </w:pPr>
      <w:r>
        <w:rPr>
          <w:rFonts w:hint="eastAsia" w:ascii="宋体" w:hAnsi="宋体" w:cs="宋体"/>
          <w:bCs/>
          <w:color w:val="auto"/>
          <w:highlight w:val="none"/>
          <w:lang w:val="en-US" w:eastAsia="zh-CN"/>
        </w:rPr>
        <w:t xml:space="preserve"> </w:t>
      </w:r>
      <w:r>
        <w:rPr>
          <w:rFonts w:hint="eastAsia" w:ascii="宋体" w:hAnsi="宋体" w:eastAsia="宋体" w:cs="宋体"/>
          <w:color w:val="auto"/>
          <w:highlight w:val="none"/>
        </w:rPr>
        <w:t>本招标文件的所有内容及招标答疑均作为《建设工程施工合同》的附件，与《建设工程施工合同》具有同等的法律效力。</w:t>
      </w:r>
    </w:p>
    <w:p w14:paraId="3610BBC4">
      <w:pPr>
        <w:pageBreakBefore w:val="0"/>
        <w:numPr>
          <w:ilvl w:val="0"/>
          <w:numId w:val="5"/>
        </w:numPr>
        <w:kinsoku/>
        <w:wordWrap/>
        <w:overflowPunct/>
        <w:topLinePunct w:val="0"/>
        <w:bidi w:val="0"/>
        <w:spacing w:line="360" w:lineRule="auto"/>
        <w:ind w:firstLine="403"/>
        <w:textAlignment w:val="auto"/>
        <w:rPr>
          <w:rFonts w:hint="eastAsia" w:ascii="宋体" w:hAnsi="宋体" w:eastAsia="宋体" w:cs="宋体"/>
          <w:color w:val="auto"/>
          <w:highlight w:val="none"/>
        </w:rPr>
      </w:pPr>
      <w:r>
        <w:rPr>
          <w:rFonts w:hint="eastAsia" w:ascii="宋体" w:hAnsi="宋体" w:eastAsia="宋体" w:cs="宋体"/>
          <w:color w:val="auto"/>
          <w:highlight w:val="none"/>
        </w:rPr>
        <w:t>中标人须负责现场工地所需水、电开户、接驳等手续的办理和费用支出。工程中所产生的水、电费，如由招标人</w:t>
      </w:r>
      <w:r>
        <w:rPr>
          <w:rFonts w:hint="eastAsia" w:ascii="宋体" w:hAnsi="宋体" w:cs="宋体"/>
          <w:color w:val="auto"/>
          <w:highlight w:val="none"/>
          <w:lang w:val="en-US" w:eastAsia="zh-CN"/>
        </w:rPr>
        <w:t>或代建单位</w:t>
      </w:r>
      <w:r>
        <w:rPr>
          <w:rFonts w:hint="eastAsia" w:ascii="宋体" w:hAnsi="宋体" w:eastAsia="宋体" w:cs="宋体"/>
          <w:color w:val="auto"/>
          <w:highlight w:val="none"/>
        </w:rPr>
        <w:t>代支的，中标人必须在收到招标人</w:t>
      </w:r>
      <w:r>
        <w:rPr>
          <w:rFonts w:hint="eastAsia" w:ascii="宋体" w:hAnsi="宋体" w:cs="宋体"/>
          <w:color w:val="auto"/>
          <w:highlight w:val="none"/>
          <w:lang w:val="en-US" w:eastAsia="zh-CN"/>
        </w:rPr>
        <w:t>或代建单位</w:t>
      </w:r>
      <w:r>
        <w:rPr>
          <w:rFonts w:hint="eastAsia" w:ascii="宋体" w:hAnsi="宋体" w:eastAsia="宋体" w:cs="宋体"/>
          <w:color w:val="auto"/>
          <w:highlight w:val="none"/>
        </w:rPr>
        <w:t>通知之日起3天内全部返还，否则招标人</w:t>
      </w:r>
      <w:r>
        <w:rPr>
          <w:rFonts w:hint="eastAsia" w:ascii="宋体" w:hAnsi="宋体" w:cs="宋体"/>
          <w:color w:val="auto"/>
          <w:highlight w:val="none"/>
          <w:lang w:val="en-US" w:eastAsia="zh-CN"/>
        </w:rPr>
        <w:t>或代建单位</w:t>
      </w:r>
      <w:r>
        <w:rPr>
          <w:rFonts w:hint="eastAsia" w:ascii="宋体" w:hAnsi="宋体" w:eastAsia="宋体" w:cs="宋体"/>
          <w:color w:val="auto"/>
          <w:highlight w:val="none"/>
        </w:rPr>
        <w:t>有权暂缓支付工程进度款，直至中标人缴清所欠有关费用（包括水、电费滞纳金），招标人</w:t>
      </w:r>
      <w:r>
        <w:rPr>
          <w:rFonts w:hint="eastAsia" w:ascii="宋体" w:hAnsi="宋体" w:cs="宋体"/>
          <w:color w:val="auto"/>
          <w:highlight w:val="none"/>
          <w:lang w:val="en-US" w:eastAsia="zh-CN"/>
        </w:rPr>
        <w:t>或代建单位</w:t>
      </w:r>
      <w:r>
        <w:rPr>
          <w:rFonts w:hint="eastAsia" w:ascii="宋体" w:hAnsi="宋体" w:eastAsia="宋体" w:cs="宋体"/>
          <w:color w:val="auto"/>
          <w:highlight w:val="none"/>
        </w:rPr>
        <w:t>有权在应付的工程进度款中扣除代支的费用。</w:t>
      </w:r>
    </w:p>
    <w:p w14:paraId="68964B23">
      <w:pPr>
        <w:pageBreakBefore w:val="0"/>
        <w:numPr>
          <w:ilvl w:val="0"/>
          <w:numId w:val="5"/>
        </w:numPr>
        <w:kinsoku/>
        <w:wordWrap/>
        <w:overflowPunct/>
        <w:topLinePunct w:val="0"/>
        <w:bidi w:val="0"/>
        <w:spacing w:line="360" w:lineRule="auto"/>
        <w:ind w:firstLine="403"/>
        <w:textAlignment w:val="auto"/>
        <w:rPr>
          <w:rFonts w:hint="default" w:ascii="宋体" w:hAnsi="宋体" w:eastAsia="宋体" w:cs="宋体"/>
          <w:bCs/>
          <w:color w:val="auto"/>
          <w:highlight w:val="none"/>
        </w:rPr>
      </w:pPr>
      <w:r>
        <w:rPr>
          <w:rFonts w:hint="eastAsia" w:ascii="宋体" w:hAnsi="宋体" w:cs="宋体"/>
          <w:bCs/>
          <w:color w:val="auto"/>
          <w:highlight w:val="none"/>
          <w:lang w:val="en-US" w:eastAsia="zh-CN"/>
        </w:rPr>
        <w:t xml:space="preserve"> </w:t>
      </w:r>
      <w:r>
        <w:rPr>
          <w:rFonts w:hint="eastAsia" w:ascii="宋体" w:hAnsi="宋体" w:eastAsia="宋体" w:cs="宋体"/>
          <w:color w:val="auto"/>
          <w:highlight w:val="none"/>
        </w:rPr>
        <w:t>鉴于本工程的特殊性，对影响施工工期的极端恶劣天气与不可抗力因素以及重大活动保障等原因停工的，中标人应及时收集好相关资料，经代建单位审批后给予合理的工期补偿。</w:t>
      </w:r>
    </w:p>
    <w:p w14:paraId="3009F411">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14.1.18 </w:t>
      </w:r>
      <w:r>
        <w:rPr>
          <w:rFonts w:hint="eastAsia" w:ascii="宋体" w:hAnsi="宋体" w:eastAsia="宋体" w:cs="宋体"/>
          <w:color w:val="auto"/>
          <w:highlight w:val="none"/>
        </w:rPr>
        <w:t>根据住房和城乡建设部37号令《危险性较大的分部分项工程安全管理规定》，属于危险性较大的分部分项工程，应进行施工方案的专家论证。工程开工前中标人必须根据设计图纸、现场条件编制切实可行的施工组织方案，经审批后方可实施，涉及到危重大工程的施工专项方案由中标人编制后进行专家评审，相关费用由中标人负责。</w:t>
      </w:r>
    </w:p>
    <w:p w14:paraId="6DD6FF20">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14.1.19</w:t>
      </w:r>
      <w:r>
        <w:rPr>
          <w:rFonts w:hint="eastAsia" w:ascii="宋体" w:hAnsi="宋体" w:eastAsia="宋体" w:cs="宋体"/>
          <w:color w:val="auto"/>
          <w:highlight w:val="none"/>
        </w:rPr>
        <w:t>中标人需根据中建通[2024]148号《中山市住房和城乡建设局关于进一步规范房屋市政工程实名制管理的通知》对参建人员进行实名制管理，包括但不限于进场管理、登记造册、人员考勤以及各种证照的办理，并配备实名制管理所需的、符合标准要求的软硬件设施设备与中山市实名制平台完成直连对接。严格按照相关文件及招标人</w:t>
      </w:r>
      <w:r>
        <w:rPr>
          <w:rFonts w:hint="eastAsia" w:ascii="宋体" w:hAnsi="宋体" w:cs="宋体"/>
          <w:color w:val="auto"/>
          <w:highlight w:val="none"/>
          <w:lang w:val="en-US" w:eastAsia="zh-CN"/>
        </w:rPr>
        <w:t>和代建单位</w:t>
      </w:r>
      <w:r>
        <w:rPr>
          <w:rFonts w:hint="eastAsia" w:ascii="宋体" w:hAnsi="宋体" w:eastAsia="宋体" w:cs="宋体"/>
          <w:color w:val="auto"/>
          <w:highlight w:val="none"/>
        </w:rPr>
        <w:t>要求落实相关操作。</w:t>
      </w:r>
    </w:p>
    <w:p w14:paraId="3B1FA092">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14.1.20</w:t>
      </w:r>
      <w:r>
        <w:rPr>
          <w:rFonts w:hint="eastAsia" w:ascii="宋体" w:hAnsi="宋体" w:eastAsia="宋体" w:cs="宋体"/>
          <w:color w:val="auto"/>
          <w:highlight w:val="none"/>
        </w:rPr>
        <w:t>如工程涉及建筑垃圾处置的，中标人在开工前须按照《关于规范建设工程建筑垃圾全流程监管的告知书》要求，办理建筑垃圾处置相关手续，向主管部门报送垃圾处理方案并通过主管部门备案，以及向主管部门申请取得《城市建筑垃圾排放证》。垃圾处理过程中须中标人按文件要求做好相关管理台账及登记，并在中山市垃圾处理全流程监管平台注册并录入相关信息，按要求接入设备。未经主管部门核准，不得擅自外运建筑垃圾，不得将建筑垃圾交给未经核准从事建筑垃圾运输的单位或个人运输，不得擅自倾倒、抛撒工程施工过程中产生的建筑垃圾，违反相关规定的由中标人自行承担由此产生的相关责任。</w:t>
      </w:r>
    </w:p>
    <w:p w14:paraId="728E8441">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lang w:val="en-US" w:eastAsia="zh-CN"/>
        </w:rPr>
        <w:t>14.1.21</w:t>
      </w:r>
      <w:r>
        <w:rPr>
          <w:rFonts w:hint="eastAsia" w:ascii="宋体" w:hAnsi="宋体" w:eastAsia="宋体" w:cs="宋体"/>
          <w:color w:val="auto"/>
          <w:highlight w:val="none"/>
        </w:rPr>
        <w:t>工人工资专用账户管理约定：中标人应当在工程施工合同签订之日起30日内开立专用账户，并与招标人、开户银行签订资金管理三方协议。具体按照《工程建设领域农民工工资专用账户管理暂行办法》（人社部发【2021】53号）执行。</w:t>
      </w:r>
    </w:p>
    <w:p w14:paraId="414A4DF8">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14.1.22</w:t>
      </w:r>
      <w:r>
        <w:rPr>
          <w:rFonts w:hint="eastAsia" w:ascii="宋体" w:hAnsi="宋体" w:eastAsia="宋体" w:cs="宋体"/>
          <w:color w:val="auto"/>
          <w:highlight w:val="none"/>
        </w:rPr>
        <w:t>工人工资保证金缴纳具体按照《保障农民工工资支付条例》、《关于进一步推进我市工程建设领域工人工资保证金管理有关事项的通知》（中人社发【2021】33号）执行，中标人应当按照有关规定存储工资保证金或按要求出具有效保函，专项用于支付为所承包工程提供劳动的农民工被拖欠的工资。</w:t>
      </w:r>
    </w:p>
    <w:p w14:paraId="77C211F4">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14.1.23</w:t>
      </w:r>
      <w:r>
        <w:rPr>
          <w:rFonts w:hint="eastAsia" w:ascii="宋体" w:hAnsi="宋体" w:eastAsia="宋体" w:cs="宋体"/>
          <w:color w:val="auto"/>
          <w:highlight w:val="none"/>
        </w:rPr>
        <w:t>工程开工后</w:t>
      </w:r>
      <w:r>
        <w:rPr>
          <w:rFonts w:hint="eastAsia" w:ascii="宋体" w:hAnsi="宋体" w:eastAsia="宋体" w:cs="宋体"/>
          <w:b w:val="0"/>
          <w:bCs w:val="0"/>
          <w:color w:val="auto"/>
          <w:highlight w:val="none"/>
          <w:lang w:val="en-US" w:eastAsia="zh-CN"/>
        </w:rPr>
        <w:t>中标人</w:t>
      </w:r>
      <w:r>
        <w:rPr>
          <w:rFonts w:hint="eastAsia" w:ascii="宋体" w:hAnsi="宋体" w:eastAsia="宋体" w:cs="宋体"/>
          <w:color w:val="auto"/>
          <w:highlight w:val="none"/>
        </w:rPr>
        <w:t>需建立农民工工资发放台账、考勤表和工人进退场登记。施工期间要求安排两名及以上专人负责农民工工资管理，如实名制系统、工人工资专户、支付保函等，每日开展班前班后交底教育，核实工地班组出勤人员并提交</w:t>
      </w:r>
      <w:r>
        <w:rPr>
          <w:rFonts w:hint="eastAsia" w:ascii="宋体" w:hAnsi="宋体" w:eastAsia="宋体" w:cs="宋体"/>
          <w:color w:val="auto"/>
          <w:highlight w:val="none"/>
          <w:lang w:val="en-US" w:eastAsia="zh-CN"/>
        </w:rPr>
        <w:t>安全</w:t>
      </w:r>
      <w:r>
        <w:rPr>
          <w:rFonts w:hint="eastAsia" w:ascii="宋体" w:hAnsi="宋体" w:eastAsia="宋体" w:cs="宋体"/>
          <w:color w:val="auto"/>
          <w:highlight w:val="none"/>
        </w:rPr>
        <w:t>教育记录表至代建单位或监理单位备案。</w:t>
      </w:r>
    </w:p>
    <w:p w14:paraId="0053F19A">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14.1.24</w:t>
      </w:r>
      <w:r>
        <w:rPr>
          <w:rFonts w:hint="eastAsia" w:ascii="宋体" w:hAnsi="宋体" w:eastAsia="宋体" w:cs="宋体"/>
          <w:color w:val="auto"/>
          <w:highlight w:val="none"/>
        </w:rPr>
        <w:t>竣工验收及移交</w:t>
      </w:r>
    </w:p>
    <w:p w14:paraId="66CB092F">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工程实体完成，中标人完成质量保证资料并提交监理单位审核，如果监理单位认为质量保证资料存在问题，应当让中标人进行限期整改，如果监理单位认为质量保证资料完善，即提交代建单位复核并组织完工验收。</w:t>
      </w:r>
    </w:p>
    <w:p w14:paraId="32DA4C2E">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完工验收后，中标人应当按照整改通知书要求限期内对工程和竣工资料进行整改，并提交书面回复，由监理单位先进行审核再提交代建单位复核。如果代建单位或监理单位认为仍存在问题，中标人应当按照代建单位和监理单位的要求限期进行整改直至达到竣工验收条件为止，再行组织竣工验收。</w:t>
      </w:r>
    </w:p>
    <w:p w14:paraId="6D0DB597">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（3）中标人提交的工程竣工资料必须符合《建设工程文件归档规范》（GB/T50328-2014）</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2019版</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的相关规定，工程竣工验收报告经甲方认可后28天内，中标人须向代建单位递交竣工结算报告及完整的结算资料，中标人及代建单位按照《施工合同》及《施工合同补充协议》约定的合同价款及专用条款约定的合同条款调整内容，进行工程竣工验收。若中标人不按上述规定时间报送结算，代建单位可对中标人发催报书面通知；在通知规定期限内仍不报送结算的，代建单位有权按已有资料或按已付工程款报</w:t>
      </w:r>
      <w:r>
        <w:rPr>
          <w:rFonts w:hint="eastAsia" w:ascii="宋体" w:hAnsi="宋体" w:cs="宋体"/>
          <w:color w:val="auto"/>
          <w:highlight w:val="none"/>
          <w:lang w:val="en-US" w:eastAsia="zh-CN"/>
        </w:rPr>
        <w:t>招标人</w:t>
      </w:r>
      <w:r>
        <w:rPr>
          <w:rFonts w:hint="eastAsia" w:ascii="宋体" w:hAnsi="宋体" w:eastAsia="宋体" w:cs="宋体"/>
          <w:color w:val="auto"/>
          <w:highlight w:val="none"/>
        </w:rPr>
        <w:t>办理结算。</w:t>
      </w:r>
    </w:p>
    <w:p w14:paraId="7624B8F1">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（4）本工程中标人须按</w:t>
      </w:r>
      <w:r>
        <w:rPr>
          <w:rFonts w:hint="eastAsia" w:ascii="宋体" w:hAnsi="宋体" w:eastAsia="宋体" w:cs="宋体"/>
          <w:color w:val="auto"/>
          <w:highlight w:val="none"/>
          <w:lang w:eastAsia="zh-CN"/>
        </w:rPr>
        <w:t>《广东省市政基础设施工程竣工验收技术资料统一用表》（2019版）</w:t>
      </w:r>
      <w:r>
        <w:rPr>
          <w:rFonts w:hint="eastAsia" w:ascii="宋体" w:hAnsi="宋体" w:eastAsia="宋体" w:cs="宋体"/>
          <w:color w:val="auto"/>
          <w:highlight w:val="none"/>
        </w:rPr>
        <w:t>编制相关工程技术文件；除纸质技术资料外，还须提供电子文档（包括竣工图）。</w:t>
      </w:r>
    </w:p>
    <w:p w14:paraId="29298E1D">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14.1.25</w:t>
      </w:r>
      <w:r>
        <w:rPr>
          <w:rFonts w:hint="eastAsia" w:ascii="宋体" w:hAnsi="宋体" w:eastAsia="宋体" w:cs="宋体"/>
          <w:color w:val="auto"/>
          <w:highlight w:val="none"/>
        </w:rPr>
        <w:t>工程质量保修期及质量保证金</w:t>
      </w:r>
    </w:p>
    <w:p w14:paraId="5194F854">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工程质量保修期按《建设工程质量管理条例》有关规定执行，如属施工质量引起的问题，由中标人全部负责并无偿保修。发生紧急抢修事故的或涉及公共安全的，中标人在接到通知后，应立即到达事故现场抢修。超过半小时未到现场的，则代建单位可委托第三方进行维修，由此产生的维修费用，招标人有权直接在质量保证金中扣减并进行诚信扣分，如质量保证金不足以扣减的，招标人</w:t>
      </w:r>
      <w:r>
        <w:rPr>
          <w:rFonts w:hint="eastAsia" w:ascii="宋体" w:hAnsi="宋体" w:cs="宋体"/>
          <w:color w:val="auto"/>
          <w:highlight w:val="none"/>
          <w:lang w:val="en-US" w:eastAsia="zh-CN"/>
        </w:rPr>
        <w:t>或代建单位</w:t>
      </w:r>
      <w:r>
        <w:rPr>
          <w:rFonts w:hint="eastAsia" w:ascii="宋体" w:hAnsi="宋体" w:eastAsia="宋体" w:cs="宋体"/>
          <w:color w:val="auto"/>
          <w:highlight w:val="none"/>
        </w:rPr>
        <w:t>有权向中标人追偿，中标人应按代建单位要求限期补足。中标人须提供保修联系人电话，如有变动则即时函告代建单位和监理单位。</w:t>
      </w:r>
    </w:p>
    <w:p w14:paraId="62F5B469">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（2）若发生下列情况，中标人剩余的工程质量保证金由招标人代为扣减，若工程质量保证金不足，招标人</w:t>
      </w:r>
      <w:r>
        <w:rPr>
          <w:rFonts w:hint="eastAsia" w:ascii="宋体" w:hAnsi="宋体" w:cs="宋体"/>
          <w:color w:val="auto"/>
          <w:highlight w:val="none"/>
          <w:lang w:val="en-US" w:eastAsia="zh-CN"/>
        </w:rPr>
        <w:t>或代建单位</w:t>
      </w:r>
      <w:r>
        <w:rPr>
          <w:rFonts w:hint="eastAsia" w:ascii="宋体" w:hAnsi="宋体" w:eastAsia="宋体" w:cs="宋体"/>
          <w:color w:val="auto"/>
          <w:highlight w:val="none"/>
        </w:rPr>
        <w:t>有权追偿，中标人应按招标人</w:t>
      </w:r>
      <w:r>
        <w:rPr>
          <w:rFonts w:hint="eastAsia" w:ascii="宋体" w:hAnsi="宋体" w:cs="宋体"/>
          <w:color w:val="auto"/>
          <w:highlight w:val="none"/>
          <w:lang w:val="en-US" w:eastAsia="zh-CN"/>
        </w:rPr>
        <w:t>或代建单位</w:t>
      </w:r>
      <w:r>
        <w:rPr>
          <w:rFonts w:hint="eastAsia" w:ascii="宋体" w:hAnsi="宋体" w:eastAsia="宋体" w:cs="宋体"/>
          <w:color w:val="auto"/>
          <w:highlight w:val="none"/>
        </w:rPr>
        <w:t>要求限期补足。</w:t>
      </w:r>
    </w:p>
    <w:p w14:paraId="37CD40E7">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1）属于中标人施工质量责任，需返工或重修，但中标人没有及时进行，致使代建单位另外聘请其它施工队伍完成，所产生的费用由招标人在中标人的质量保证金中扣减抵销，并对中标人进行诚信扣分。</w:t>
      </w:r>
    </w:p>
    <w:p w14:paraId="3A0E9101">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属于中标人职责范围的收尾工作或遗留问题，中标人没有按期完成或问题悬而未决，致使代建单位另外聘请其它施工队伍完成，所产生的费用由招标人在中标人的质量保证金中扣减抵销，并对中标人进行诚信扣分。</w:t>
      </w:r>
    </w:p>
    <w:p w14:paraId="6D46C842">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14.1.26</w:t>
      </w:r>
      <w:r>
        <w:rPr>
          <w:rFonts w:hint="eastAsia" w:ascii="宋体" w:hAnsi="宋体" w:eastAsia="宋体" w:cs="宋体"/>
          <w:color w:val="auto"/>
          <w:highlight w:val="none"/>
        </w:rPr>
        <w:t>工程价款结算及调整</w:t>
      </w:r>
    </w:p>
    <w:p w14:paraId="78440904">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（1）本工程采用固定总价方式，中标人负责按中标价完成施工设计图的所有工作内容，除招标人及代建单位确认的变更外，结算价不予调整；如中标人没有完成施工设计图的工作内容，则</w:t>
      </w:r>
      <w:r>
        <w:rPr>
          <w:rFonts w:hint="eastAsia" w:ascii="宋体" w:hAnsi="宋体" w:cs="宋体"/>
          <w:color w:val="auto"/>
          <w:highlight w:val="none"/>
          <w:lang w:val="en-US" w:eastAsia="zh-CN"/>
        </w:rPr>
        <w:t>代建单位</w:t>
      </w:r>
      <w:r>
        <w:rPr>
          <w:rFonts w:hint="eastAsia" w:ascii="宋体" w:hAnsi="宋体" w:eastAsia="宋体" w:cs="宋体"/>
          <w:color w:val="auto"/>
          <w:highlight w:val="none"/>
        </w:rPr>
        <w:t>对没有完成的部分相应扣减中标人的工程款。</w:t>
      </w:r>
    </w:p>
    <w:p w14:paraId="59EB59A0">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如因招标人及代建单位要求或同意的修改、变更，其承包价的增、减部分按中标人的分项工程清单项目的综合单价调整结算，如果中标人的分项工程清单项目的综合单价超出投标控制价上限价（即招标人中介预算分项工程清单项目的综合单价乘以上限下浮率）时，按中介预算单价乘以中标浮动率（中标浮动率=中标价与中介预算价的比率）得出后的单价调整结算；如中标预算中无该项目单价的，按本施工招标说明书的规定做出预算经代建单位审核后结算，结算单价按中标浮动率折算执行。但如果中标人的分项清单综合单价超高或需扣减的工程内容中标人清单综合单价超低，经代建单位审核，已严重偏离预算编制原则及市场价格的，则由招标人按本施工招标说明书的规定做出预算后结算，结算单价按招标人预算单价乘以中标浮动率执行。</w:t>
      </w:r>
    </w:p>
    <w:p w14:paraId="0EB32046">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变更、修改设计的工程内容，乙方不得拒绝承担。因设计、规划调整等原因导致工程内容增加或工期延误的，甲方或丙方有权调整招标范围及内容，并相应调整合同工期及价款。工期调整天数以定额工期为准，如定额工期无法计算的，则以三方协商为准，增加的工程费用按合同约定的计价方式结算。</w:t>
      </w:r>
    </w:p>
    <w:p w14:paraId="47BE8296">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2、工程合同履行期间，合同价差调整按市财政局、市住房城乡建设局《关于解决政府投资项目建筑主材调差问题的指导性意见》（中府办【2018】12号文）执行。</w:t>
      </w:r>
    </w:p>
    <w:p w14:paraId="49F31465">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3、造价风险</w:t>
      </w:r>
    </w:p>
    <w:p w14:paraId="512C852D">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（1）外运土石方或建筑废料等按5公里包干，任何情况下均不予调整。如有设计变更涉及到土方外运，也按此处理。</w:t>
      </w:r>
    </w:p>
    <w:p w14:paraId="1CCD9A63">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投标报价范围内的工程造价除设计变更或招标文件、招标答疑中允许的调整范围以及中山市人民政府办公室中府办〔2018〕12号文件允许的建筑主材调差外，其余不因市场价格变化而调整。在计费时，中标人应将施工风险系数等费用考虑入工程投标总报价中。</w:t>
      </w:r>
    </w:p>
    <w:p w14:paraId="106C70FD">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14.1.27</w:t>
      </w:r>
      <w:r>
        <w:rPr>
          <w:rFonts w:hint="eastAsia" w:ascii="宋体" w:hAnsi="宋体" w:eastAsia="宋体" w:cs="宋体"/>
          <w:color w:val="auto"/>
          <w:highlight w:val="none"/>
        </w:rPr>
        <w:t>承包条件</w:t>
      </w:r>
    </w:p>
    <w:p w14:paraId="114AB9B6">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（一）工期：</w:t>
      </w:r>
    </w:p>
    <w:p w14:paraId="6FB38D1C">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1、完工工期</w:t>
      </w:r>
      <w:r>
        <w:rPr>
          <w:rFonts w:hint="eastAsia" w:ascii="宋体" w:hAnsi="宋体" w:cs="宋体"/>
          <w:color w:val="auto"/>
          <w:highlight w:val="none"/>
          <w:u w:val="single"/>
          <w:lang w:val="en-US" w:eastAsia="zh-CN"/>
        </w:rPr>
        <w:t>150</w:t>
      </w:r>
      <w:r>
        <w:rPr>
          <w:rFonts w:hint="eastAsia" w:ascii="宋体" w:hAnsi="宋体" w:eastAsia="宋体" w:cs="宋体"/>
          <w:color w:val="auto"/>
          <w:highlight w:val="none"/>
        </w:rPr>
        <w:t>个日历天。完工验收指工程实体完成后，六方责任主体【即建设单位（招标人）、施工单位（中标人）、代建单位、勘察单位、设计单位和监理单位，若无勘察单位，则由其余五方责任主体负责】对工程实体进行验收（如需整改由中标人整改完成并书面回复招标人）并出具完工验收会议纪要，完工验收不等于竣工验收。</w:t>
      </w:r>
    </w:p>
    <w:p w14:paraId="16770DB9">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2、总工期：</w:t>
      </w:r>
      <w:r>
        <w:rPr>
          <w:rFonts w:hint="eastAsia" w:ascii="宋体" w:hAnsi="宋体" w:cs="宋体"/>
          <w:color w:val="auto"/>
          <w:highlight w:val="none"/>
          <w:u w:val="single"/>
          <w:lang w:val="en-US" w:eastAsia="zh-CN"/>
        </w:rPr>
        <w:t>240</w:t>
      </w:r>
      <w:r>
        <w:rPr>
          <w:rFonts w:hint="eastAsia" w:ascii="宋体" w:hAnsi="宋体" w:eastAsia="宋体" w:cs="宋体"/>
          <w:color w:val="auto"/>
          <w:highlight w:val="none"/>
        </w:rPr>
        <w:t>个日历天，即完工日期加90个日历天验收时间【本处所述的总工期等于《建设工程施工合同》第一部分合同协议书第二条的合同工期】。</w:t>
      </w:r>
    </w:p>
    <w:p w14:paraId="64562FF1">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3、具体开工日期以监理单位发出开工令之日为准，完工日期以完工验收资料（招标人、代建单位</w:t>
      </w:r>
      <w:r>
        <w:rPr>
          <w:rFonts w:hint="eastAsia" w:ascii="宋体" w:hAnsi="宋体" w:eastAsia="宋体" w:cs="宋体"/>
          <w:color w:val="auto"/>
          <w:highlight w:val="none"/>
        </w:rPr>
        <w:t>、监理单位、中标人、设计单位、勘察单位六方责任主体参与的会议纪要，若工程没有勘察单位，则以其余五方责任主体参与的会议纪要）为准；具备完工条件且中标人提交的资料已通过监理单位的审核后，中标人向代建单位提出完工验收申请，七个工作日内招标人必须组织完工验收。本工程的竣工验收在完工验收后90个日历天内完成。实际竣工验收日期以竣工验收报告上注明的竣工验收日期为准。</w:t>
      </w:r>
    </w:p>
    <w:p w14:paraId="0455B4D1">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二）在合同签订之日起14个日历天内，中标人须准备好所有需由中标人提供的报建手续资料并提交给代建单位（含办理施工许可及质安监委托的所有资料，资料目录见招标人提供的清单，中标人所提供的资料必须真实、准确、齐备、完整），如中标人逾期提供符合要求的报建资料，招标人或代建单位有权视以下不同情况进行处理：</w:t>
      </w:r>
    </w:p>
    <w:p w14:paraId="34D88874">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如中标人逾期提供符合要求的报建资料未超过5个日历天（含第5个日历天）的，自合同签订之日起第15个日历天起至中标人提供符合要求的报建资料之日期间，中标人按每天1000元的标准向招标人支付违约金，招标人有权在待支付的工程款中予以扣除。</w:t>
      </w:r>
    </w:p>
    <w:p w14:paraId="070DE18D">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如中标人逾期提供符合要求的报建资料超过5个日历天（不含第5个日历天）的，招标人或代建单位视情况可以选择：（1）单方解除《建设工程施工合同》，中标人已作的投入和花费由中标人自行承担，中标人按代建单位通知清理施工现场和完成交接工作，若给招标人或代建单位造成经济损失的，中标人还应向招标人或代建单位赔偿损失；（2）招标人与中标人继续履行合同，但中标人须按每天1000元的标准向招标人支付自合同签订之日起第15个日历天起至中标人提供符合要求的报建资料之日期间的违约金，招标人有权在待支付的工程款中予以扣除。</w:t>
      </w:r>
    </w:p>
    <w:p w14:paraId="7562B1EA">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（三）进度要求： </w:t>
      </w:r>
    </w:p>
    <w:p w14:paraId="452F3A4E">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1、中标人应于合同生效之日起三日内进场进行施工准备，按照中标人编制的实施性施工组织设计方案，经监理单位审批后报代建单位备案后实施。</w:t>
      </w:r>
    </w:p>
    <w:p w14:paraId="11C133A2">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2、中标人应严格按照投标时所拟定的各施工阶段的形象进度控制施工进度（每30天拟定一个形象进度）。中标人将按形象进度表每30天与代建单位确认一次工程进度，并进行工程量确认。</w:t>
      </w:r>
    </w:p>
    <w:p w14:paraId="58F2FB33">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如未经代建单位认可的特殊原因，中标人在工期落后的情况下，必须要有实际行动尽全力去补回施工进度。如落后两个进度且无相应补救措施的，招标人有权解除《施工合同》及《施工合同补充协议》，且无须支付剩余的工程款，所造成的损失由中标人赔偿给招标人。</w:t>
      </w:r>
    </w:p>
    <w:p w14:paraId="315CBD19">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（四）</w:t>
      </w:r>
      <w:r>
        <w:rPr>
          <w:rFonts w:hint="eastAsia" w:ascii="宋体" w:hAnsi="宋体" w:cs="宋体"/>
          <w:color w:val="auto"/>
          <w:highlight w:val="none"/>
          <w:lang w:eastAsia="zh-CN"/>
        </w:rPr>
        <w:t>安全生产措施费</w:t>
      </w:r>
    </w:p>
    <w:p w14:paraId="73095179">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1、中标人必须按照相关文件要求做好安全生产措施。不得发生安全事故，切实做好安全生产各项防范措施，加强安全施工管理，达到中山市规定文明工地标准。</w:t>
      </w:r>
    </w:p>
    <w:p w14:paraId="505D725B">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中标人必须按照相关文件的要求采取措施减少施工现场的噪音、扬尘等扰民情况（扬尘具体要求详见粤建电发【2018】20号文《关于广东省住房和城乡建设厅关于采取切实措施坚决遏制施工扬尘污染的紧急通知》）。</w:t>
      </w:r>
    </w:p>
    <w:p w14:paraId="1DE74C4C">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（五）中标人必须服从</w:t>
      </w:r>
      <w:r>
        <w:rPr>
          <w:rFonts w:hint="eastAsia" w:ascii="宋体" w:hAnsi="宋体" w:cs="宋体"/>
          <w:color w:val="auto"/>
          <w:highlight w:val="none"/>
          <w:lang w:val="en-US" w:eastAsia="zh-CN"/>
        </w:rPr>
        <w:t>代建单位</w:t>
      </w:r>
      <w:r>
        <w:rPr>
          <w:rFonts w:hint="eastAsia" w:ascii="宋体" w:hAnsi="宋体" w:eastAsia="宋体" w:cs="宋体"/>
          <w:color w:val="auto"/>
          <w:highlight w:val="none"/>
        </w:rPr>
        <w:t>及建设主管部门的管理，严格执行国家有关质量、安全管理规定。对</w:t>
      </w:r>
      <w:r>
        <w:rPr>
          <w:rFonts w:hint="default" w:ascii="宋体" w:hAnsi="宋体" w:cs="宋体"/>
          <w:color w:val="auto"/>
          <w:highlight w:val="none"/>
        </w:rPr>
        <w:t>代建单位</w:t>
      </w:r>
      <w:r>
        <w:rPr>
          <w:rFonts w:hint="eastAsia" w:ascii="宋体" w:hAnsi="宋体" w:eastAsia="宋体" w:cs="宋体"/>
          <w:color w:val="auto"/>
          <w:highlight w:val="none"/>
        </w:rPr>
        <w:t>、建设主管部门、监理工程师发出的整改通知，必须按期整改落实并回复。</w:t>
      </w:r>
    </w:p>
    <w:p w14:paraId="5C7CA72A">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（六）中标人必须编写合理、完善的交通疏导方案，交通疏导方案必须于开工前通过交警部门审批。</w:t>
      </w:r>
    </w:p>
    <w:p w14:paraId="58D71B13">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cs="宋体"/>
          <w:color w:val="auto"/>
          <w:highlight w:val="none"/>
          <w:lang w:val="en-US" w:eastAsia="zh-CN"/>
        </w:rPr>
        <w:t>七</w:t>
      </w:r>
      <w:r>
        <w:rPr>
          <w:rFonts w:hint="eastAsia" w:ascii="宋体" w:hAnsi="宋体" w:eastAsia="宋体" w:cs="宋体"/>
          <w:color w:val="auto"/>
          <w:highlight w:val="none"/>
        </w:rPr>
        <w:t>）无论是《施工合同》履行期间还是工程质量保修期结束后，中标人均应无条件配合招标人</w:t>
      </w:r>
      <w:r>
        <w:rPr>
          <w:rFonts w:hint="default" w:ascii="宋体" w:hAnsi="宋体" w:cs="宋体"/>
          <w:color w:val="auto"/>
          <w:highlight w:val="none"/>
        </w:rPr>
        <w:t>和代建单位</w:t>
      </w:r>
      <w:r>
        <w:rPr>
          <w:rFonts w:hint="eastAsia" w:ascii="宋体" w:hAnsi="宋体" w:eastAsia="宋体" w:cs="宋体"/>
          <w:color w:val="auto"/>
          <w:highlight w:val="none"/>
        </w:rPr>
        <w:t>有关工程审计工作和相关部门对于本工程的检查工作（包括但不限于协助提供资料、参加会议、现场接待、回答相关部门的提问等）。</w:t>
      </w:r>
    </w:p>
    <w:p w14:paraId="08F033D4">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cs="宋体"/>
          <w:color w:val="auto"/>
          <w:highlight w:val="none"/>
          <w:lang w:val="en-US" w:eastAsia="zh-CN"/>
        </w:rPr>
        <w:t>八</w:t>
      </w:r>
      <w:r>
        <w:rPr>
          <w:rFonts w:hint="eastAsia" w:ascii="宋体" w:hAnsi="宋体" w:eastAsia="宋体" w:cs="宋体"/>
          <w:color w:val="auto"/>
          <w:highlight w:val="none"/>
        </w:rPr>
        <w:t>）分包的约定</w:t>
      </w:r>
    </w:p>
    <w:p w14:paraId="023B7DFE">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中标人经代建单位同意进行专业工程分包或劳务作业分包的，需确保分包单位具有相应的资质和能力。工程分包不减轻或免除中标人的责任和义务，中标人和分包单位就分包工程向招标人及代建单位承担连带责任。</w:t>
      </w:r>
    </w:p>
    <w:p w14:paraId="12A551DD">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中标人应在分包工程实施前签订分包合同，并在签订分包合同前向监理人报送分包合同、分包单位的营业执照、安全生产许可证、银行开户证明、资质证书、及分包单位投入人员名单、身份证、资格证、劳动合同及社保等资料进行审查，审查合格的报送代建单位复核备案。代建单位同意备案的，中标人方可与分包单位签订分包合同，并在合同签订后7个日历天内向代建单位及监理人提交已签订的分包合同，未经代建单位同意备案的不得签订分包合同，且不得进场施工。</w:t>
      </w:r>
    </w:p>
    <w:p w14:paraId="34C78CCE">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中标人及分包单位需分别设立项目管理机构，配置人员，分包单位的主要管理人员必须是本单位人员。中标人需建立分包管理制度和台账，对分包工程的质量、安全、进度、人员等实施全过程管理，每月更新分包台账报监理人、代建单位留存。中标人需对分包单位的施工人员进行实名制管理，包括但不限于进场管理、登记造册以及各种证照的办理。</w:t>
      </w:r>
    </w:p>
    <w:p w14:paraId="25B9B9F2">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4、分包合同价款由中标人与分包单位结算。如生效法律文书要求招标人向分包单位支付分包合同价款的，招标人有权从应付中标人工程款中扣除该部分款项。</w:t>
      </w:r>
    </w:p>
    <w:p w14:paraId="5BBA604B">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14.1.28</w:t>
      </w:r>
      <w:r>
        <w:rPr>
          <w:rFonts w:hint="eastAsia" w:ascii="宋体" w:hAnsi="宋体" w:eastAsia="宋体" w:cs="宋体"/>
          <w:color w:val="auto"/>
          <w:highlight w:val="none"/>
        </w:rPr>
        <w:t>工程价款支付</w:t>
      </w:r>
    </w:p>
    <w:p w14:paraId="35B600AB">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中标人在开工前必须完善办理各类报建手续，包括项目工人工资分账管理资料，工人工资分账具体按照《中山市住房和城乡建设局关于进一步落实工人工资分账管理的通知》（中建通【2016】18号）执行，招标人向中标人支付工程进度款时，招标人将工程进度款的20%支付至中标人的工人工资专用账户。</w:t>
      </w:r>
    </w:p>
    <w:p w14:paraId="1C1EA508">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2、本项目预付款额度为合同金额（扣除暂列金额）的1</w:t>
      </w:r>
      <w:r>
        <w:rPr>
          <w:rFonts w:hint="eastAsia" w:ascii="宋体" w:hAnsi="宋体" w:cs="宋体"/>
          <w:color w:val="auto"/>
          <w:highlight w:val="none"/>
          <w:lang w:val="en-US" w:eastAsia="zh-CN"/>
        </w:rPr>
        <w:t>0</w:t>
      </w:r>
      <w:r>
        <w:rPr>
          <w:rFonts w:hint="eastAsia" w:ascii="宋体" w:hAnsi="宋体" w:eastAsia="宋体" w:cs="宋体"/>
          <w:color w:val="auto"/>
          <w:highlight w:val="none"/>
        </w:rPr>
        <w:t>%。具体包括如下：</w:t>
      </w:r>
    </w:p>
    <w:p w14:paraId="1965284A">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（1）工人工资预付款：按照中山市根治拖欠农民工工资工作领导小组办公室发布的《</w:t>
      </w:r>
      <w:r>
        <w:rPr>
          <w:rFonts w:hint="eastAsia" w:ascii="宋体" w:hAnsi="宋体" w:eastAsia="宋体" w:cs="宋体"/>
          <w:color w:val="auto"/>
          <w:highlight w:val="none"/>
          <w:lang w:eastAsia="zh-CN"/>
        </w:rPr>
        <w:t>关于落实政府工程预付款的通知</w:t>
      </w:r>
      <w:r>
        <w:rPr>
          <w:rFonts w:hint="eastAsia" w:ascii="宋体" w:hAnsi="宋体" w:eastAsia="宋体" w:cs="宋体"/>
          <w:color w:val="auto"/>
          <w:highlight w:val="none"/>
        </w:rPr>
        <w:t>》执行，根据施工合同价按照上述文件条款确认该笔预付款金额。在签订《施工合同》后，由中标人提出申请经监理单位核实，并经代建单位核实确认和招标人同意后，由招标人直接划入中标人工人工资专用账户。该笔款项在本工程第一期工程进度款中一次性进行抵扣。</w:t>
      </w:r>
    </w:p>
    <w:p w14:paraId="7539F220">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cs="宋体"/>
          <w:color w:val="auto"/>
          <w:highlight w:val="none"/>
          <w:lang w:eastAsia="zh-CN"/>
        </w:rPr>
        <w:t>安全生产措施费</w:t>
      </w:r>
      <w:r>
        <w:rPr>
          <w:rFonts w:hint="eastAsia" w:ascii="宋体" w:hAnsi="宋体" w:eastAsia="宋体" w:cs="宋体"/>
          <w:color w:val="auto"/>
          <w:highlight w:val="none"/>
        </w:rPr>
        <w:t>预付款：按照《广东省建设厅建筑工程安全防护、文明施工措施费用管理办法》（粤建管字【2007】39号文）文件规定，本工程</w:t>
      </w:r>
      <w:r>
        <w:rPr>
          <w:rFonts w:hint="eastAsia" w:ascii="宋体" w:hAnsi="宋体" w:cs="宋体"/>
          <w:color w:val="auto"/>
          <w:highlight w:val="none"/>
          <w:lang w:eastAsia="zh-CN"/>
        </w:rPr>
        <w:t>安全生产措施费</w:t>
      </w:r>
      <w:r>
        <w:rPr>
          <w:rFonts w:hint="eastAsia" w:ascii="宋体" w:hAnsi="宋体" w:eastAsia="宋体" w:cs="宋体"/>
          <w:color w:val="auto"/>
          <w:highlight w:val="none"/>
        </w:rPr>
        <w:t>预付款为该项费用总额的</w:t>
      </w:r>
      <w:r>
        <w:rPr>
          <w:rFonts w:hint="eastAsia" w:ascii="宋体" w:hAnsi="宋体" w:cs="宋体"/>
          <w:color w:val="auto"/>
          <w:highlight w:val="none"/>
          <w:u w:val="none"/>
          <w:lang w:val="en-US" w:eastAsia="zh-CN"/>
        </w:rPr>
        <w:t>5</w:t>
      </w:r>
      <w:r>
        <w:rPr>
          <w:rFonts w:hint="eastAsia" w:ascii="宋体" w:hAnsi="宋体" w:eastAsia="宋体" w:cs="宋体"/>
          <w:color w:val="auto"/>
          <w:highlight w:val="none"/>
          <w:u w:val="none"/>
          <w:lang w:val="en-US" w:eastAsia="zh-CN"/>
        </w:rPr>
        <w:t>0</w:t>
      </w:r>
      <w:r>
        <w:rPr>
          <w:rFonts w:hint="eastAsia" w:ascii="宋体" w:hAnsi="宋体" w:eastAsia="宋体" w:cs="宋体"/>
          <w:color w:val="auto"/>
          <w:highlight w:val="none"/>
          <w:u w:val="none"/>
        </w:rPr>
        <w:t>%</w:t>
      </w:r>
      <w:r>
        <w:rPr>
          <w:rFonts w:hint="eastAsia" w:ascii="宋体" w:hAnsi="宋体" w:eastAsia="宋体" w:cs="宋体"/>
          <w:color w:val="auto"/>
          <w:highlight w:val="none"/>
        </w:rPr>
        <w:t>。在签订《施工合同》后，由中标人提出申请经监理单位核实，并经代建单位核实和招标人同意后支付。该笔款项按</w:t>
      </w:r>
      <w:r>
        <w:rPr>
          <w:rFonts w:hint="eastAsia" w:ascii="宋体" w:hAnsi="宋体" w:eastAsia="宋体" w:cs="宋体"/>
          <w:color w:val="auto"/>
          <w:highlight w:val="none"/>
          <w:lang w:val="en-US" w:eastAsia="zh-CN"/>
        </w:rPr>
        <w:t>招标人及</w:t>
      </w:r>
      <w:r>
        <w:rPr>
          <w:rFonts w:hint="eastAsia" w:ascii="宋体" w:hAnsi="宋体" w:eastAsia="宋体" w:cs="宋体"/>
          <w:color w:val="auto"/>
          <w:highlight w:val="none"/>
        </w:rPr>
        <w:t>代建单位审核后的每期工程进度款中的</w:t>
      </w:r>
      <w:r>
        <w:rPr>
          <w:rFonts w:hint="eastAsia" w:ascii="宋体" w:hAnsi="宋体" w:cs="宋体"/>
          <w:color w:val="auto"/>
          <w:highlight w:val="none"/>
          <w:lang w:eastAsia="zh-CN"/>
        </w:rPr>
        <w:t>安全生产措施费</w:t>
      </w:r>
      <w:r>
        <w:rPr>
          <w:rFonts w:hint="eastAsia" w:ascii="宋体" w:hAnsi="宋体" w:eastAsia="宋体" w:cs="宋体"/>
          <w:color w:val="auto"/>
          <w:highlight w:val="none"/>
        </w:rPr>
        <w:t>进行抵扣，直至抵扣完毕后再支付余下安全生产费。余下的</w:t>
      </w:r>
      <w:r>
        <w:rPr>
          <w:rFonts w:hint="eastAsia" w:ascii="宋体" w:hAnsi="宋体" w:cs="宋体"/>
          <w:color w:val="auto"/>
          <w:highlight w:val="none"/>
          <w:lang w:eastAsia="zh-CN"/>
        </w:rPr>
        <w:t>安全生产措施费</w:t>
      </w:r>
      <w:r>
        <w:rPr>
          <w:rFonts w:hint="eastAsia" w:ascii="宋体" w:hAnsi="宋体" w:eastAsia="宋体" w:cs="宋体"/>
          <w:color w:val="auto"/>
          <w:highlight w:val="none"/>
        </w:rPr>
        <w:t>与工程进度款同期支付，按施工进度以及代建单位、监理、中标人共同核定的安全生产落实情况支付。</w:t>
      </w:r>
    </w:p>
    <w:p w14:paraId="3BFF2A2C">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（3）其它预付款：为合同金额（扣除暂列金额）的1</w:t>
      </w:r>
      <w:r>
        <w:rPr>
          <w:rFonts w:hint="eastAsia" w:ascii="宋体" w:hAnsi="宋体" w:cs="宋体"/>
          <w:color w:val="auto"/>
          <w:highlight w:val="none"/>
          <w:lang w:val="en-US" w:eastAsia="zh-CN"/>
        </w:rPr>
        <w:t>0</w:t>
      </w:r>
      <w:r>
        <w:rPr>
          <w:rFonts w:hint="eastAsia" w:ascii="宋体" w:hAnsi="宋体" w:eastAsia="宋体" w:cs="宋体"/>
          <w:color w:val="auto"/>
          <w:highlight w:val="none"/>
        </w:rPr>
        <w:t>%扣除上述工人工资预付款、</w:t>
      </w:r>
      <w:r>
        <w:rPr>
          <w:rFonts w:hint="eastAsia" w:ascii="宋体" w:hAnsi="宋体" w:cs="宋体"/>
          <w:color w:val="auto"/>
          <w:highlight w:val="none"/>
          <w:lang w:eastAsia="zh-CN"/>
        </w:rPr>
        <w:t>安全生产措施费</w:t>
      </w:r>
      <w:r>
        <w:rPr>
          <w:rFonts w:hint="eastAsia" w:ascii="宋体" w:hAnsi="宋体" w:eastAsia="宋体" w:cs="宋体"/>
          <w:color w:val="auto"/>
          <w:highlight w:val="none"/>
        </w:rPr>
        <w:t>预付款后的款项。</w:t>
      </w:r>
      <w:r>
        <w:rPr>
          <w:rFonts w:hint="eastAsia" w:ascii="宋体" w:hAnsi="宋体" w:cs="宋体"/>
          <w:color w:val="auto"/>
          <w:highlight w:val="none"/>
          <w:lang w:val="en-US" w:eastAsia="zh-CN"/>
        </w:rPr>
        <w:t>招标人</w:t>
      </w:r>
      <w:r>
        <w:rPr>
          <w:rFonts w:hint="eastAsia" w:ascii="宋体" w:hAnsi="宋体" w:eastAsia="宋体" w:cs="宋体"/>
          <w:color w:val="auto"/>
          <w:highlight w:val="none"/>
        </w:rPr>
        <w:t>、中标人双方需签订三方监管协议后支付至双方及监管银行约定的三方</w:t>
      </w:r>
      <w:r>
        <w:rPr>
          <w:rFonts w:hint="eastAsia" w:ascii="宋体" w:hAnsi="宋体" w:cs="宋体"/>
          <w:color w:val="auto"/>
          <w:highlight w:val="none"/>
          <w:lang w:val="en-US" w:eastAsia="zh-CN"/>
        </w:rPr>
        <w:t>监管</w:t>
      </w:r>
      <w:r>
        <w:rPr>
          <w:rFonts w:hint="eastAsia" w:ascii="宋体" w:hAnsi="宋体" w:eastAsia="宋体" w:cs="宋体"/>
          <w:color w:val="auto"/>
          <w:highlight w:val="none"/>
        </w:rPr>
        <w:t>账户。该笔款项按</w:t>
      </w:r>
      <w:r>
        <w:rPr>
          <w:rFonts w:hint="eastAsia" w:ascii="宋体" w:hAnsi="宋体" w:cs="宋体"/>
          <w:color w:val="auto"/>
          <w:highlight w:val="none"/>
          <w:lang w:val="en-US" w:eastAsia="zh-CN"/>
        </w:rPr>
        <w:t>招标人</w:t>
      </w:r>
      <w:r>
        <w:rPr>
          <w:rFonts w:hint="eastAsia" w:ascii="宋体" w:hAnsi="宋体" w:eastAsia="宋体" w:cs="宋体"/>
          <w:color w:val="auto"/>
          <w:highlight w:val="none"/>
        </w:rPr>
        <w:t>及</w:t>
      </w:r>
      <w:r>
        <w:rPr>
          <w:rFonts w:hint="eastAsia" w:ascii="宋体" w:hAnsi="宋体" w:eastAsia="宋体" w:cs="宋体"/>
          <w:color w:val="auto"/>
          <w:highlight w:val="none"/>
          <w:lang w:val="en-US" w:eastAsia="zh-CN"/>
        </w:rPr>
        <w:t>代建单位</w:t>
      </w:r>
      <w:r>
        <w:rPr>
          <w:rFonts w:hint="eastAsia" w:ascii="宋体" w:hAnsi="宋体" w:eastAsia="宋体" w:cs="宋体"/>
          <w:color w:val="auto"/>
          <w:highlight w:val="none"/>
        </w:rPr>
        <w:t>审核后的每期工程进度款进行抵扣，直至抵扣完毕后再支付余下工程款。</w:t>
      </w:r>
    </w:p>
    <w:p w14:paraId="61E07444">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进度款支付：本项目施工进度款按当月实际完成工程量（不包括工程实施过程中的工程变更，除非另有约定）计算，经监理人员核实且代建单位认可后，由招标人支付给中标人，进度款按当月完成工程价款的80%支付（不包括工程实施过程中的工程变更导致的工程造价增加，除非另有约定）。</w:t>
      </w:r>
    </w:p>
    <w:p w14:paraId="1C2C8A37">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4、中标人最终完成的工程量以</w:t>
      </w:r>
      <w:r>
        <w:rPr>
          <w:rFonts w:hint="eastAsia" w:ascii="宋体" w:hAnsi="宋体" w:cs="宋体"/>
          <w:color w:val="auto"/>
          <w:highlight w:val="none"/>
          <w:lang w:val="en-US" w:eastAsia="zh-CN"/>
        </w:rPr>
        <w:t>建设单位</w:t>
      </w:r>
      <w:r>
        <w:rPr>
          <w:rFonts w:hint="eastAsia" w:ascii="宋体" w:hAnsi="宋体" w:eastAsia="宋体" w:cs="宋体"/>
          <w:color w:val="auto"/>
          <w:highlight w:val="none"/>
        </w:rPr>
        <w:t>委托的第三方审核单位出具的审核结果为准。</w:t>
      </w:r>
    </w:p>
    <w:p w14:paraId="67DD65EB">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5、</w:t>
      </w:r>
      <w:r>
        <w:rPr>
          <w:rFonts w:hint="eastAsia" w:ascii="宋体" w:hAnsi="宋体" w:eastAsia="宋体" w:cs="宋体"/>
          <w:color w:val="auto"/>
          <w:highlight w:val="none"/>
          <w:lang w:val="en-US" w:eastAsia="zh-CN"/>
        </w:rPr>
        <w:t>工程款的结算：</w:t>
      </w:r>
      <w:r>
        <w:rPr>
          <w:rFonts w:hint="eastAsia" w:ascii="宋体" w:hAnsi="宋体" w:eastAsia="宋体" w:cs="宋体"/>
          <w:color w:val="auto"/>
          <w:highlight w:val="none"/>
        </w:rPr>
        <w:t>工程竣工验收合格后支付至已完成工程价款的80%（不包括工程实施过程中的工程变更导致的工程造价增加，除非另有约定），工程完成结算审核后支付至工程结算价的97%（若招标人已支付的工程进度款超过工程结算价，则中标人应在收到代建单位的通知后30日内退还多收取的工程款），工程结算价的3%作为工程质量保证金。质量保证金在缺陷责任期（2年）满后由中标人提出申请，经代建单位审核后招标人一次性返还给中标人（不计利息）。</w:t>
      </w:r>
    </w:p>
    <w:p w14:paraId="1F84CB91">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6、中标人必须在收到工程进度款后，于每月15日前发放工人工资并做好发放记录，不得以任何借口拒绝发放工人工资，同时，若由此引起的任何纠纷，均由中标人负责。</w:t>
      </w:r>
    </w:p>
    <w:p w14:paraId="77895F0E">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7、因招标人使用财政资金，招标人向财务部门申请付款即视为已付款，因财务部门审批导致付款延迟的不属于违约。</w:t>
      </w:r>
    </w:p>
    <w:p w14:paraId="29CF048E">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8、若《施工合同》履行期间，中标人公司名称发生变更，需提前书面告知招标人及代建单位，并办好相关名称变更手续。否则，因此造成的工程款或合同款无法正常支付等后果均由中标人承担，招标人及代建单位不负任何责任，中标人还需赔偿由此给招标人及代建单位造成的损失。</w:t>
      </w:r>
    </w:p>
    <w:p w14:paraId="6B5A77A9">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cs="宋体"/>
          <w:color w:val="auto"/>
          <w:highlight w:val="none"/>
          <w:lang w:val="en-US" w:eastAsia="zh-CN"/>
        </w:rPr>
        <w:t>14.1.29</w:t>
      </w:r>
      <w:r>
        <w:rPr>
          <w:rFonts w:hint="eastAsia" w:ascii="宋体" w:hAnsi="宋体" w:eastAsia="宋体" w:cs="宋体"/>
          <w:color w:val="auto"/>
          <w:highlight w:val="none"/>
        </w:rPr>
        <w:t>违约处罚</w:t>
      </w:r>
    </w:p>
    <w:p w14:paraId="76B019D2">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中标人通过贿赂、伪造资质等手段非法骗取中标的，被行政机关查实并出具相关文书等情形的，视为投标人违约，招标人及代建单位有权单方解除《建设工程施工合同》及《施工合同补充协议》，不予退还投标人的履约保证金，由此给招标人及代建单位造成经济损失的，应予以赔偿。</w:t>
      </w:r>
    </w:p>
    <w:p w14:paraId="06ADBBC7">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本工程中标人不得转包或违法分包，若中标人被行政机关依法出具非法转包或分包行政处罚决定书等情形的，视为中标人违约，并处签约合同价的3%作为违约金，同时招标人及代建单位有权单方解除《建设工程施工合同》及《施工合同补充协议》、不予退还履约保证金（若中标人是通过履约保函的方式提供担保的，中标人已提交的履约保函原件不予退还，代建单位有权要求出具履约保函的银行或保险公司或担保公司将履约保证金支付到招标人指定账户；若保函无法兑现，则中标人需要赔偿招标人与履约保证金等额的款项），招标人无需向中标人支付剩余合同工程款，中标人给招标人所造成的一切损失由中标人承担。</w:t>
      </w:r>
    </w:p>
    <w:p w14:paraId="45BD78A7">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如中标人竣工验收时达不到要求工程等级或工程质量要求或竣工验收资料不齐全、不符合招标人要求的，中标人应采取一切可能的措施进行补救，所需费用由中标人全部无条件承担，并向招标人及代建单位补偿因此所造成的一切损失。</w:t>
      </w:r>
    </w:p>
    <w:p w14:paraId="22896E5C">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4、如中标人擅自改动设计图纸或使用不当材料而造成的质量事故，中标人负全部责任并赔偿一切损失；中标人未经设计单位及代建单位许可，不得擅自改动图纸或施工方案，否则，招标人及代建单位有权解除《施工合同》及《施工合同补充协议》，且无须支付剩余的工程款，招标人及代建单位由此遭受的损失由中标人承担。</w:t>
      </w:r>
    </w:p>
    <w:p w14:paraId="381E28C1">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5、施工过程中，若因为施工原因（包括施工方法、保护措施失当等因素）而对现有已建工程造成损坏，由中标人负责处理和解决，并赔偿招标人及代建单位因此而产生的一切损失。</w:t>
      </w:r>
    </w:p>
    <w:p w14:paraId="07314016">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6、因中标人责任达不到合同工期的，作不良行为记录。</w:t>
      </w:r>
    </w:p>
    <w:p w14:paraId="42BFD43B">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7、对中标人无视安全施工和文明施工要求，且未能按代建单位、监理工程师等所提的整改意见进行整改，代建单位将上报主管职能部门，由职能部门按《生产安全事故报告和调查处理条例》和《广东省住房和城乡建设厅关于印发&lt;房屋建筑和市政基础设施工程施工质量安全动态管理办法&gt;的通知》进行处罚。</w:t>
      </w:r>
    </w:p>
    <w:p w14:paraId="2A6F2B6F">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8、中标人实际投入的施工管理人员必须与中标人投标书和《施工合同》中的施工管理人员相符，一经中标且签订《施工合同》后，需按投标时的人员办理施工许可，不得随意更改。如确需更换，须按广东省住房和城乡建设厅印发《广东省住房和城乡建设厅关于建设工程项目招标中标后监督检查的办法》的通知（粤建市〔2009〕8号）的有关规定进行申请，提供更换原因的凭证，并经代建单位同意，同时，中标人仍需要按照下表向招标人支付违约金。如中标人未经代建单位同意擅自更换施工管理人员，招标人及代建单位有权选择：（1）解除《施工合同》及《施工合同补充协议》，中标人按下表向招标人支付违约金。同时招标人有权将中标人的情况提交主管部门作不诚信单位予以备案。（2）中标人继续履行合同，并按下表向招标人支付违约金。</w:t>
      </w:r>
    </w:p>
    <w:p w14:paraId="562CAC17">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9、如因监理人认为已委派的项目经理或主要人员的工作能力和业务水平不称职的需要更换人员的，经代建单位同意后更换，并按下表更换人员的违约金额进行扣罚，招标人有权在待支付的工程款中进行抵扣。</w:t>
      </w:r>
    </w:p>
    <w:p w14:paraId="0426EB84">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10、所有经过代建单位同意更换的人员均需经监理单位审核并报代建单位批准后，用同等或以上资质和经历的人员替换，否则不予以更换。</w:t>
      </w:r>
    </w:p>
    <w:p w14:paraId="624F133E">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11、如因重大疾病等不可抗力原因导致更换人员的，经监理单位及代建单位核实后，中标人用同等或以上资质和经历的人员替换，无需扣罚违约金。</w:t>
      </w:r>
    </w:p>
    <w:p w14:paraId="639B9D08">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更换人员违约金处罚明细：</w:t>
      </w:r>
    </w:p>
    <w:tbl>
      <w:tblPr>
        <w:tblStyle w:val="26"/>
        <w:tblpPr w:leftFromText="180" w:rightFromText="180" w:vertAnchor="text" w:horzAnchor="page" w:tblpX="1441" w:tblpY="545"/>
        <w:tblOverlap w:val="never"/>
        <w:tblW w:w="9570" w:type="dxa"/>
        <w:tblInd w:w="0" w:type="dxa"/>
        <w:tblLayout w:type="fixed"/>
        <w:tblCellMar>
          <w:top w:w="0" w:type="dxa"/>
          <w:left w:w="108" w:type="dxa"/>
          <w:bottom w:w="0" w:type="dxa"/>
          <w:right w:w="108" w:type="dxa"/>
        </w:tblCellMar>
      </w:tblPr>
      <w:tblGrid>
        <w:gridCol w:w="2616"/>
        <w:gridCol w:w="1667"/>
        <w:gridCol w:w="1841"/>
        <w:gridCol w:w="1723"/>
        <w:gridCol w:w="1723"/>
      </w:tblGrid>
      <w:tr w14:paraId="0FDEE386">
        <w:tblPrEx>
          <w:tblCellMar>
            <w:top w:w="0" w:type="dxa"/>
            <w:left w:w="108" w:type="dxa"/>
            <w:bottom w:w="0" w:type="dxa"/>
            <w:right w:w="108" w:type="dxa"/>
          </w:tblCellMar>
        </w:tblPrEx>
        <w:trPr>
          <w:trHeight w:val="890" w:hRule="atLeast"/>
        </w:trPr>
        <w:tc>
          <w:tcPr>
            <w:tcW w:w="2616" w:type="dxa"/>
            <w:tcBorders>
              <w:top w:val="single" w:color="auto" w:sz="4" w:space="0"/>
              <w:left w:val="single" w:color="auto" w:sz="4" w:space="0"/>
              <w:bottom w:val="single" w:color="auto" w:sz="4" w:space="0"/>
              <w:right w:val="single" w:color="auto" w:sz="4" w:space="0"/>
              <w:tl2br w:val="single" w:color="auto" w:sz="4" w:space="0"/>
            </w:tcBorders>
            <w:noWrap w:val="0"/>
            <w:vAlign w:val="center"/>
          </w:tcPr>
          <w:p w14:paraId="36101745">
            <w:pPr>
              <w:keepNext w:val="0"/>
              <w:keepLines w:val="0"/>
              <w:pageBreakBefore w:val="0"/>
              <w:widowControl w:val="0"/>
              <w:kinsoku/>
              <w:wordWrap/>
              <w:overflowPunct/>
              <w:topLinePunct w:val="0"/>
              <w:autoSpaceDE/>
              <w:autoSpaceDN/>
              <w:bidi w:val="0"/>
              <w:adjustRightInd/>
              <w:snapToGrid/>
              <w:spacing w:line="360" w:lineRule="auto"/>
              <w:ind w:left="1627" w:leftChars="300" w:hanging="997" w:hangingChars="475"/>
              <w:jc w:val="left"/>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 xml:space="preserve">                    人员  </w:t>
            </w:r>
          </w:p>
          <w:p w14:paraId="65F04F8A">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明细</w:t>
            </w:r>
          </w:p>
        </w:tc>
        <w:tc>
          <w:tcPr>
            <w:tcW w:w="1667" w:type="dxa"/>
            <w:tcBorders>
              <w:top w:val="single" w:color="auto" w:sz="4" w:space="0"/>
              <w:left w:val="nil"/>
              <w:bottom w:val="single" w:color="auto" w:sz="4" w:space="0"/>
              <w:right w:val="single" w:color="auto" w:sz="4" w:space="0"/>
            </w:tcBorders>
            <w:noWrap w:val="0"/>
            <w:vAlign w:val="center"/>
          </w:tcPr>
          <w:p w14:paraId="55971345">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更换项目负责人（《施工合同》签订前）</w:t>
            </w:r>
          </w:p>
        </w:tc>
        <w:tc>
          <w:tcPr>
            <w:tcW w:w="1841" w:type="dxa"/>
            <w:tcBorders>
              <w:top w:val="single" w:color="auto" w:sz="4" w:space="0"/>
              <w:left w:val="nil"/>
              <w:bottom w:val="single" w:color="auto" w:sz="4" w:space="0"/>
              <w:right w:val="single" w:color="auto" w:sz="4" w:space="0"/>
            </w:tcBorders>
            <w:noWrap w:val="0"/>
            <w:vAlign w:val="center"/>
          </w:tcPr>
          <w:p w14:paraId="5B9CECE0">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更换其他管理人员（《施工合同》签订前）</w:t>
            </w:r>
          </w:p>
        </w:tc>
        <w:tc>
          <w:tcPr>
            <w:tcW w:w="1723" w:type="dxa"/>
            <w:tcBorders>
              <w:top w:val="single" w:color="auto" w:sz="4" w:space="0"/>
              <w:left w:val="nil"/>
              <w:bottom w:val="single" w:color="auto" w:sz="4" w:space="0"/>
              <w:right w:val="single" w:color="auto" w:sz="4" w:space="0"/>
            </w:tcBorders>
            <w:noWrap w:val="0"/>
            <w:vAlign w:val="center"/>
          </w:tcPr>
          <w:p w14:paraId="17314527">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更换项目负责人（《施工合同》签订后）</w:t>
            </w:r>
          </w:p>
        </w:tc>
        <w:tc>
          <w:tcPr>
            <w:tcW w:w="1723" w:type="dxa"/>
            <w:tcBorders>
              <w:top w:val="single" w:color="auto" w:sz="4" w:space="0"/>
              <w:left w:val="nil"/>
              <w:bottom w:val="single" w:color="auto" w:sz="4" w:space="0"/>
              <w:right w:val="single" w:color="auto" w:sz="4" w:space="0"/>
            </w:tcBorders>
            <w:noWrap w:val="0"/>
            <w:vAlign w:val="center"/>
          </w:tcPr>
          <w:p w14:paraId="3FB5E56C">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更换其他管理人员（《施工合同》签订后）</w:t>
            </w:r>
          </w:p>
        </w:tc>
      </w:tr>
      <w:tr w14:paraId="1EDF5D21">
        <w:tblPrEx>
          <w:tblCellMar>
            <w:top w:w="0" w:type="dxa"/>
            <w:left w:w="108" w:type="dxa"/>
            <w:bottom w:w="0" w:type="dxa"/>
            <w:right w:w="108" w:type="dxa"/>
          </w:tblCellMar>
        </w:tblPrEx>
        <w:trPr>
          <w:trHeight w:val="930" w:hRule="atLeast"/>
        </w:trPr>
        <w:tc>
          <w:tcPr>
            <w:tcW w:w="2616" w:type="dxa"/>
            <w:tcBorders>
              <w:top w:val="nil"/>
              <w:left w:val="single" w:color="auto" w:sz="4" w:space="0"/>
              <w:bottom w:val="single" w:color="auto" w:sz="4" w:space="0"/>
              <w:right w:val="single" w:color="auto" w:sz="4" w:space="0"/>
            </w:tcBorders>
            <w:noWrap w:val="0"/>
            <w:vAlign w:val="center"/>
          </w:tcPr>
          <w:p w14:paraId="6A4FD993">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1000万以下项目违约金（万元/人.次）</w:t>
            </w:r>
          </w:p>
        </w:tc>
        <w:tc>
          <w:tcPr>
            <w:tcW w:w="1667" w:type="dxa"/>
            <w:tcBorders>
              <w:top w:val="nil"/>
              <w:left w:val="nil"/>
              <w:bottom w:val="single" w:color="auto" w:sz="4" w:space="0"/>
              <w:right w:val="single" w:color="auto" w:sz="4" w:space="0"/>
            </w:tcBorders>
            <w:noWrap w:val="0"/>
            <w:vAlign w:val="center"/>
          </w:tcPr>
          <w:p w14:paraId="3764AFDC">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10</w:t>
            </w:r>
          </w:p>
        </w:tc>
        <w:tc>
          <w:tcPr>
            <w:tcW w:w="1841" w:type="dxa"/>
            <w:tcBorders>
              <w:top w:val="nil"/>
              <w:left w:val="nil"/>
              <w:bottom w:val="single" w:color="auto" w:sz="4" w:space="0"/>
              <w:right w:val="single" w:color="auto" w:sz="4" w:space="0"/>
            </w:tcBorders>
            <w:noWrap w:val="0"/>
            <w:vAlign w:val="center"/>
          </w:tcPr>
          <w:p w14:paraId="5D97E2B6">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5</w:t>
            </w:r>
          </w:p>
        </w:tc>
        <w:tc>
          <w:tcPr>
            <w:tcW w:w="1723" w:type="dxa"/>
            <w:tcBorders>
              <w:top w:val="nil"/>
              <w:left w:val="nil"/>
              <w:bottom w:val="single" w:color="auto" w:sz="4" w:space="0"/>
              <w:right w:val="single" w:color="auto" w:sz="4" w:space="0"/>
            </w:tcBorders>
            <w:noWrap w:val="0"/>
            <w:vAlign w:val="center"/>
          </w:tcPr>
          <w:p w14:paraId="43C6464B">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5</w:t>
            </w:r>
          </w:p>
        </w:tc>
        <w:tc>
          <w:tcPr>
            <w:tcW w:w="1723" w:type="dxa"/>
            <w:tcBorders>
              <w:top w:val="nil"/>
              <w:left w:val="nil"/>
              <w:bottom w:val="single" w:color="auto" w:sz="4" w:space="0"/>
              <w:right w:val="single" w:color="auto" w:sz="4" w:space="0"/>
            </w:tcBorders>
            <w:noWrap w:val="0"/>
            <w:vAlign w:val="center"/>
          </w:tcPr>
          <w:p w14:paraId="0F7F243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2</w:t>
            </w:r>
          </w:p>
        </w:tc>
      </w:tr>
      <w:tr w14:paraId="4C0FE5B9">
        <w:tblPrEx>
          <w:tblCellMar>
            <w:top w:w="0" w:type="dxa"/>
            <w:left w:w="108" w:type="dxa"/>
            <w:bottom w:w="0" w:type="dxa"/>
            <w:right w:w="108" w:type="dxa"/>
          </w:tblCellMar>
        </w:tblPrEx>
        <w:trPr>
          <w:trHeight w:val="318" w:hRule="atLeast"/>
        </w:trPr>
        <w:tc>
          <w:tcPr>
            <w:tcW w:w="2616" w:type="dxa"/>
            <w:tcBorders>
              <w:top w:val="nil"/>
              <w:left w:val="single" w:color="auto" w:sz="4" w:space="0"/>
              <w:bottom w:val="single" w:color="auto" w:sz="4" w:space="0"/>
              <w:right w:val="single" w:color="auto" w:sz="4" w:space="0"/>
            </w:tcBorders>
            <w:noWrap w:val="0"/>
            <w:vAlign w:val="center"/>
          </w:tcPr>
          <w:p w14:paraId="3DFFC645">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1000~2000万项目违约金（万元/人.次）</w:t>
            </w:r>
          </w:p>
        </w:tc>
        <w:tc>
          <w:tcPr>
            <w:tcW w:w="1667" w:type="dxa"/>
            <w:tcBorders>
              <w:top w:val="nil"/>
              <w:left w:val="nil"/>
              <w:bottom w:val="single" w:color="auto" w:sz="4" w:space="0"/>
              <w:right w:val="single" w:color="auto" w:sz="4" w:space="0"/>
            </w:tcBorders>
            <w:noWrap w:val="0"/>
            <w:vAlign w:val="center"/>
          </w:tcPr>
          <w:p w14:paraId="7D7FD77E">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20</w:t>
            </w:r>
          </w:p>
        </w:tc>
        <w:tc>
          <w:tcPr>
            <w:tcW w:w="1841" w:type="dxa"/>
            <w:tcBorders>
              <w:top w:val="nil"/>
              <w:left w:val="nil"/>
              <w:bottom w:val="single" w:color="auto" w:sz="4" w:space="0"/>
              <w:right w:val="single" w:color="auto" w:sz="4" w:space="0"/>
            </w:tcBorders>
            <w:noWrap w:val="0"/>
            <w:vAlign w:val="center"/>
          </w:tcPr>
          <w:p w14:paraId="1A9E48D0">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10</w:t>
            </w:r>
          </w:p>
        </w:tc>
        <w:tc>
          <w:tcPr>
            <w:tcW w:w="1723" w:type="dxa"/>
            <w:tcBorders>
              <w:top w:val="nil"/>
              <w:left w:val="nil"/>
              <w:bottom w:val="single" w:color="auto" w:sz="4" w:space="0"/>
              <w:right w:val="single" w:color="auto" w:sz="4" w:space="0"/>
            </w:tcBorders>
            <w:noWrap w:val="0"/>
            <w:vAlign w:val="center"/>
          </w:tcPr>
          <w:p w14:paraId="515FF8BB">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10</w:t>
            </w:r>
          </w:p>
        </w:tc>
        <w:tc>
          <w:tcPr>
            <w:tcW w:w="1723" w:type="dxa"/>
            <w:tcBorders>
              <w:top w:val="nil"/>
              <w:left w:val="nil"/>
              <w:bottom w:val="single" w:color="auto" w:sz="4" w:space="0"/>
              <w:right w:val="single" w:color="auto" w:sz="4" w:space="0"/>
            </w:tcBorders>
            <w:noWrap w:val="0"/>
            <w:vAlign w:val="center"/>
          </w:tcPr>
          <w:p w14:paraId="38821D7F">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5</w:t>
            </w:r>
          </w:p>
        </w:tc>
      </w:tr>
      <w:tr w14:paraId="4855C00C">
        <w:tblPrEx>
          <w:tblCellMar>
            <w:top w:w="0" w:type="dxa"/>
            <w:left w:w="108" w:type="dxa"/>
            <w:bottom w:w="0" w:type="dxa"/>
            <w:right w:w="108" w:type="dxa"/>
          </w:tblCellMar>
        </w:tblPrEx>
        <w:trPr>
          <w:trHeight w:val="636" w:hRule="atLeast"/>
        </w:trPr>
        <w:tc>
          <w:tcPr>
            <w:tcW w:w="2616" w:type="dxa"/>
            <w:tcBorders>
              <w:top w:val="nil"/>
              <w:left w:val="single" w:color="auto" w:sz="4" w:space="0"/>
              <w:bottom w:val="single" w:color="auto" w:sz="4" w:space="0"/>
              <w:right w:val="single" w:color="auto" w:sz="4" w:space="0"/>
            </w:tcBorders>
            <w:noWrap w:val="0"/>
            <w:vAlign w:val="center"/>
          </w:tcPr>
          <w:p w14:paraId="2EAC6DCF">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2000万以上项目违约金（万元/人.次）</w:t>
            </w:r>
          </w:p>
        </w:tc>
        <w:tc>
          <w:tcPr>
            <w:tcW w:w="1667" w:type="dxa"/>
            <w:tcBorders>
              <w:top w:val="nil"/>
              <w:left w:val="nil"/>
              <w:bottom w:val="single" w:color="auto" w:sz="4" w:space="0"/>
              <w:right w:val="single" w:color="auto" w:sz="4" w:space="0"/>
            </w:tcBorders>
            <w:noWrap w:val="0"/>
            <w:vAlign w:val="center"/>
          </w:tcPr>
          <w:p w14:paraId="0A41793E">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30</w:t>
            </w:r>
          </w:p>
        </w:tc>
        <w:tc>
          <w:tcPr>
            <w:tcW w:w="1841" w:type="dxa"/>
            <w:tcBorders>
              <w:top w:val="nil"/>
              <w:left w:val="nil"/>
              <w:bottom w:val="single" w:color="auto" w:sz="4" w:space="0"/>
              <w:right w:val="single" w:color="auto" w:sz="4" w:space="0"/>
            </w:tcBorders>
            <w:noWrap w:val="0"/>
            <w:vAlign w:val="center"/>
          </w:tcPr>
          <w:p w14:paraId="24D7BC7D">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10</w:t>
            </w:r>
          </w:p>
        </w:tc>
        <w:tc>
          <w:tcPr>
            <w:tcW w:w="1723" w:type="dxa"/>
            <w:tcBorders>
              <w:top w:val="nil"/>
              <w:left w:val="nil"/>
              <w:bottom w:val="single" w:color="auto" w:sz="4" w:space="0"/>
              <w:right w:val="single" w:color="auto" w:sz="4" w:space="0"/>
            </w:tcBorders>
            <w:noWrap w:val="0"/>
            <w:vAlign w:val="center"/>
          </w:tcPr>
          <w:p w14:paraId="1A74074C">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10</w:t>
            </w:r>
          </w:p>
        </w:tc>
        <w:tc>
          <w:tcPr>
            <w:tcW w:w="1723" w:type="dxa"/>
            <w:tcBorders>
              <w:top w:val="nil"/>
              <w:left w:val="nil"/>
              <w:bottom w:val="single" w:color="auto" w:sz="4" w:space="0"/>
              <w:right w:val="single" w:color="auto" w:sz="4" w:space="0"/>
            </w:tcBorders>
            <w:noWrap w:val="0"/>
            <w:vAlign w:val="center"/>
          </w:tcPr>
          <w:p w14:paraId="3A411C68">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Cs/>
                <w:color w:val="auto"/>
                <w:sz w:val="21"/>
                <w:szCs w:val="21"/>
                <w:highlight w:val="none"/>
                <w:lang w:bidi="ar"/>
              </w:rPr>
            </w:pPr>
            <w:r>
              <w:rPr>
                <w:rFonts w:hint="eastAsia" w:ascii="宋体" w:hAnsi="宋体" w:eastAsia="宋体" w:cs="宋体"/>
                <w:bCs/>
                <w:color w:val="auto"/>
                <w:sz w:val="21"/>
                <w:szCs w:val="21"/>
                <w:highlight w:val="none"/>
                <w:lang w:bidi="ar"/>
              </w:rPr>
              <w:t>5</w:t>
            </w:r>
          </w:p>
        </w:tc>
      </w:tr>
    </w:tbl>
    <w:p w14:paraId="05ACD286">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p>
    <w:p w14:paraId="011A4BBB">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p>
    <w:p w14:paraId="5B76B302">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12、本工程的项目负责人，必须在现场实施全过程、全方位的施工管理，不得承担其他工程项目的管理工作。在代建单位组织的不定期检查中，若发现违反有关规定的，在代建单位提出整改要求后，若没有及时改进或没有实质性响应的，情节严重的招标人及代建单位有权单方解除《施工合同》及《施工合同补充协议》，同时提交给主管部门作不诚信单位予以备案。中标人应承担全部责任。</w:t>
      </w:r>
    </w:p>
    <w:p w14:paraId="40AAE0FB">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13、中标人超过限期不递交结算资料的或递交的结算资料不完整、不符合代建单位要求的，每逾期1天，招标人及代建单位有权扣减签约合同价的0.5%（最高扣减不超过10万元）且甲方有权直接在待付工程款中直接扣除，同时不予结算，待中标人提交完整的符合代建单位要求的结算资料后再进行结算。若中标人不按上述规定时间报送结算，代建单位可对中标人发催报书面通知；中标人在通知规定期限内仍不报送结算的，招标人及代建单位有权按已有资料或按已付工程款办理单方结算，该结算结果对中标人具有约束力，由此产生的一切损失和不利后果由中标人承担，代建单位还有权将情况提交给主管部门作不诚信单位予以备案。</w:t>
      </w:r>
    </w:p>
    <w:p w14:paraId="3E4D8D07">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14、中标人需积极采取有效措施推进项目进度。在工程开工前7个日历天内，中标人应编制本工程的总进度计划，按照项目实际进度进行关键节点设置，且总进度计划中应明确：</w:t>
      </w:r>
    </w:p>
    <w:p w14:paraId="7467454A">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（1）工程关键施工节点完成时间：</w:t>
      </w:r>
      <w:r>
        <w:rPr>
          <w:rFonts w:hint="eastAsia" w:ascii="宋体" w:hAnsi="宋体" w:eastAsia="宋体" w:cs="宋体"/>
          <w:color w:val="auto"/>
          <w:highlight w:val="none"/>
          <w:lang w:val="en-US" w:eastAsia="zh-CN"/>
        </w:rPr>
        <w:t>软基处理、给排水工程、道路工程、人行道工程、绿化工程、照明工程等</w:t>
      </w:r>
      <w:r>
        <w:rPr>
          <w:rFonts w:hint="eastAsia" w:ascii="宋体" w:hAnsi="宋体" w:eastAsia="宋体" w:cs="宋体"/>
          <w:color w:val="auto"/>
          <w:highlight w:val="none"/>
        </w:rPr>
        <w:t>(时间节点完成情况以监理月报为判断依据) 。</w:t>
      </w:r>
    </w:p>
    <w:p w14:paraId="605D54FB">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（2）完工时间完成节点为监理单位发出开工令之日起</w:t>
      </w:r>
      <w:r>
        <w:rPr>
          <w:rFonts w:hint="eastAsia" w:ascii="宋体" w:hAnsi="宋体" w:cs="宋体"/>
          <w:color w:val="auto"/>
          <w:highlight w:val="none"/>
          <w:u w:val="single"/>
          <w:lang w:val="en-US" w:eastAsia="zh-CN"/>
        </w:rPr>
        <w:t>150</w:t>
      </w:r>
      <w:r>
        <w:rPr>
          <w:rFonts w:hint="eastAsia" w:ascii="宋体" w:hAnsi="宋体" w:eastAsia="宋体" w:cs="宋体"/>
          <w:color w:val="auto"/>
          <w:highlight w:val="none"/>
          <w:u w:val="single"/>
        </w:rPr>
        <w:t>个日历天</w:t>
      </w:r>
      <w:r>
        <w:rPr>
          <w:rFonts w:hint="eastAsia" w:ascii="宋体" w:hAnsi="宋体" w:eastAsia="宋体" w:cs="宋体"/>
          <w:color w:val="auto"/>
          <w:highlight w:val="none"/>
        </w:rPr>
        <w:t>，按本协议书约定的工期执行。</w:t>
      </w:r>
    </w:p>
    <w:p w14:paraId="632504EF">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（3）竣工验收资料提交关键节点：完工后一个月内中标人需提交真实、准确、齐备、完整的竣工验收资料。</w:t>
      </w:r>
    </w:p>
    <w:p w14:paraId="5A88BA5D">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4）除已约定的时间节点外，关键施工节点的工期以代建单位审批同意为准。关键施工节点的工期，并报至本工程的监理人和代建单位审批，若因中标人原因未按时完成总进度计划中的关键施工节点的，从超出关键施工节点15日起，每延期1天，由代建单位计扣中标人违约金人民币50000元/天；经代建单位两次书面发函要求整改后仍未按代建单位要求整改，造成项目滞后进度计划节点45日以上的，招标人及代建单位有权单方面终止合同，并没收中标人的履约保证金；若因中标人原因导致本工程未按照总进度计划中的工程完工时间及竣工时间完成的，从超出之日起，每延期1天，由代建单位计扣中标人违约金人民币100000元/天，逾期违约金限额为签约合同价的10%。代建单位计扣中标人的违约金，招标人可以从中标人应得的工程进度款、结算款或履约保证金中直接扣除。（若中标人是通过履约保函的方式提供担保的，中标人已提交的履约保函原件不予退还，招标人有权要求出具履约保函的</w:t>
      </w:r>
      <w:r>
        <w:rPr>
          <w:rFonts w:hint="eastAsia" w:ascii="宋体" w:hAnsi="宋体" w:eastAsia="宋体" w:cs="宋体"/>
          <w:color w:val="auto"/>
          <w:highlight w:val="none"/>
          <w:lang w:val="en-US" w:eastAsia="zh-CN"/>
        </w:rPr>
        <w:t>第三方机构</w:t>
      </w:r>
      <w:r>
        <w:rPr>
          <w:rFonts w:hint="eastAsia" w:ascii="宋体" w:hAnsi="宋体" w:eastAsia="宋体" w:cs="宋体"/>
          <w:color w:val="auto"/>
          <w:highlight w:val="none"/>
        </w:rPr>
        <w:t>将履约保证金支付到招标人指定账户；若保函无法兑现，则中标人需要赔偿招标人与履约保证金等额的款项）</w:t>
      </w:r>
    </w:p>
    <w:p w14:paraId="09BD5966">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15、除《施工合同补充协议》另有约定外，出现以下任一情形时，招标人及代建单位有权单方解除《施工合同》及《施工合同补充协议》，不予退还中标人履约保证金（若中标人是通过履约保函的方式提供担保的，中标人已提交的履约保函原件不予退还，招标人有权要求出具履约保函的</w:t>
      </w:r>
      <w:r>
        <w:rPr>
          <w:rFonts w:hint="eastAsia" w:ascii="宋体" w:hAnsi="宋体" w:eastAsia="宋体" w:cs="宋体"/>
          <w:color w:val="auto"/>
          <w:highlight w:val="none"/>
          <w:lang w:val="en-US" w:eastAsia="zh-CN"/>
        </w:rPr>
        <w:t>第三方机构</w:t>
      </w:r>
      <w:r>
        <w:rPr>
          <w:rFonts w:hint="eastAsia" w:ascii="宋体" w:hAnsi="宋体" w:eastAsia="宋体" w:cs="宋体"/>
          <w:color w:val="auto"/>
          <w:highlight w:val="none"/>
        </w:rPr>
        <w:t>将履约保证金支付到招标人指定账户；若保函无法兑现，则中标人需要赔偿招标人与履约保证金等额的款项），如违约金和履约保证金不足以弥补招标人遭受的损失，中标人还应全额赔偿。</w:t>
      </w:r>
    </w:p>
    <w:p w14:paraId="7F1C0909">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(1)因中标人原因导致《施工合同》及《施工合同补充协议》提前解除的；</w:t>
      </w:r>
    </w:p>
    <w:p w14:paraId="291CA7B3">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(2)中标人迟延履行主要义务，经招标人催告后在合理期限内仍未履行的；</w:t>
      </w:r>
    </w:p>
    <w:p w14:paraId="6259ADE2">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(3)因中标人原因导致不能实现合同目的的。</w:t>
      </w:r>
    </w:p>
    <w:p w14:paraId="24AEF482">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16、中标人因违反《施工合同》及《施工合同补充协议》的约定，给招标人及代建单位造成损失的，中标人需要向招标人及代建单位赔偿的损失范围包括但不限于招标人及代建单位因采取补救措施而支出的费用、项目延期造成的损失、第三方索赔、公证费、鉴定费、评估费、保全费、律师费、诉讼费等。</w:t>
      </w:r>
    </w:p>
    <w:p w14:paraId="352416E6">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17、中标人应向招标人及代建单位支付的违约金、赔偿金、损失，招标人有权在应付款项中直接扣除，不足以弥补招标人及代建单位损失的，招标人及代建单位有权继续追偿。</w:t>
      </w:r>
    </w:p>
    <w:p w14:paraId="7C5A7A89">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14.1.30</w:t>
      </w:r>
      <w:r>
        <w:rPr>
          <w:rFonts w:hint="eastAsia" w:ascii="宋体" w:hAnsi="宋体" w:eastAsia="宋体" w:cs="宋体"/>
          <w:color w:val="auto"/>
          <w:highlight w:val="none"/>
        </w:rPr>
        <w:t>合同签订及履约保函提交时限</w:t>
      </w:r>
    </w:p>
    <w:p w14:paraId="61DA73F9">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（一）中标人在广东省公共资源交易平台（中山市）-中标信息公布</w:t>
      </w:r>
      <w:r>
        <w:rPr>
          <w:rFonts w:hint="eastAsia" w:ascii="宋体" w:hAnsi="宋体" w:eastAsia="宋体" w:cs="宋体"/>
          <w:color w:val="auto"/>
          <w:highlight w:val="none"/>
          <w:lang w:val="en-US" w:eastAsia="zh-CN"/>
        </w:rPr>
        <w:t>次</w:t>
      </w:r>
      <w:r>
        <w:rPr>
          <w:rFonts w:hint="eastAsia" w:ascii="宋体" w:hAnsi="宋体" w:eastAsia="宋体" w:cs="宋体"/>
          <w:color w:val="auto"/>
          <w:highlight w:val="none"/>
        </w:rPr>
        <w:t>日起15个日历天内签订合同（如第15个日历天为公休日的，则以公休日后的第一个工作日为截止期限的最后一天），在签订合同前必须按要求提交有效的履约担保或缴纳履约保证金。中标人拒绝接受中标通知书，或未按约定期限与招标人签订合同的，或因未在规定期限内提交符合要求履约担保或缴纳履约保证金导致逾期未与招标人签订合同的，视为放弃中标，其投标保证金不予退还，中标人还应赔偿给招标人造成的损失，并对中标人进行诚信扣分。</w:t>
      </w:r>
    </w:p>
    <w:p w14:paraId="00822385">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（二）中标人自主选择以银行转账、支票或银行保函 或 保证保险 或 担保保函的形式向招标人提交履约担保。（详见《投标人须知前附表》第9.2款）</w:t>
      </w:r>
    </w:p>
    <w:p w14:paraId="008DCFCD">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1、履约担保采用银行保函形式的，须委托银行向</w:t>
      </w:r>
      <w:r>
        <w:rPr>
          <w:rFonts w:hint="eastAsia" w:ascii="宋体" w:hAnsi="宋体" w:cs="宋体"/>
          <w:i w:val="0"/>
          <w:color w:val="auto"/>
          <w:kern w:val="0"/>
          <w:sz w:val="21"/>
          <w:szCs w:val="21"/>
          <w:highlight w:val="none"/>
          <w:u w:val="none"/>
          <w:lang w:val="en-US" w:eastAsia="zh-CN" w:bidi="ar"/>
        </w:rPr>
        <w:t>中山市坦能科技有限公司</w:t>
      </w:r>
      <w:r>
        <w:rPr>
          <w:rFonts w:hint="eastAsia" w:ascii="宋体" w:hAnsi="宋体" w:eastAsia="宋体" w:cs="宋体"/>
          <w:color w:val="auto"/>
          <w:highlight w:val="none"/>
        </w:rPr>
        <w:t>出具银行保函，出具履约担保的银行级别：全国性国有商业银行或股份制商业银行的分支机构。</w:t>
      </w:r>
    </w:p>
    <w:p w14:paraId="1B60EF23">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2、以银行保函及其他类似形式提供的履约担保，若在约定的退还条件达成前到期或失效的，招标人有权要求中标人在限期内重新提供足额且符合招标人提供的版本内容的履约担保。 </w:t>
      </w:r>
    </w:p>
    <w:p w14:paraId="5E828692">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default" w:ascii="宋体" w:hAnsi="宋体" w:cs="宋体"/>
          <w:color w:val="auto"/>
          <w:highlight w:val="none"/>
        </w:rPr>
        <w:t>3</w:t>
      </w:r>
      <w:r>
        <w:rPr>
          <w:rFonts w:hint="eastAsia" w:ascii="宋体" w:hAnsi="宋体" w:eastAsia="宋体" w:cs="宋体"/>
          <w:color w:val="auto"/>
          <w:highlight w:val="none"/>
        </w:rPr>
        <w:t>、无论是采用银行保函或保证保险或担保保函，其内容必须按照招标文件第四章合同附件版本内容提供。</w:t>
      </w:r>
    </w:p>
    <w:p w14:paraId="3920505F">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default" w:ascii="宋体" w:hAnsi="宋体" w:cs="宋体"/>
          <w:color w:val="auto"/>
          <w:highlight w:val="none"/>
        </w:rPr>
        <w:t>4</w:t>
      </w:r>
      <w:r>
        <w:rPr>
          <w:rFonts w:hint="eastAsia" w:ascii="宋体" w:hAnsi="宋体" w:eastAsia="宋体" w:cs="宋体"/>
          <w:color w:val="auto"/>
          <w:highlight w:val="none"/>
        </w:rPr>
        <w:t>、履约担保采用转账支票形式的，须交到以下账户：</w:t>
      </w:r>
    </w:p>
    <w:p w14:paraId="38E42FEC">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账户名称：中山市坦能科技有限公司</w:t>
      </w:r>
    </w:p>
    <w:p w14:paraId="6F3B6481">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账号：688645000237</w:t>
      </w:r>
    </w:p>
    <w:p w14:paraId="3CA09BB2">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开户行：中国银行股份有限公司中山坦洲支行</w:t>
      </w:r>
    </w:p>
    <w:p w14:paraId="3FF299ED">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在工程竣工验收合格后且《建设工程施工合同》及《建设工程施工合同补充协议》履行期间，若不存在因中标人违反《建设工程施工合同》及《建设工程施工合同补充协议》约定导致发生履约保证金不予退还的情形的，中标人采用保函形式提交履约保证金的，招标人向中标人退还保函；中标人采用银行转账提交履约保证金的，招标人将以转账方式退还履约保证金（含息）至中标人总公司账户，利息按全国银行间同业拆借中心一年期贷款市场报价利率计。</w:t>
      </w:r>
    </w:p>
    <w:p w14:paraId="19130E52">
      <w:pPr>
        <w:pageBreakBefore w:val="0"/>
        <w:kinsoku/>
        <w:wordWrap/>
        <w:overflowPunct/>
        <w:topLinePunct w:val="0"/>
        <w:bidi w:val="0"/>
        <w:spacing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14.1.31</w:t>
      </w:r>
      <w:r>
        <w:rPr>
          <w:rFonts w:hint="eastAsia" w:ascii="宋体" w:hAnsi="宋体" w:eastAsia="宋体" w:cs="宋体"/>
          <w:color w:val="auto"/>
          <w:highlight w:val="none"/>
        </w:rPr>
        <w:t>代建单位</w:t>
      </w:r>
    </w:p>
    <w:p w14:paraId="1E39B110">
      <w:pPr>
        <w:pageBreakBefore w:val="0"/>
        <w:kinsoku/>
        <w:wordWrap/>
        <w:overflowPunct/>
        <w:topLinePunct w:val="0"/>
        <w:bidi w:val="0"/>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本工程代建单位为中山市坦建工程有限公司，中标人与招标人签订《施工合同》后，需与招标人及代建单位签订《施工合同补充协议》（详见招标文件第四章）</w:t>
      </w:r>
      <w:r>
        <w:rPr>
          <w:rFonts w:hint="eastAsia" w:ascii="宋体" w:hAnsi="宋体" w:eastAsia="宋体" w:cs="宋体"/>
          <w:color w:val="auto"/>
          <w:szCs w:val="21"/>
          <w:highlight w:val="none"/>
        </w:rPr>
        <w:t>。</w:t>
      </w:r>
    </w:p>
    <w:permEnd w:id="138"/>
    <w:p w14:paraId="661888E1">
      <w:pPr>
        <w:pageBreakBefore w:val="0"/>
        <w:kinsoku/>
        <w:wordWrap/>
        <w:overflowPunct/>
        <w:topLinePunct w:val="0"/>
        <w:bidi w:val="0"/>
        <w:spacing w:before="240" w:beforeLines="100" w:after="240" w:afterLines="100" w:line="360" w:lineRule="auto"/>
        <w:jc w:val="left"/>
        <w:textAlignment w:val="auto"/>
        <w:rPr>
          <w:rFonts w:hint="eastAsia" w:ascii="宋体" w:hAnsi="宋体" w:eastAsia="宋体" w:cs="宋体"/>
          <w:color w:val="auto"/>
          <w:szCs w:val="21"/>
          <w:highlight w:val="none"/>
          <w:lang w:val="en-US" w:eastAsia="zh-CN"/>
        </w:rPr>
      </w:pPr>
      <w:bookmarkStart w:id="1483" w:name="_Toc184635081"/>
      <w:r>
        <w:rPr>
          <w:rFonts w:hint="eastAsia" w:ascii="宋体" w:hAnsi="宋体" w:eastAsia="宋体" w:cs="宋体"/>
          <w:color w:val="auto"/>
          <w:sz w:val="24"/>
          <w:highlight w:val="none"/>
        </w:rPr>
        <w:br w:type="page"/>
      </w:r>
      <w:bookmarkEnd w:id="1481"/>
      <w:bookmarkEnd w:id="1482"/>
      <w:bookmarkEnd w:id="1483"/>
      <w:bookmarkStart w:id="1484" w:name="_Toc2091891828"/>
      <w:bookmarkStart w:id="1485" w:name="_Toc718464712"/>
      <w:bookmarkStart w:id="1486" w:name="_Toc134940069"/>
      <w:bookmarkStart w:id="1487" w:name="_Toc1387876927"/>
      <w:bookmarkStart w:id="1488" w:name="_Toc627602933"/>
      <w:bookmarkStart w:id="1489" w:name="_Toc1961184164"/>
      <w:bookmarkStart w:id="1490" w:name="_Toc271270893"/>
      <w:bookmarkStart w:id="1491" w:name="_Toc1677192158"/>
      <w:bookmarkStart w:id="1492" w:name="_Toc1163705469"/>
      <w:bookmarkStart w:id="1493" w:name="_Toc1776124811"/>
      <w:bookmarkStart w:id="1494" w:name="_Toc855000841"/>
      <w:bookmarkStart w:id="1495" w:name="_Toc1636356318"/>
      <w:bookmarkStart w:id="1496" w:name="_Toc374673904"/>
      <w:bookmarkStart w:id="1497" w:name="_Toc449896999"/>
      <w:bookmarkStart w:id="1498" w:name="_Toc565061286"/>
      <w:bookmarkStart w:id="1499" w:name="_Toc31933"/>
      <w:bookmarkStart w:id="1500" w:name="_Toc1540577246"/>
      <w:bookmarkStart w:id="1501" w:name="_Toc600591224"/>
      <w:bookmarkStart w:id="1502" w:name="_Toc414464768"/>
      <w:bookmarkStart w:id="1503" w:name="_Toc1071368881"/>
      <w:bookmarkStart w:id="1504" w:name="_Toc60251921"/>
      <w:r>
        <w:rPr>
          <w:rStyle w:val="37"/>
          <w:rFonts w:hint="eastAsia" w:ascii="宋体" w:hAnsi="宋体" w:eastAsia="宋体" w:cs="宋体"/>
          <w:b w:val="0"/>
          <w:bCs w:val="0"/>
          <w:color w:val="auto"/>
          <w:sz w:val="21"/>
          <w:szCs w:val="21"/>
          <w:highlight w:val="none"/>
          <w:lang w:val="en-US" w:eastAsia="zh-CN"/>
        </w:rPr>
        <w:t>附件一：</w:t>
      </w:r>
      <w:r>
        <w:rPr>
          <w:rStyle w:val="37"/>
          <w:rFonts w:hint="eastAsia" w:ascii="宋体" w:hAnsi="宋体" w:eastAsia="宋体" w:cs="宋体"/>
          <w:b w:val="0"/>
          <w:bCs w:val="0"/>
          <w:color w:val="auto"/>
          <w:sz w:val="21"/>
          <w:szCs w:val="21"/>
          <w:highlight w:val="none"/>
        </w:rPr>
        <w:t>问题澄清通知</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14:paraId="0DA62BC6">
      <w:pPr>
        <w:pageBreakBefore w:val="0"/>
        <w:kinsoku/>
        <w:wordWrap/>
        <w:overflowPunct/>
        <w:topLinePunct w:val="0"/>
        <w:bidi w:val="0"/>
        <w:spacing w:before="240" w:beforeLines="100" w:after="240" w:afterLines="100" w:line="360" w:lineRule="auto"/>
        <w:jc w:val="center"/>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问题澄清通知</w:t>
      </w:r>
    </w:p>
    <w:p w14:paraId="3BB19D15">
      <w:pPr>
        <w:pageBreakBefore w:val="0"/>
        <w:kinsoku/>
        <w:wordWrap/>
        <w:overflowPunct/>
        <w:topLinePunct w:val="0"/>
        <w:bidi w:val="0"/>
        <w:spacing w:line="360" w:lineRule="auto"/>
        <w:ind w:firstLine="5355" w:firstLineChars="2550"/>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编号：</w:t>
      </w:r>
      <w:r>
        <w:rPr>
          <w:rFonts w:hint="eastAsia" w:ascii="宋体" w:hAnsi="宋体" w:eastAsia="宋体" w:cs="宋体"/>
          <w:color w:val="auto"/>
          <w:highlight w:val="none"/>
          <w:u w:val="single"/>
        </w:rPr>
        <w:t xml:space="preserve">                  </w:t>
      </w:r>
    </w:p>
    <w:p w14:paraId="24DB12EB">
      <w:pPr>
        <w:pageBreakBefore w:val="0"/>
        <w:kinsoku/>
        <w:wordWrap/>
        <w:overflowPunct/>
        <w:topLinePunct w:val="0"/>
        <w:bidi w:val="0"/>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（投标人名称）：</w:t>
      </w:r>
    </w:p>
    <w:p w14:paraId="13700240">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u w:val="single"/>
        </w:rPr>
        <w:t xml:space="preserve">             （项目名称）        </w:t>
      </w:r>
      <w:r>
        <w:rPr>
          <w:rFonts w:hint="eastAsia" w:ascii="宋体" w:hAnsi="宋体" w:eastAsia="宋体" w:cs="宋体"/>
          <w:color w:val="auto"/>
          <w:highlight w:val="none"/>
        </w:rPr>
        <w:t>的评标委员会对你方的投标文件进行了仔细的审查，现需你方对</w:t>
      </w:r>
      <w:r>
        <w:rPr>
          <w:rFonts w:hint="eastAsia" w:ascii="宋体" w:hAnsi="宋体" w:eastAsia="宋体" w:cs="宋体"/>
          <w:color w:val="auto"/>
          <w:highlight w:val="none"/>
          <w:lang w:val="en-US" w:eastAsia="zh-CN"/>
        </w:rPr>
        <w:t>下列</w:t>
      </w:r>
      <w:r>
        <w:rPr>
          <w:rFonts w:hint="eastAsia" w:ascii="宋体" w:hAnsi="宋体" w:eastAsia="宋体" w:cs="宋体"/>
          <w:color w:val="auto"/>
          <w:highlight w:val="none"/>
        </w:rPr>
        <w:t>问题以书面形式予以澄清、说明或者补正</w:t>
      </w:r>
      <w:r>
        <w:rPr>
          <w:rFonts w:hint="eastAsia" w:ascii="宋体" w:hAnsi="宋体" w:eastAsia="宋体" w:cs="宋体"/>
          <w:color w:val="auto"/>
          <w:highlight w:val="none"/>
          <w:lang w:eastAsia="zh-CN"/>
        </w:rPr>
        <w:t>：</w:t>
      </w:r>
    </w:p>
    <w:p w14:paraId="64B0AC9B">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w:t>
      </w:r>
    </w:p>
    <w:p w14:paraId="643B25EB">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w:t>
      </w:r>
    </w:p>
    <w:p w14:paraId="0670FF94">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p w14:paraId="491E1F40">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请将上述问题的澄清、说明或者补正于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时前密封递交至</w:t>
      </w:r>
      <w:r>
        <w:rPr>
          <w:rFonts w:hint="eastAsia" w:ascii="宋体" w:hAnsi="宋体" w:eastAsia="宋体" w:cs="宋体"/>
          <w:color w:val="auto"/>
          <w:highlight w:val="none"/>
          <w:u w:val="single"/>
        </w:rPr>
        <w:t>（详细地址）</w:t>
      </w:r>
      <w:r>
        <w:rPr>
          <w:rFonts w:hint="eastAsia" w:ascii="宋体" w:hAnsi="宋体" w:eastAsia="宋体" w:cs="宋体"/>
          <w:color w:val="auto"/>
          <w:highlight w:val="none"/>
        </w:rPr>
        <w:t>或传真至</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（传真号码）</w:t>
      </w:r>
      <w:r>
        <w:rPr>
          <w:rFonts w:hint="eastAsia" w:ascii="宋体" w:hAnsi="宋体" w:eastAsia="宋体" w:cs="宋体"/>
          <w:color w:val="auto"/>
          <w:highlight w:val="none"/>
          <w:lang w:val="en-US" w:eastAsia="zh-CN"/>
        </w:rPr>
        <w:t>或</w:t>
      </w:r>
      <w:r>
        <w:rPr>
          <w:rFonts w:hint="eastAsia" w:ascii="宋体" w:hAnsi="宋体" w:eastAsia="宋体" w:cs="宋体"/>
          <w:color w:val="auto"/>
          <w:sz w:val="21"/>
          <w:szCs w:val="24"/>
          <w:highlight w:val="none"/>
        </w:rPr>
        <w:t xml:space="preserve"> 通过下载招标文件的电子招标交易平台上传。</w:t>
      </w:r>
      <w:r>
        <w:rPr>
          <w:rFonts w:hint="eastAsia" w:ascii="宋体" w:hAnsi="宋体" w:eastAsia="宋体" w:cs="宋体"/>
          <w:color w:val="auto"/>
          <w:highlight w:val="none"/>
        </w:rPr>
        <w:t>采用传真方式的，应在</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时前将原件递交至</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（详细地址）。</w:t>
      </w:r>
    </w:p>
    <w:p w14:paraId="21284814">
      <w:pPr>
        <w:pageBreakBefore w:val="0"/>
        <w:kinsoku/>
        <w:wordWrap/>
        <w:overflowPunct/>
        <w:topLinePunct w:val="0"/>
        <w:bidi w:val="0"/>
        <w:spacing w:line="360" w:lineRule="auto"/>
        <w:textAlignment w:val="auto"/>
        <w:rPr>
          <w:rFonts w:hint="eastAsia" w:ascii="宋体" w:hAnsi="宋体" w:eastAsia="宋体" w:cs="宋体"/>
          <w:color w:val="auto"/>
          <w:highlight w:val="none"/>
        </w:rPr>
      </w:pPr>
    </w:p>
    <w:p w14:paraId="478DDE85">
      <w:pPr>
        <w:pageBreakBefore w:val="0"/>
        <w:kinsoku/>
        <w:wordWrap/>
        <w:overflowPunct/>
        <w:topLinePunct w:val="0"/>
        <w:bidi w:val="0"/>
        <w:spacing w:line="360" w:lineRule="auto"/>
        <w:ind w:firstLine="2835" w:firstLineChars="1350"/>
        <w:textAlignment w:val="auto"/>
        <w:rPr>
          <w:rFonts w:hint="eastAsia" w:ascii="宋体" w:hAnsi="宋体" w:eastAsia="宋体" w:cs="宋体"/>
          <w:color w:val="auto"/>
          <w:highlight w:val="none"/>
        </w:rPr>
      </w:pPr>
      <w:r>
        <w:rPr>
          <w:rFonts w:hint="eastAsia" w:ascii="宋体" w:hAnsi="宋体" w:eastAsia="宋体" w:cs="宋体"/>
          <w:color w:val="auto"/>
          <w:highlight w:val="none"/>
        </w:rPr>
        <w:t>（经评标委员会授权的招标人代表签字或招标人加盖单位章）</w:t>
      </w:r>
    </w:p>
    <w:p w14:paraId="624C8BA4">
      <w:pPr>
        <w:pageBreakBefore w:val="0"/>
        <w:kinsoku/>
        <w:wordWrap/>
        <w:overflowPunct/>
        <w:topLinePunct w:val="0"/>
        <w:bidi w:val="0"/>
        <w:spacing w:line="360" w:lineRule="auto"/>
        <w:ind w:firstLine="4620" w:firstLineChars="2200"/>
        <w:textAlignment w:val="auto"/>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16908ACD">
      <w:pPr>
        <w:pStyle w:val="3"/>
        <w:bidi w:val="0"/>
        <w:rPr>
          <w:rFonts w:hint="eastAsia" w:ascii="宋体" w:hAnsi="宋体" w:eastAsia="宋体" w:cs="宋体"/>
          <w:color w:val="auto"/>
          <w:highlight w:val="none"/>
        </w:rPr>
      </w:pPr>
      <w:r>
        <w:rPr>
          <w:rFonts w:hint="eastAsia" w:ascii="宋体" w:hAnsi="宋体" w:eastAsia="宋体" w:cs="宋体"/>
          <w:color w:val="auto"/>
          <w:szCs w:val="21"/>
          <w:highlight w:val="none"/>
        </w:rPr>
        <w:br w:type="page"/>
      </w:r>
      <w:bookmarkStart w:id="1505" w:name="_Toc1286560793"/>
      <w:bookmarkStart w:id="1506" w:name="_Toc439701117"/>
      <w:bookmarkStart w:id="1507" w:name="_Toc33427205"/>
      <w:bookmarkStart w:id="1508" w:name="_Toc505631221"/>
      <w:bookmarkStart w:id="1509" w:name="_Toc1300848102"/>
      <w:bookmarkStart w:id="1510" w:name="_Toc184635083"/>
      <w:bookmarkStart w:id="1511" w:name="_Toc1048590087"/>
      <w:bookmarkStart w:id="1512" w:name="_Toc68719380"/>
      <w:bookmarkStart w:id="1513" w:name="_Toc23220"/>
      <w:bookmarkStart w:id="1514" w:name="_Toc1069560915"/>
      <w:bookmarkStart w:id="1515" w:name="_Toc1233277359"/>
      <w:bookmarkStart w:id="1516" w:name="_Toc336057852"/>
      <w:bookmarkStart w:id="1517" w:name="_Toc562200916"/>
      <w:bookmarkStart w:id="1518" w:name="_Toc1355220281"/>
      <w:bookmarkStart w:id="1519" w:name="_Toc1229508808"/>
      <w:bookmarkStart w:id="1520" w:name="_Toc1383207506"/>
      <w:bookmarkStart w:id="1521" w:name="_Toc882391510"/>
      <w:bookmarkStart w:id="1522" w:name="_Toc882288508"/>
      <w:bookmarkStart w:id="1523" w:name="_Toc865014962"/>
      <w:bookmarkStart w:id="1524" w:name="_Toc797804152"/>
      <w:bookmarkStart w:id="1525" w:name="_Toc1005979937"/>
      <w:bookmarkStart w:id="1526" w:name="_Toc597754405"/>
      <w:r>
        <w:rPr>
          <w:rFonts w:hint="eastAsia" w:ascii="宋体" w:hAnsi="宋体" w:eastAsia="宋体" w:cs="宋体"/>
          <w:b w:val="0"/>
          <w:bCs w:val="0"/>
          <w:color w:val="auto"/>
          <w:kern w:val="2"/>
          <w:sz w:val="21"/>
          <w:szCs w:val="21"/>
          <w:highlight w:val="none"/>
          <w:lang w:val="en-US" w:eastAsia="zh-CN" w:bidi="ar-SA"/>
        </w:rPr>
        <w:t>附件二：问题的澄清</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14:paraId="2095A46F">
      <w:pPr>
        <w:pageBreakBefore w:val="0"/>
        <w:kinsoku/>
        <w:wordWrap/>
        <w:overflowPunct/>
        <w:topLinePunct w:val="0"/>
        <w:bidi w:val="0"/>
        <w:spacing w:before="240" w:beforeLines="100" w:after="240" w:afterLines="100" w:line="360" w:lineRule="auto"/>
        <w:jc w:val="center"/>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问题的澄清</w:t>
      </w:r>
    </w:p>
    <w:p w14:paraId="160F6B9E">
      <w:pPr>
        <w:pageBreakBefore w:val="0"/>
        <w:kinsoku/>
        <w:wordWrap/>
        <w:overflowPunct/>
        <w:topLinePunct w:val="0"/>
        <w:bidi w:val="0"/>
        <w:spacing w:before="240" w:beforeLines="100" w:after="240" w:afterLines="100" w:line="360" w:lineRule="auto"/>
        <w:jc w:val="center"/>
        <w:textAlignment w:val="auto"/>
        <w:rPr>
          <w:rFonts w:hint="eastAsia" w:ascii="宋体" w:hAnsi="宋体" w:eastAsia="宋体" w:cs="宋体"/>
          <w:color w:val="auto"/>
          <w:sz w:val="28"/>
          <w:szCs w:val="28"/>
          <w:highlight w:val="none"/>
        </w:rPr>
      </w:pPr>
    </w:p>
    <w:p w14:paraId="36DA21F1">
      <w:pPr>
        <w:pageBreakBefore w:val="0"/>
        <w:kinsoku/>
        <w:wordWrap/>
        <w:overflowPunct/>
        <w:topLinePunct w:val="0"/>
        <w:bidi w:val="0"/>
        <w:spacing w:line="360" w:lineRule="auto"/>
        <w:ind w:firstLine="5355" w:firstLineChars="2550"/>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编号：</w:t>
      </w:r>
      <w:r>
        <w:rPr>
          <w:rFonts w:hint="eastAsia" w:ascii="宋体" w:hAnsi="宋体" w:eastAsia="宋体" w:cs="宋体"/>
          <w:color w:val="auto"/>
          <w:highlight w:val="none"/>
          <w:u w:val="single"/>
        </w:rPr>
        <w:t xml:space="preserve">                  </w:t>
      </w:r>
    </w:p>
    <w:p w14:paraId="2D5D9FBF">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rPr>
        <w:t xml:space="preserve">项目名称）        </w:t>
      </w:r>
      <w:r>
        <w:rPr>
          <w:rFonts w:hint="eastAsia" w:ascii="宋体" w:hAnsi="宋体" w:eastAsia="宋体" w:cs="宋体"/>
          <w:color w:val="auto"/>
          <w:szCs w:val="21"/>
          <w:highlight w:val="none"/>
        </w:rPr>
        <w:t>委员会：</w:t>
      </w:r>
    </w:p>
    <w:p w14:paraId="39B8536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问题澄清通知（编号：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）已收悉，现澄清如下：</w:t>
      </w:r>
    </w:p>
    <w:p w14:paraId="2C7CF65B">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w:t>
      </w:r>
    </w:p>
    <w:p w14:paraId="1635E6F1">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w:t>
      </w:r>
    </w:p>
    <w:p w14:paraId="1AA69B7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p w14:paraId="64C0C491">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p>
    <w:p w14:paraId="397C1AC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p>
    <w:p w14:paraId="1DEEB5A2">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p>
    <w:p w14:paraId="25D6C91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p>
    <w:p w14:paraId="47ED16C6">
      <w:pPr>
        <w:pageBreakBefore w:val="0"/>
        <w:kinsoku/>
        <w:wordWrap/>
        <w:overflowPunct/>
        <w:topLinePunct w:val="0"/>
        <w:bidi w:val="0"/>
        <w:spacing w:line="360" w:lineRule="auto"/>
        <w:ind w:firstLine="4725" w:firstLineChars="22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（盖单位章）</w:t>
      </w:r>
    </w:p>
    <w:p w14:paraId="1DB887AD">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p>
    <w:p w14:paraId="387C1AED">
      <w:pPr>
        <w:pageBreakBefore w:val="0"/>
        <w:kinsoku/>
        <w:wordWrap/>
        <w:overflowPunct/>
        <w:topLinePunct w:val="0"/>
        <w:bidi w:val="0"/>
        <w:spacing w:line="360" w:lineRule="auto"/>
        <w:ind w:firstLine="4830" w:firstLineChars="23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w:t>
      </w:r>
      <w:r>
        <w:rPr>
          <w:rFonts w:hint="eastAsia" w:ascii="宋体" w:hAnsi="宋体" w:eastAsia="宋体" w:cs="宋体"/>
          <w:color w:val="auto"/>
          <w:szCs w:val="21"/>
          <w:highlight w:val="none"/>
          <w:lang w:eastAsia="zh-CN"/>
        </w:rPr>
        <w:t>代理人</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w:t>
      </w:r>
    </w:p>
    <w:p w14:paraId="16B2B5EF">
      <w:pPr>
        <w:pageBreakBefore w:val="0"/>
        <w:kinsoku/>
        <w:wordWrap/>
        <w:overflowPunct/>
        <w:topLinePunct w:val="0"/>
        <w:bidi w:val="0"/>
        <w:spacing w:line="360" w:lineRule="auto"/>
        <w:ind w:firstLine="5145" w:firstLineChars="2450"/>
        <w:textAlignment w:val="auto"/>
        <w:rPr>
          <w:rFonts w:hint="eastAsia" w:ascii="宋体" w:hAnsi="宋体" w:eastAsia="宋体" w:cs="宋体"/>
          <w:color w:val="auto"/>
          <w:szCs w:val="21"/>
          <w:highlight w:val="none"/>
          <w:u w:val="single"/>
        </w:rPr>
      </w:pPr>
    </w:p>
    <w:p w14:paraId="1EE78908">
      <w:pPr>
        <w:pageBreakBefore w:val="0"/>
        <w:kinsoku/>
        <w:wordWrap/>
        <w:overflowPunct/>
        <w:topLinePunct w:val="0"/>
        <w:bidi w:val="0"/>
        <w:spacing w:line="360" w:lineRule="auto"/>
        <w:ind w:firstLine="5145" w:firstLineChars="24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38D90EEE">
      <w:pPr>
        <w:pStyle w:val="3"/>
        <w:bidi w:val="0"/>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1527" w:name="_Toc662221875"/>
      <w:bookmarkStart w:id="1528" w:name="_Toc483552526"/>
      <w:bookmarkStart w:id="1529" w:name="_Toc1678485390"/>
      <w:bookmarkStart w:id="1530" w:name="_Toc1511815189"/>
      <w:bookmarkStart w:id="1531" w:name="_Toc1115903846"/>
      <w:bookmarkStart w:id="1532" w:name="_Toc1853173381"/>
      <w:bookmarkStart w:id="1533" w:name="_Toc1018827460"/>
      <w:bookmarkStart w:id="1534" w:name="_Toc1136083878"/>
      <w:bookmarkStart w:id="1535" w:name="_Toc31980775"/>
      <w:bookmarkStart w:id="1536" w:name="_Toc535033998"/>
      <w:bookmarkStart w:id="1537" w:name="_Toc934462712"/>
      <w:bookmarkStart w:id="1538" w:name="_Toc1625528674"/>
      <w:bookmarkStart w:id="1539" w:name="_Toc1013324704"/>
      <w:bookmarkStart w:id="1540" w:name="_Toc1885230021"/>
      <w:bookmarkStart w:id="1541" w:name="_Toc1481710788"/>
      <w:bookmarkStart w:id="1542" w:name="_Toc1199213525"/>
      <w:bookmarkStart w:id="1543" w:name="_Toc128515689"/>
      <w:bookmarkStart w:id="1544" w:name="_Toc1092585122"/>
      <w:bookmarkStart w:id="1545" w:name="_Toc1510826349"/>
      <w:bookmarkStart w:id="1546" w:name="_Toc5996"/>
      <w:bookmarkStart w:id="1547" w:name="_Toc785842625"/>
      <w:r>
        <w:rPr>
          <w:rStyle w:val="37"/>
          <w:rFonts w:hint="eastAsia" w:ascii="宋体" w:hAnsi="宋体" w:eastAsia="宋体" w:cs="宋体"/>
          <w:b w:val="0"/>
          <w:bCs w:val="0"/>
          <w:color w:val="auto"/>
          <w:sz w:val="21"/>
          <w:szCs w:val="21"/>
          <w:highlight w:val="none"/>
          <w:lang w:val="en-US" w:eastAsia="zh-CN"/>
        </w:rPr>
        <w:t>附件三：</w:t>
      </w:r>
      <w:r>
        <w:rPr>
          <w:rStyle w:val="37"/>
          <w:rFonts w:hint="eastAsia" w:ascii="宋体" w:hAnsi="宋体" w:eastAsia="宋体" w:cs="宋体"/>
          <w:b w:val="0"/>
          <w:bCs w:val="0"/>
          <w:color w:val="auto"/>
          <w:sz w:val="21"/>
          <w:szCs w:val="21"/>
          <w:highlight w:val="none"/>
        </w:rPr>
        <w:t>危险性较大的分部分项工程清单</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14:paraId="206E6420">
      <w:pPr>
        <w:jc w:val="center"/>
        <w:rPr>
          <w:rFonts w:hint="eastAsia" w:ascii="宋体" w:hAnsi="宋体" w:eastAsia="宋体" w:cs="宋体"/>
          <w:color w:val="auto"/>
          <w:sz w:val="28"/>
          <w:szCs w:val="28"/>
          <w:highlight w:val="none"/>
        </w:rPr>
      </w:pPr>
    </w:p>
    <w:p w14:paraId="08EF9AEA">
      <w:pPr>
        <w:jc w:val="center"/>
        <w:rPr>
          <w:rFonts w:hint="eastAsia" w:ascii="宋体" w:hAnsi="宋体" w:eastAsia="宋体" w:cs="宋体"/>
          <w:color w:val="auto"/>
          <w:highlight w:val="none"/>
        </w:rPr>
      </w:pPr>
      <w:r>
        <w:rPr>
          <w:rFonts w:hint="eastAsia" w:ascii="宋体" w:hAnsi="宋体" w:eastAsia="宋体" w:cs="宋体"/>
          <w:color w:val="auto"/>
          <w:sz w:val="28"/>
          <w:szCs w:val="28"/>
          <w:highlight w:val="none"/>
        </w:rPr>
        <w:t>危险性较大的分部分项工程清单</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5719"/>
        <w:gridCol w:w="2782"/>
      </w:tblGrid>
      <w:tr w14:paraId="3547D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70F15D6C">
            <w:pPr>
              <w:spacing w:line="360" w:lineRule="auto"/>
              <w:jc w:val="center"/>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b/>
                <w:bCs/>
                <w:color w:val="auto"/>
                <w:sz w:val="21"/>
                <w:szCs w:val="21"/>
                <w:highlight w:val="none"/>
                <w:vertAlign w:val="baseline"/>
                <w:lang w:eastAsia="zh-CN"/>
              </w:rPr>
              <w:t>序号</w:t>
            </w:r>
          </w:p>
        </w:tc>
        <w:tc>
          <w:tcPr>
            <w:tcW w:w="5719" w:type="dxa"/>
            <w:noWrap w:val="0"/>
            <w:vAlign w:val="top"/>
          </w:tcPr>
          <w:p w14:paraId="4AB57174">
            <w:pPr>
              <w:spacing w:line="360" w:lineRule="auto"/>
              <w:jc w:val="center"/>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b/>
                <w:bCs/>
                <w:color w:val="auto"/>
                <w:sz w:val="21"/>
                <w:szCs w:val="21"/>
                <w:highlight w:val="none"/>
                <w:vertAlign w:val="baseline"/>
                <w:lang w:eastAsia="zh-CN"/>
              </w:rPr>
              <w:t>危险性较大的分部分项工程</w:t>
            </w:r>
          </w:p>
        </w:tc>
        <w:tc>
          <w:tcPr>
            <w:tcW w:w="2782" w:type="dxa"/>
            <w:noWrap w:val="0"/>
            <w:vAlign w:val="top"/>
          </w:tcPr>
          <w:p w14:paraId="42433BCD">
            <w:pPr>
              <w:spacing w:line="360" w:lineRule="auto"/>
              <w:jc w:val="center"/>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b/>
                <w:bCs/>
                <w:color w:val="auto"/>
                <w:sz w:val="21"/>
                <w:szCs w:val="21"/>
                <w:highlight w:val="none"/>
                <w:vertAlign w:val="baseline"/>
                <w:lang w:eastAsia="zh-CN"/>
              </w:rPr>
              <w:t>备注</w:t>
            </w:r>
          </w:p>
        </w:tc>
      </w:tr>
      <w:tr w14:paraId="747A9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06CB0A33">
            <w:pPr>
              <w:spacing w:line="360" w:lineRule="auto"/>
              <w:jc w:val="left"/>
              <w:rPr>
                <w:rFonts w:hint="eastAsia" w:ascii="宋体" w:hAnsi="宋体" w:eastAsia="宋体" w:cs="宋体"/>
                <w:color w:val="auto"/>
                <w:sz w:val="21"/>
                <w:szCs w:val="21"/>
                <w:highlight w:val="none"/>
                <w:vertAlign w:val="baseline"/>
                <w:lang w:val="en-US" w:eastAsia="zh-CN"/>
              </w:rPr>
            </w:pPr>
            <w:permStart w:id="139" w:edGrp="everyone"/>
            <w:r>
              <w:rPr>
                <w:rFonts w:hint="eastAsia" w:ascii="宋体" w:hAnsi="宋体" w:cs="宋体"/>
                <w:color w:val="auto"/>
                <w:sz w:val="21"/>
                <w:szCs w:val="21"/>
                <w:highlight w:val="none"/>
                <w:vertAlign w:val="baseline"/>
                <w:lang w:val="en-US" w:eastAsia="zh-CN"/>
              </w:rPr>
              <w:t>1</w:t>
            </w:r>
          </w:p>
        </w:tc>
        <w:tc>
          <w:tcPr>
            <w:tcW w:w="5719" w:type="dxa"/>
            <w:noWrap w:val="0"/>
            <w:vAlign w:val="top"/>
          </w:tcPr>
          <w:p w14:paraId="5DE1B8C2">
            <w:pPr>
              <w:numPr>
                <w:ilvl w:val="0"/>
                <w:numId w:val="0"/>
              </w:numPr>
              <w:spacing w:line="36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混凝土模板支撑工程：</w:t>
            </w:r>
          </w:p>
          <w:p w14:paraId="2A06B47A">
            <w:pPr>
              <w:numPr>
                <w:ilvl w:val="0"/>
                <w:numId w:val="0"/>
              </w:numPr>
              <w:spacing w:line="36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1、</w:t>
            </w:r>
            <w:r>
              <w:rPr>
                <w:rFonts w:hint="eastAsia" w:ascii="宋体" w:hAnsi="宋体" w:eastAsia="宋体" w:cs="宋体"/>
                <w:color w:val="auto"/>
                <w:sz w:val="21"/>
                <w:szCs w:val="21"/>
                <w:highlight w:val="none"/>
                <w:vertAlign w:val="baseline"/>
              </w:rPr>
              <w:t>搭设高度5m及以上；</w:t>
            </w:r>
          </w:p>
          <w:p w14:paraId="711B2C73">
            <w:pPr>
              <w:numPr>
                <w:ilvl w:val="0"/>
                <w:numId w:val="0"/>
              </w:numPr>
              <w:spacing w:line="36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2、搭设跨度10米及以上；</w:t>
            </w:r>
          </w:p>
          <w:p w14:paraId="3A761D98">
            <w:pPr>
              <w:numPr>
                <w:ilvl w:val="0"/>
                <w:numId w:val="0"/>
              </w:numPr>
              <w:spacing w:line="36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3、</w:t>
            </w:r>
            <w:r>
              <w:rPr>
                <w:rFonts w:hint="eastAsia" w:ascii="宋体" w:hAnsi="宋体" w:eastAsia="宋体" w:cs="宋体"/>
                <w:color w:val="auto"/>
                <w:sz w:val="21"/>
                <w:szCs w:val="21"/>
                <w:highlight w:val="none"/>
                <w:vertAlign w:val="baseline"/>
              </w:rPr>
              <w:t>施工总荷载10KN/m2及以上；</w:t>
            </w:r>
          </w:p>
          <w:p w14:paraId="13EAFD27">
            <w:pPr>
              <w:numPr>
                <w:ilvl w:val="0"/>
                <w:numId w:val="0"/>
              </w:numPr>
              <w:spacing w:line="36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4、</w:t>
            </w:r>
            <w:r>
              <w:rPr>
                <w:rFonts w:hint="eastAsia" w:ascii="宋体" w:hAnsi="宋体" w:eastAsia="宋体" w:cs="宋体"/>
                <w:color w:val="auto"/>
                <w:sz w:val="21"/>
                <w:szCs w:val="21"/>
                <w:highlight w:val="none"/>
                <w:vertAlign w:val="baseline"/>
              </w:rPr>
              <w:t>集中线荷载15KN/m及以上；</w:t>
            </w:r>
          </w:p>
          <w:p w14:paraId="6B4B7C0F">
            <w:pPr>
              <w:numPr>
                <w:ilvl w:val="0"/>
                <w:numId w:val="0"/>
              </w:numPr>
              <w:spacing w:line="36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5、</w:t>
            </w:r>
            <w:r>
              <w:rPr>
                <w:rFonts w:hint="eastAsia" w:ascii="宋体" w:hAnsi="宋体" w:eastAsia="宋体" w:cs="宋体"/>
                <w:color w:val="auto"/>
                <w:sz w:val="21"/>
                <w:szCs w:val="21"/>
                <w:highlight w:val="none"/>
                <w:vertAlign w:val="baseline"/>
              </w:rPr>
              <w:t>高度大于支撑水平投影宽度且相对独立无联系构件的混凝土模板支撑工程；</w:t>
            </w:r>
          </w:p>
          <w:p w14:paraId="2C38B182">
            <w:pPr>
              <w:spacing w:line="36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6、</w:t>
            </w:r>
            <w:r>
              <w:rPr>
                <w:rFonts w:hint="eastAsia" w:ascii="宋体" w:hAnsi="宋体" w:eastAsia="宋体" w:cs="宋体"/>
                <w:color w:val="auto"/>
                <w:sz w:val="21"/>
                <w:szCs w:val="21"/>
                <w:highlight w:val="none"/>
                <w:vertAlign w:val="baseline"/>
              </w:rPr>
              <w:t>建筑物顶层的独立柱、圈梁、连梁、局部楼板、以及楼梯间屋顶板、电梯机房顶板等施工部位可能存在风险的局部模板工程。</w:t>
            </w:r>
          </w:p>
        </w:tc>
        <w:tc>
          <w:tcPr>
            <w:tcW w:w="2782" w:type="dxa"/>
            <w:noWrap w:val="0"/>
            <w:vAlign w:val="top"/>
          </w:tcPr>
          <w:p w14:paraId="171B5150">
            <w:pPr>
              <w:spacing w:line="360" w:lineRule="auto"/>
              <w:jc w:val="left"/>
              <w:rPr>
                <w:rFonts w:hint="eastAsia" w:ascii="宋体" w:hAnsi="宋体" w:eastAsia="宋体" w:cs="宋体"/>
                <w:color w:val="auto"/>
                <w:sz w:val="21"/>
                <w:szCs w:val="21"/>
                <w:highlight w:val="none"/>
                <w:vertAlign w:val="baseline"/>
              </w:rPr>
            </w:pPr>
          </w:p>
        </w:tc>
      </w:tr>
      <w:permEnd w:id="139"/>
      <w:tr w14:paraId="3A2C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0BE0FFE0">
            <w:pPr>
              <w:spacing w:line="360" w:lineRule="auto"/>
              <w:jc w:val="left"/>
              <w:rPr>
                <w:rFonts w:hint="eastAsia" w:ascii="宋体" w:hAnsi="宋体" w:eastAsia="宋体" w:cs="宋体"/>
                <w:color w:val="auto"/>
                <w:sz w:val="21"/>
                <w:szCs w:val="21"/>
                <w:highlight w:val="none"/>
                <w:vertAlign w:val="baseline"/>
              </w:rPr>
            </w:pPr>
            <w:permStart w:id="140" w:edGrp="everyone"/>
            <w:r>
              <w:rPr>
                <w:rFonts w:hint="eastAsia" w:ascii="宋体" w:hAnsi="宋体" w:cs="宋体"/>
                <w:color w:val="auto"/>
                <w:sz w:val="21"/>
                <w:szCs w:val="21"/>
                <w:highlight w:val="none"/>
                <w:vertAlign w:val="baseline"/>
                <w:lang w:val="en-US" w:eastAsia="zh-CN"/>
              </w:rPr>
              <w:t>2</w:t>
            </w:r>
          </w:p>
        </w:tc>
        <w:tc>
          <w:tcPr>
            <w:tcW w:w="5719" w:type="dxa"/>
            <w:noWrap w:val="0"/>
            <w:vAlign w:val="top"/>
          </w:tcPr>
          <w:p w14:paraId="44F7C06F">
            <w:pPr>
              <w:spacing w:line="360" w:lineRule="auto"/>
              <w:jc w:val="left"/>
              <w:rPr>
                <w:rFonts w:hint="eastAsia" w:ascii="宋体" w:hAnsi="宋体" w:eastAsia="宋体" w:cs="宋体"/>
                <w:color w:val="auto"/>
                <w:sz w:val="21"/>
                <w:szCs w:val="21"/>
                <w:highlight w:val="none"/>
                <w:vertAlign w:val="baseline"/>
              </w:rPr>
            </w:pPr>
            <w:r>
              <w:rPr>
                <w:rFonts w:hint="eastAsia" w:ascii="宋体" w:hAnsi="宋体" w:cs="宋体"/>
                <w:color w:val="auto"/>
                <w:sz w:val="21"/>
                <w:szCs w:val="21"/>
                <w:highlight w:val="none"/>
                <w:vertAlign w:val="baseline"/>
                <w:lang w:val="en-US" w:eastAsia="zh-CN"/>
              </w:rPr>
              <w:t>承重支撑体系：</w:t>
            </w:r>
            <w:r>
              <w:rPr>
                <w:rFonts w:hint="eastAsia" w:ascii="宋体" w:hAnsi="宋体" w:eastAsia="宋体" w:cs="宋体"/>
                <w:color w:val="auto"/>
                <w:sz w:val="21"/>
                <w:szCs w:val="21"/>
                <w:highlight w:val="none"/>
                <w:vertAlign w:val="baseline"/>
              </w:rPr>
              <w:t>用于钢结构安装等满堂支撑体系</w:t>
            </w:r>
          </w:p>
        </w:tc>
        <w:tc>
          <w:tcPr>
            <w:tcW w:w="2782" w:type="dxa"/>
            <w:noWrap w:val="0"/>
            <w:vAlign w:val="top"/>
          </w:tcPr>
          <w:p w14:paraId="25657A0B">
            <w:pPr>
              <w:spacing w:line="360" w:lineRule="auto"/>
              <w:jc w:val="left"/>
              <w:rPr>
                <w:rFonts w:hint="eastAsia" w:ascii="宋体" w:hAnsi="宋体" w:eastAsia="宋体" w:cs="宋体"/>
                <w:color w:val="auto"/>
                <w:sz w:val="21"/>
                <w:szCs w:val="21"/>
                <w:highlight w:val="none"/>
                <w:vertAlign w:val="baseline"/>
              </w:rPr>
            </w:pPr>
          </w:p>
        </w:tc>
      </w:tr>
      <w:permEnd w:id="140"/>
      <w:tr w14:paraId="16AB7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10298D28">
            <w:pPr>
              <w:spacing w:line="360" w:lineRule="auto"/>
              <w:jc w:val="left"/>
              <w:rPr>
                <w:rFonts w:hint="eastAsia" w:ascii="宋体" w:hAnsi="宋体" w:eastAsia="宋体" w:cs="宋体"/>
                <w:color w:val="auto"/>
                <w:sz w:val="21"/>
                <w:szCs w:val="21"/>
                <w:highlight w:val="none"/>
                <w:vertAlign w:val="baseline"/>
              </w:rPr>
            </w:pPr>
            <w:permStart w:id="141" w:edGrp="everyone"/>
            <w:r>
              <w:rPr>
                <w:rFonts w:hint="eastAsia" w:ascii="宋体" w:hAnsi="宋体" w:cs="宋体"/>
                <w:color w:val="auto"/>
                <w:sz w:val="21"/>
                <w:szCs w:val="21"/>
                <w:highlight w:val="none"/>
                <w:vertAlign w:val="baseline"/>
                <w:lang w:val="en-US" w:eastAsia="zh-CN"/>
              </w:rPr>
              <w:t>3</w:t>
            </w:r>
          </w:p>
        </w:tc>
        <w:tc>
          <w:tcPr>
            <w:tcW w:w="5719" w:type="dxa"/>
            <w:noWrap w:val="0"/>
            <w:vAlign w:val="top"/>
          </w:tcPr>
          <w:p w14:paraId="0863A121">
            <w:pPr>
              <w:spacing w:line="360" w:lineRule="auto"/>
              <w:jc w:val="left"/>
              <w:rPr>
                <w:rFonts w:hint="eastAsia" w:ascii="宋体" w:hAnsi="宋体" w:eastAsia="宋体" w:cs="宋体"/>
                <w:color w:val="auto"/>
                <w:sz w:val="21"/>
                <w:szCs w:val="21"/>
                <w:highlight w:val="none"/>
                <w:vertAlign w:val="baseline"/>
                <w:lang w:eastAsia="zh-CN"/>
              </w:rPr>
            </w:pPr>
            <w:r>
              <w:rPr>
                <w:rFonts w:hint="eastAsia" w:ascii="宋体" w:hAnsi="宋体" w:eastAsia="宋体" w:cs="宋体"/>
                <w:color w:val="auto"/>
                <w:sz w:val="21"/>
                <w:szCs w:val="21"/>
                <w:highlight w:val="none"/>
                <w:vertAlign w:val="baseline"/>
              </w:rPr>
              <w:t>起重吊装及起重机械安装拆卸工程</w:t>
            </w:r>
            <w:r>
              <w:rPr>
                <w:rFonts w:hint="eastAsia" w:ascii="宋体" w:hAnsi="宋体" w:eastAsia="宋体" w:cs="宋体"/>
                <w:color w:val="auto"/>
                <w:sz w:val="21"/>
                <w:szCs w:val="21"/>
                <w:highlight w:val="none"/>
                <w:vertAlign w:val="baseline"/>
                <w:lang w:eastAsia="zh-CN"/>
              </w:rPr>
              <w:t>：</w:t>
            </w:r>
          </w:p>
          <w:p w14:paraId="503F3CCE">
            <w:pPr>
              <w:numPr>
                <w:ilvl w:val="0"/>
                <w:numId w:val="0"/>
              </w:numPr>
              <w:spacing w:line="36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1、</w:t>
            </w:r>
            <w:r>
              <w:rPr>
                <w:rFonts w:hint="eastAsia" w:ascii="宋体" w:hAnsi="宋体" w:eastAsia="宋体" w:cs="宋体"/>
                <w:color w:val="auto"/>
                <w:sz w:val="21"/>
                <w:szCs w:val="21"/>
                <w:highlight w:val="none"/>
                <w:vertAlign w:val="baseline"/>
              </w:rPr>
              <w:t>采用非常规起重设备、方法，且单件起吊重量在10kN及以上的起重吊装工程；</w:t>
            </w:r>
          </w:p>
          <w:p w14:paraId="40D9D151">
            <w:pPr>
              <w:numPr>
                <w:ilvl w:val="0"/>
                <w:numId w:val="0"/>
              </w:numPr>
              <w:spacing w:line="360" w:lineRule="auto"/>
              <w:jc w:val="left"/>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w:t>
            </w:r>
            <w:r>
              <w:rPr>
                <w:rFonts w:hint="eastAsia" w:ascii="宋体" w:hAnsi="宋体" w:eastAsia="宋体" w:cs="宋体"/>
                <w:color w:val="auto"/>
                <w:sz w:val="21"/>
                <w:szCs w:val="21"/>
                <w:highlight w:val="none"/>
                <w:vertAlign w:val="baseline"/>
              </w:rPr>
              <w:t>采用起重机械进行安装的工程；</w:t>
            </w:r>
          </w:p>
          <w:p w14:paraId="6C9B7648">
            <w:pPr>
              <w:spacing w:line="36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3、</w:t>
            </w:r>
            <w:r>
              <w:rPr>
                <w:rFonts w:hint="eastAsia" w:ascii="宋体" w:hAnsi="宋体" w:eastAsia="宋体" w:cs="宋体"/>
                <w:color w:val="auto"/>
                <w:sz w:val="21"/>
                <w:szCs w:val="21"/>
                <w:highlight w:val="none"/>
                <w:vertAlign w:val="baseline"/>
              </w:rPr>
              <w:t>起重机械安装和拆卸工程</w:t>
            </w:r>
          </w:p>
        </w:tc>
        <w:tc>
          <w:tcPr>
            <w:tcW w:w="2782" w:type="dxa"/>
            <w:noWrap w:val="0"/>
            <w:vAlign w:val="top"/>
          </w:tcPr>
          <w:p w14:paraId="4DE97BFC">
            <w:pPr>
              <w:spacing w:line="360" w:lineRule="auto"/>
              <w:jc w:val="left"/>
              <w:rPr>
                <w:rFonts w:hint="eastAsia" w:ascii="宋体" w:hAnsi="宋体" w:eastAsia="宋体" w:cs="宋体"/>
                <w:color w:val="auto"/>
                <w:sz w:val="21"/>
                <w:szCs w:val="21"/>
                <w:highlight w:val="none"/>
                <w:vertAlign w:val="baseline"/>
              </w:rPr>
            </w:pPr>
          </w:p>
        </w:tc>
      </w:tr>
      <w:permEnd w:id="141"/>
      <w:tr w14:paraId="0A1D2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4727519D">
            <w:pPr>
              <w:spacing w:line="360" w:lineRule="auto"/>
              <w:jc w:val="left"/>
              <w:rPr>
                <w:rFonts w:hint="eastAsia" w:ascii="宋体" w:hAnsi="宋体" w:eastAsia="宋体" w:cs="宋体"/>
                <w:color w:val="auto"/>
                <w:sz w:val="21"/>
                <w:szCs w:val="21"/>
                <w:highlight w:val="none"/>
                <w:vertAlign w:val="baseline"/>
              </w:rPr>
            </w:pPr>
            <w:permStart w:id="142" w:edGrp="everyone"/>
            <w:r>
              <w:rPr>
                <w:rFonts w:hint="eastAsia" w:ascii="宋体" w:hAnsi="宋体" w:cs="宋体"/>
                <w:color w:val="auto"/>
                <w:sz w:val="21"/>
                <w:szCs w:val="21"/>
                <w:highlight w:val="none"/>
                <w:vertAlign w:val="baseline"/>
                <w:lang w:val="en-US" w:eastAsia="zh-CN"/>
              </w:rPr>
              <w:t>4</w:t>
            </w:r>
          </w:p>
        </w:tc>
        <w:tc>
          <w:tcPr>
            <w:tcW w:w="5719" w:type="dxa"/>
            <w:noWrap w:val="0"/>
            <w:vAlign w:val="top"/>
          </w:tcPr>
          <w:p w14:paraId="1DF200DF">
            <w:pPr>
              <w:spacing w:line="360" w:lineRule="auto"/>
              <w:jc w:val="left"/>
              <w:rPr>
                <w:rFonts w:hint="eastAsia" w:ascii="宋体" w:hAnsi="宋体" w:eastAsia="宋体" w:cs="宋体"/>
                <w:color w:val="auto"/>
                <w:sz w:val="21"/>
                <w:szCs w:val="21"/>
                <w:highlight w:val="none"/>
                <w:vertAlign w:val="baseline"/>
                <w:lang w:eastAsia="zh-CN"/>
              </w:rPr>
            </w:pPr>
            <w:r>
              <w:rPr>
                <w:rFonts w:hint="eastAsia" w:ascii="宋体" w:hAnsi="宋体" w:eastAsia="宋体" w:cs="宋体"/>
                <w:color w:val="auto"/>
                <w:sz w:val="21"/>
                <w:szCs w:val="21"/>
                <w:highlight w:val="none"/>
                <w:vertAlign w:val="baseline"/>
              </w:rPr>
              <w:t>脚手架工程</w:t>
            </w:r>
            <w:r>
              <w:rPr>
                <w:rFonts w:hint="eastAsia" w:ascii="宋体" w:hAnsi="宋体" w:eastAsia="宋体" w:cs="宋体"/>
                <w:color w:val="auto"/>
                <w:sz w:val="21"/>
                <w:szCs w:val="21"/>
                <w:highlight w:val="none"/>
                <w:vertAlign w:val="baseline"/>
                <w:lang w:eastAsia="zh-CN"/>
              </w:rPr>
              <w:t>：</w:t>
            </w:r>
          </w:p>
          <w:p w14:paraId="068B60B0">
            <w:pPr>
              <w:spacing w:line="360" w:lineRule="auto"/>
              <w:jc w:val="left"/>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附着式升降脚手架工程；悬挑式脚手架工程；高处作业吊篮；卸料平台、操作平台工程；异型脚手架工程。</w:t>
            </w:r>
          </w:p>
        </w:tc>
        <w:tc>
          <w:tcPr>
            <w:tcW w:w="2782" w:type="dxa"/>
            <w:noWrap w:val="0"/>
            <w:vAlign w:val="top"/>
          </w:tcPr>
          <w:p w14:paraId="28AD84CB">
            <w:pPr>
              <w:spacing w:line="360" w:lineRule="auto"/>
              <w:jc w:val="left"/>
              <w:rPr>
                <w:rFonts w:hint="eastAsia" w:ascii="宋体" w:hAnsi="宋体" w:eastAsia="宋体" w:cs="宋体"/>
                <w:color w:val="auto"/>
                <w:sz w:val="21"/>
                <w:szCs w:val="21"/>
                <w:highlight w:val="none"/>
                <w:vertAlign w:val="baseline"/>
              </w:rPr>
            </w:pPr>
          </w:p>
        </w:tc>
      </w:tr>
      <w:permEnd w:id="142"/>
      <w:tr w14:paraId="2E3D2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05EACC0F">
            <w:pPr>
              <w:spacing w:line="360" w:lineRule="auto"/>
              <w:jc w:val="left"/>
              <w:rPr>
                <w:rFonts w:hint="eastAsia" w:ascii="宋体" w:hAnsi="宋体" w:eastAsia="宋体" w:cs="宋体"/>
                <w:color w:val="auto"/>
                <w:sz w:val="21"/>
                <w:szCs w:val="21"/>
                <w:highlight w:val="none"/>
                <w:vertAlign w:val="baseline"/>
                <w:lang w:val="en-US" w:eastAsia="zh-CN"/>
              </w:rPr>
            </w:pPr>
            <w:permStart w:id="143" w:edGrp="everyone"/>
            <w:r>
              <w:rPr>
                <w:rFonts w:hint="eastAsia" w:ascii="宋体" w:hAnsi="宋体" w:cs="宋体"/>
                <w:color w:val="auto"/>
                <w:sz w:val="21"/>
                <w:szCs w:val="21"/>
                <w:highlight w:val="none"/>
                <w:vertAlign w:val="baseline"/>
                <w:lang w:val="en-US" w:eastAsia="zh-CN"/>
              </w:rPr>
              <w:t>5</w:t>
            </w:r>
          </w:p>
        </w:tc>
        <w:tc>
          <w:tcPr>
            <w:tcW w:w="5719" w:type="dxa"/>
            <w:noWrap w:val="0"/>
            <w:vAlign w:val="top"/>
          </w:tcPr>
          <w:p w14:paraId="43E4B6B2">
            <w:pPr>
              <w:spacing w:line="360" w:lineRule="auto"/>
              <w:jc w:val="left"/>
              <w:rPr>
                <w:rFonts w:hint="eastAsia" w:ascii="宋体" w:hAnsi="宋体" w:eastAsia="宋体" w:cs="宋体"/>
                <w:color w:val="auto"/>
                <w:sz w:val="21"/>
                <w:szCs w:val="21"/>
                <w:highlight w:val="none"/>
                <w:vertAlign w:val="baseline"/>
              </w:rPr>
            </w:pPr>
            <w:r>
              <w:rPr>
                <w:rFonts w:hint="eastAsia" w:ascii="宋体" w:hAnsi="宋体" w:cs="宋体"/>
                <w:color w:val="auto"/>
                <w:sz w:val="21"/>
                <w:szCs w:val="21"/>
                <w:highlight w:val="none"/>
                <w:vertAlign w:val="baseline"/>
                <w:lang w:val="en-US" w:eastAsia="zh-CN"/>
              </w:rPr>
              <w:t>其它：</w:t>
            </w:r>
            <w:r>
              <w:rPr>
                <w:rFonts w:hint="eastAsia" w:ascii="宋体" w:hAnsi="宋体" w:eastAsia="宋体" w:cs="宋体"/>
                <w:color w:val="auto"/>
                <w:sz w:val="21"/>
                <w:szCs w:val="21"/>
                <w:highlight w:val="none"/>
                <w:vertAlign w:val="baseline"/>
              </w:rPr>
              <w:t>钢结构、网架和索膜结构安装工程；采用新技术、新工艺、新材料、新设备可能影响工程施工安全，尚无国家、行业及地方技术标准的分部分项工程</w:t>
            </w:r>
          </w:p>
        </w:tc>
        <w:tc>
          <w:tcPr>
            <w:tcW w:w="2782" w:type="dxa"/>
            <w:noWrap w:val="0"/>
            <w:vAlign w:val="top"/>
          </w:tcPr>
          <w:p w14:paraId="79D47C32">
            <w:pPr>
              <w:spacing w:line="360" w:lineRule="auto"/>
              <w:jc w:val="left"/>
              <w:rPr>
                <w:rFonts w:hint="eastAsia" w:ascii="宋体" w:hAnsi="宋体" w:eastAsia="宋体" w:cs="宋体"/>
                <w:color w:val="auto"/>
                <w:sz w:val="21"/>
                <w:szCs w:val="21"/>
                <w:highlight w:val="none"/>
                <w:vertAlign w:val="baseline"/>
              </w:rPr>
            </w:pPr>
          </w:p>
        </w:tc>
      </w:tr>
      <w:permEnd w:id="143"/>
      <w:tr w14:paraId="2E07C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2E50A36A">
            <w:pPr>
              <w:spacing w:line="360" w:lineRule="auto"/>
              <w:jc w:val="left"/>
              <w:rPr>
                <w:rFonts w:hint="eastAsia" w:ascii="宋体" w:hAnsi="宋体" w:eastAsia="宋体" w:cs="宋体"/>
                <w:color w:val="auto"/>
                <w:sz w:val="21"/>
                <w:szCs w:val="21"/>
                <w:highlight w:val="none"/>
                <w:vertAlign w:val="baseline"/>
              </w:rPr>
            </w:pPr>
            <w:permStart w:id="144" w:edGrp="everyone"/>
          </w:p>
        </w:tc>
        <w:tc>
          <w:tcPr>
            <w:tcW w:w="5719" w:type="dxa"/>
            <w:noWrap w:val="0"/>
            <w:vAlign w:val="top"/>
          </w:tcPr>
          <w:p w14:paraId="04F94139">
            <w:pPr>
              <w:spacing w:line="360" w:lineRule="auto"/>
              <w:jc w:val="left"/>
              <w:rPr>
                <w:rFonts w:hint="eastAsia" w:ascii="宋体" w:hAnsi="宋体" w:eastAsia="宋体" w:cs="宋体"/>
                <w:color w:val="auto"/>
                <w:sz w:val="21"/>
                <w:szCs w:val="21"/>
                <w:highlight w:val="none"/>
                <w:vertAlign w:val="baseline"/>
              </w:rPr>
            </w:pPr>
          </w:p>
        </w:tc>
        <w:tc>
          <w:tcPr>
            <w:tcW w:w="2782" w:type="dxa"/>
            <w:noWrap w:val="0"/>
            <w:vAlign w:val="top"/>
          </w:tcPr>
          <w:p w14:paraId="30962CC4">
            <w:pPr>
              <w:spacing w:line="360" w:lineRule="auto"/>
              <w:jc w:val="left"/>
              <w:rPr>
                <w:rFonts w:hint="eastAsia" w:ascii="宋体" w:hAnsi="宋体" w:eastAsia="宋体" w:cs="宋体"/>
                <w:color w:val="auto"/>
                <w:sz w:val="21"/>
                <w:szCs w:val="21"/>
                <w:highlight w:val="none"/>
                <w:vertAlign w:val="baseline"/>
              </w:rPr>
            </w:pPr>
          </w:p>
        </w:tc>
      </w:tr>
      <w:permEnd w:id="144"/>
      <w:tr w14:paraId="1D7C9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359C6912">
            <w:pPr>
              <w:spacing w:line="360" w:lineRule="auto"/>
              <w:jc w:val="left"/>
              <w:rPr>
                <w:rFonts w:hint="eastAsia" w:ascii="宋体" w:hAnsi="宋体" w:eastAsia="宋体" w:cs="宋体"/>
                <w:color w:val="auto"/>
                <w:sz w:val="21"/>
                <w:szCs w:val="21"/>
                <w:highlight w:val="none"/>
                <w:vertAlign w:val="baseline"/>
              </w:rPr>
            </w:pPr>
            <w:permStart w:id="145" w:edGrp="everyone"/>
          </w:p>
        </w:tc>
        <w:tc>
          <w:tcPr>
            <w:tcW w:w="5719" w:type="dxa"/>
            <w:noWrap w:val="0"/>
            <w:vAlign w:val="top"/>
          </w:tcPr>
          <w:p w14:paraId="1637E51C">
            <w:pPr>
              <w:spacing w:line="360" w:lineRule="auto"/>
              <w:jc w:val="left"/>
              <w:rPr>
                <w:rFonts w:hint="eastAsia" w:ascii="宋体" w:hAnsi="宋体" w:eastAsia="宋体" w:cs="宋体"/>
                <w:color w:val="auto"/>
                <w:sz w:val="21"/>
                <w:szCs w:val="21"/>
                <w:highlight w:val="none"/>
                <w:vertAlign w:val="baseline"/>
              </w:rPr>
            </w:pPr>
          </w:p>
        </w:tc>
        <w:tc>
          <w:tcPr>
            <w:tcW w:w="2782" w:type="dxa"/>
            <w:noWrap w:val="0"/>
            <w:vAlign w:val="top"/>
          </w:tcPr>
          <w:p w14:paraId="372EF6BB">
            <w:pPr>
              <w:spacing w:line="360" w:lineRule="auto"/>
              <w:jc w:val="left"/>
              <w:rPr>
                <w:rFonts w:hint="eastAsia" w:ascii="宋体" w:hAnsi="宋体" w:eastAsia="宋体" w:cs="宋体"/>
                <w:color w:val="auto"/>
                <w:sz w:val="21"/>
                <w:szCs w:val="21"/>
                <w:highlight w:val="none"/>
                <w:vertAlign w:val="baseline"/>
              </w:rPr>
            </w:pPr>
          </w:p>
        </w:tc>
      </w:tr>
      <w:permEnd w:id="145"/>
      <w:tr w14:paraId="46377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05C2A24F">
            <w:pPr>
              <w:spacing w:line="360" w:lineRule="auto"/>
              <w:jc w:val="left"/>
              <w:rPr>
                <w:rFonts w:hint="eastAsia" w:ascii="宋体" w:hAnsi="宋体" w:eastAsia="宋体" w:cs="宋体"/>
                <w:color w:val="auto"/>
                <w:sz w:val="21"/>
                <w:szCs w:val="21"/>
                <w:highlight w:val="none"/>
                <w:vertAlign w:val="baseline"/>
              </w:rPr>
            </w:pPr>
            <w:permStart w:id="146" w:edGrp="everyone"/>
          </w:p>
        </w:tc>
        <w:tc>
          <w:tcPr>
            <w:tcW w:w="5719" w:type="dxa"/>
            <w:noWrap w:val="0"/>
            <w:vAlign w:val="top"/>
          </w:tcPr>
          <w:p w14:paraId="2AB0279E">
            <w:pPr>
              <w:spacing w:line="360" w:lineRule="auto"/>
              <w:jc w:val="left"/>
              <w:rPr>
                <w:rFonts w:hint="eastAsia" w:ascii="宋体" w:hAnsi="宋体" w:eastAsia="宋体" w:cs="宋体"/>
                <w:color w:val="auto"/>
                <w:sz w:val="21"/>
                <w:szCs w:val="21"/>
                <w:highlight w:val="none"/>
                <w:vertAlign w:val="baseline"/>
              </w:rPr>
            </w:pPr>
          </w:p>
        </w:tc>
        <w:tc>
          <w:tcPr>
            <w:tcW w:w="2782" w:type="dxa"/>
            <w:noWrap w:val="0"/>
            <w:vAlign w:val="top"/>
          </w:tcPr>
          <w:p w14:paraId="0A5C00A6">
            <w:pPr>
              <w:spacing w:line="360" w:lineRule="auto"/>
              <w:jc w:val="left"/>
              <w:rPr>
                <w:rFonts w:hint="eastAsia" w:ascii="宋体" w:hAnsi="宋体" w:eastAsia="宋体" w:cs="宋体"/>
                <w:color w:val="auto"/>
                <w:sz w:val="21"/>
                <w:szCs w:val="21"/>
                <w:highlight w:val="none"/>
                <w:vertAlign w:val="baseline"/>
              </w:rPr>
            </w:pPr>
          </w:p>
        </w:tc>
      </w:tr>
      <w:permEnd w:id="146"/>
      <w:tr w14:paraId="4A471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6FD56BE8">
            <w:pPr>
              <w:spacing w:line="360" w:lineRule="auto"/>
              <w:jc w:val="left"/>
              <w:rPr>
                <w:rFonts w:hint="eastAsia" w:ascii="宋体" w:hAnsi="宋体" w:eastAsia="宋体" w:cs="宋体"/>
                <w:color w:val="auto"/>
                <w:sz w:val="21"/>
                <w:szCs w:val="21"/>
                <w:highlight w:val="none"/>
                <w:vertAlign w:val="baseline"/>
              </w:rPr>
            </w:pPr>
            <w:permStart w:id="147" w:edGrp="everyone"/>
          </w:p>
        </w:tc>
        <w:tc>
          <w:tcPr>
            <w:tcW w:w="5719" w:type="dxa"/>
            <w:noWrap w:val="0"/>
            <w:vAlign w:val="top"/>
          </w:tcPr>
          <w:p w14:paraId="2A377794">
            <w:pPr>
              <w:spacing w:line="360" w:lineRule="auto"/>
              <w:jc w:val="left"/>
              <w:rPr>
                <w:rFonts w:hint="eastAsia" w:ascii="宋体" w:hAnsi="宋体" w:eastAsia="宋体" w:cs="宋体"/>
                <w:color w:val="auto"/>
                <w:sz w:val="21"/>
                <w:szCs w:val="21"/>
                <w:highlight w:val="none"/>
                <w:vertAlign w:val="baseline"/>
              </w:rPr>
            </w:pPr>
          </w:p>
        </w:tc>
        <w:tc>
          <w:tcPr>
            <w:tcW w:w="2782" w:type="dxa"/>
            <w:noWrap w:val="0"/>
            <w:vAlign w:val="top"/>
          </w:tcPr>
          <w:p w14:paraId="28C9FE20">
            <w:pPr>
              <w:spacing w:line="360" w:lineRule="auto"/>
              <w:jc w:val="left"/>
              <w:rPr>
                <w:rFonts w:hint="eastAsia" w:ascii="宋体" w:hAnsi="宋体" w:eastAsia="宋体" w:cs="宋体"/>
                <w:color w:val="auto"/>
                <w:sz w:val="21"/>
                <w:szCs w:val="21"/>
                <w:highlight w:val="none"/>
                <w:vertAlign w:val="baseline"/>
              </w:rPr>
            </w:pPr>
          </w:p>
        </w:tc>
      </w:tr>
      <w:permEnd w:id="147"/>
      <w:tr w14:paraId="1C355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3B8336FC">
            <w:pPr>
              <w:spacing w:line="360" w:lineRule="auto"/>
              <w:jc w:val="left"/>
              <w:rPr>
                <w:rFonts w:hint="eastAsia" w:ascii="宋体" w:hAnsi="宋体" w:eastAsia="宋体" w:cs="宋体"/>
                <w:color w:val="auto"/>
                <w:sz w:val="21"/>
                <w:szCs w:val="21"/>
                <w:highlight w:val="none"/>
                <w:vertAlign w:val="baseline"/>
              </w:rPr>
            </w:pPr>
            <w:permStart w:id="148" w:edGrp="everyone"/>
          </w:p>
        </w:tc>
        <w:tc>
          <w:tcPr>
            <w:tcW w:w="5719" w:type="dxa"/>
            <w:noWrap w:val="0"/>
            <w:vAlign w:val="top"/>
          </w:tcPr>
          <w:p w14:paraId="20D1E691">
            <w:pPr>
              <w:spacing w:line="360" w:lineRule="auto"/>
              <w:jc w:val="left"/>
              <w:rPr>
                <w:rFonts w:hint="eastAsia" w:ascii="宋体" w:hAnsi="宋体" w:eastAsia="宋体" w:cs="宋体"/>
                <w:color w:val="auto"/>
                <w:sz w:val="21"/>
                <w:szCs w:val="21"/>
                <w:highlight w:val="none"/>
                <w:vertAlign w:val="baseline"/>
              </w:rPr>
            </w:pPr>
          </w:p>
        </w:tc>
        <w:tc>
          <w:tcPr>
            <w:tcW w:w="2782" w:type="dxa"/>
            <w:noWrap w:val="0"/>
            <w:vAlign w:val="top"/>
          </w:tcPr>
          <w:p w14:paraId="63D281EB">
            <w:pPr>
              <w:spacing w:line="360" w:lineRule="auto"/>
              <w:jc w:val="left"/>
              <w:rPr>
                <w:rFonts w:hint="eastAsia" w:ascii="宋体" w:hAnsi="宋体" w:eastAsia="宋体" w:cs="宋体"/>
                <w:color w:val="auto"/>
                <w:sz w:val="21"/>
                <w:szCs w:val="21"/>
                <w:highlight w:val="none"/>
                <w:vertAlign w:val="baseline"/>
              </w:rPr>
            </w:pPr>
          </w:p>
        </w:tc>
      </w:tr>
      <w:permEnd w:id="148"/>
      <w:tr w14:paraId="2F310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51552488">
            <w:pPr>
              <w:spacing w:line="360" w:lineRule="auto"/>
              <w:jc w:val="left"/>
              <w:rPr>
                <w:rFonts w:hint="eastAsia" w:ascii="宋体" w:hAnsi="宋体" w:eastAsia="宋体" w:cs="宋体"/>
                <w:color w:val="auto"/>
                <w:sz w:val="21"/>
                <w:szCs w:val="21"/>
                <w:highlight w:val="none"/>
                <w:vertAlign w:val="baseline"/>
              </w:rPr>
            </w:pPr>
            <w:permStart w:id="149" w:edGrp="everyone"/>
          </w:p>
        </w:tc>
        <w:tc>
          <w:tcPr>
            <w:tcW w:w="5719" w:type="dxa"/>
            <w:noWrap w:val="0"/>
            <w:vAlign w:val="top"/>
          </w:tcPr>
          <w:p w14:paraId="0BCDAA25">
            <w:pPr>
              <w:spacing w:line="360" w:lineRule="auto"/>
              <w:jc w:val="left"/>
              <w:rPr>
                <w:rFonts w:hint="eastAsia" w:ascii="宋体" w:hAnsi="宋体" w:eastAsia="宋体" w:cs="宋体"/>
                <w:color w:val="auto"/>
                <w:sz w:val="21"/>
                <w:szCs w:val="21"/>
                <w:highlight w:val="none"/>
                <w:vertAlign w:val="baseline"/>
              </w:rPr>
            </w:pPr>
          </w:p>
        </w:tc>
        <w:tc>
          <w:tcPr>
            <w:tcW w:w="2782" w:type="dxa"/>
            <w:noWrap w:val="0"/>
            <w:vAlign w:val="top"/>
          </w:tcPr>
          <w:p w14:paraId="5A97CD46">
            <w:pPr>
              <w:spacing w:line="360" w:lineRule="auto"/>
              <w:jc w:val="left"/>
              <w:rPr>
                <w:rFonts w:hint="eastAsia" w:ascii="宋体" w:hAnsi="宋体" w:eastAsia="宋体" w:cs="宋体"/>
                <w:color w:val="auto"/>
                <w:sz w:val="21"/>
                <w:szCs w:val="21"/>
                <w:highlight w:val="none"/>
                <w:vertAlign w:val="baseline"/>
              </w:rPr>
            </w:pPr>
          </w:p>
        </w:tc>
      </w:tr>
      <w:permEnd w:id="149"/>
      <w:tr w14:paraId="0435A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22E762B2">
            <w:pPr>
              <w:spacing w:line="360" w:lineRule="auto"/>
              <w:jc w:val="left"/>
              <w:rPr>
                <w:rFonts w:hint="eastAsia" w:ascii="宋体" w:hAnsi="宋体" w:eastAsia="宋体" w:cs="宋体"/>
                <w:color w:val="auto"/>
                <w:sz w:val="21"/>
                <w:szCs w:val="21"/>
                <w:highlight w:val="none"/>
                <w:vertAlign w:val="baseline"/>
              </w:rPr>
            </w:pPr>
            <w:permStart w:id="150" w:edGrp="everyone"/>
          </w:p>
        </w:tc>
        <w:tc>
          <w:tcPr>
            <w:tcW w:w="5719" w:type="dxa"/>
            <w:noWrap w:val="0"/>
            <w:vAlign w:val="top"/>
          </w:tcPr>
          <w:p w14:paraId="3AA55DFE">
            <w:pPr>
              <w:spacing w:line="360" w:lineRule="auto"/>
              <w:jc w:val="left"/>
              <w:rPr>
                <w:rFonts w:hint="eastAsia" w:ascii="宋体" w:hAnsi="宋体" w:eastAsia="宋体" w:cs="宋体"/>
                <w:color w:val="auto"/>
                <w:sz w:val="21"/>
                <w:szCs w:val="21"/>
                <w:highlight w:val="none"/>
                <w:vertAlign w:val="baseline"/>
              </w:rPr>
            </w:pPr>
          </w:p>
        </w:tc>
        <w:tc>
          <w:tcPr>
            <w:tcW w:w="2782" w:type="dxa"/>
            <w:noWrap w:val="0"/>
            <w:vAlign w:val="top"/>
          </w:tcPr>
          <w:p w14:paraId="7FB5D259">
            <w:pPr>
              <w:spacing w:line="360" w:lineRule="auto"/>
              <w:jc w:val="left"/>
              <w:rPr>
                <w:rFonts w:hint="eastAsia" w:ascii="宋体" w:hAnsi="宋体" w:eastAsia="宋体" w:cs="宋体"/>
                <w:color w:val="auto"/>
                <w:sz w:val="21"/>
                <w:szCs w:val="21"/>
                <w:highlight w:val="none"/>
                <w:vertAlign w:val="baseline"/>
              </w:rPr>
            </w:pPr>
          </w:p>
        </w:tc>
      </w:tr>
      <w:permEnd w:id="150"/>
      <w:tr w14:paraId="4F0C9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1F6B6108">
            <w:pPr>
              <w:spacing w:line="360" w:lineRule="auto"/>
              <w:jc w:val="left"/>
              <w:rPr>
                <w:rFonts w:hint="eastAsia" w:ascii="宋体" w:hAnsi="宋体" w:eastAsia="宋体" w:cs="宋体"/>
                <w:color w:val="auto"/>
                <w:sz w:val="21"/>
                <w:szCs w:val="21"/>
                <w:highlight w:val="none"/>
                <w:vertAlign w:val="baseline"/>
              </w:rPr>
            </w:pPr>
            <w:permStart w:id="151" w:edGrp="everyone"/>
          </w:p>
        </w:tc>
        <w:tc>
          <w:tcPr>
            <w:tcW w:w="5719" w:type="dxa"/>
            <w:noWrap w:val="0"/>
            <w:vAlign w:val="top"/>
          </w:tcPr>
          <w:p w14:paraId="0C5590DC">
            <w:pPr>
              <w:spacing w:line="360" w:lineRule="auto"/>
              <w:jc w:val="left"/>
              <w:rPr>
                <w:rFonts w:hint="eastAsia" w:ascii="宋体" w:hAnsi="宋体" w:eastAsia="宋体" w:cs="宋体"/>
                <w:color w:val="auto"/>
                <w:sz w:val="21"/>
                <w:szCs w:val="21"/>
                <w:highlight w:val="none"/>
                <w:vertAlign w:val="baseline"/>
              </w:rPr>
            </w:pPr>
          </w:p>
        </w:tc>
        <w:tc>
          <w:tcPr>
            <w:tcW w:w="2782" w:type="dxa"/>
            <w:noWrap w:val="0"/>
            <w:vAlign w:val="top"/>
          </w:tcPr>
          <w:p w14:paraId="2AA068FD">
            <w:pPr>
              <w:spacing w:line="360" w:lineRule="auto"/>
              <w:jc w:val="left"/>
              <w:rPr>
                <w:rFonts w:hint="eastAsia" w:ascii="宋体" w:hAnsi="宋体" w:eastAsia="宋体" w:cs="宋体"/>
                <w:color w:val="auto"/>
                <w:sz w:val="21"/>
                <w:szCs w:val="21"/>
                <w:highlight w:val="none"/>
                <w:vertAlign w:val="baseline"/>
              </w:rPr>
            </w:pPr>
          </w:p>
        </w:tc>
      </w:tr>
      <w:permEnd w:id="151"/>
      <w:tr w14:paraId="26A98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525DA7CE">
            <w:pPr>
              <w:spacing w:line="360" w:lineRule="auto"/>
              <w:jc w:val="left"/>
              <w:rPr>
                <w:rFonts w:hint="eastAsia" w:ascii="宋体" w:hAnsi="宋体" w:eastAsia="宋体" w:cs="宋体"/>
                <w:color w:val="auto"/>
                <w:sz w:val="21"/>
                <w:szCs w:val="21"/>
                <w:highlight w:val="none"/>
                <w:vertAlign w:val="baseline"/>
              </w:rPr>
            </w:pPr>
            <w:permStart w:id="152" w:edGrp="everyone"/>
          </w:p>
        </w:tc>
        <w:tc>
          <w:tcPr>
            <w:tcW w:w="5719" w:type="dxa"/>
            <w:noWrap w:val="0"/>
            <w:vAlign w:val="top"/>
          </w:tcPr>
          <w:p w14:paraId="792BD2A3">
            <w:pPr>
              <w:spacing w:line="360" w:lineRule="auto"/>
              <w:jc w:val="left"/>
              <w:rPr>
                <w:rFonts w:hint="eastAsia" w:ascii="宋体" w:hAnsi="宋体" w:eastAsia="宋体" w:cs="宋体"/>
                <w:color w:val="auto"/>
                <w:sz w:val="21"/>
                <w:szCs w:val="21"/>
                <w:highlight w:val="none"/>
                <w:vertAlign w:val="baseline"/>
              </w:rPr>
            </w:pPr>
          </w:p>
        </w:tc>
        <w:tc>
          <w:tcPr>
            <w:tcW w:w="2782" w:type="dxa"/>
            <w:noWrap w:val="0"/>
            <w:vAlign w:val="top"/>
          </w:tcPr>
          <w:p w14:paraId="18D7F35B">
            <w:pPr>
              <w:spacing w:line="360" w:lineRule="auto"/>
              <w:jc w:val="left"/>
              <w:rPr>
                <w:rFonts w:hint="eastAsia" w:ascii="宋体" w:hAnsi="宋体" w:eastAsia="宋体" w:cs="宋体"/>
                <w:color w:val="auto"/>
                <w:sz w:val="21"/>
                <w:szCs w:val="21"/>
                <w:highlight w:val="none"/>
                <w:vertAlign w:val="baseline"/>
              </w:rPr>
            </w:pPr>
          </w:p>
        </w:tc>
      </w:tr>
      <w:permEnd w:id="152"/>
      <w:tr w14:paraId="5088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top"/>
          </w:tcPr>
          <w:p w14:paraId="457F80DA">
            <w:pPr>
              <w:spacing w:line="360" w:lineRule="auto"/>
              <w:jc w:val="left"/>
              <w:rPr>
                <w:rFonts w:hint="eastAsia" w:ascii="宋体" w:hAnsi="宋体" w:eastAsia="宋体" w:cs="宋体"/>
                <w:color w:val="auto"/>
                <w:sz w:val="21"/>
                <w:szCs w:val="21"/>
                <w:highlight w:val="none"/>
                <w:vertAlign w:val="baseline"/>
              </w:rPr>
            </w:pPr>
            <w:permStart w:id="153" w:edGrp="everyone"/>
          </w:p>
        </w:tc>
        <w:tc>
          <w:tcPr>
            <w:tcW w:w="5719" w:type="dxa"/>
            <w:noWrap w:val="0"/>
            <w:vAlign w:val="top"/>
          </w:tcPr>
          <w:p w14:paraId="782FE3DA">
            <w:pPr>
              <w:spacing w:line="360" w:lineRule="auto"/>
              <w:jc w:val="left"/>
              <w:rPr>
                <w:rFonts w:hint="eastAsia" w:ascii="宋体" w:hAnsi="宋体" w:eastAsia="宋体" w:cs="宋体"/>
                <w:color w:val="auto"/>
                <w:sz w:val="21"/>
                <w:szCs w:val="21"/>
                <w:highlight w:val="none"/>
                <w:vertAlign w:val="baseline"/>
              </w:rPr>
            </w:pPr>
          </w:p>
        </w:tc>
        <w:tc>
          <w:tcPr>
            <w:tcW w:w="2782" w:type="dxa"/>
            <w:noWrap w:val="0"/>
            <w:vAlign w:val="top"/>
          </w:tcPr>
          <w:p w14:paraId="4CFC1CB4">
            <w:pPr>
              <w:spacing w:line="360" w:lineRule="auto"/>
              <w:jc w:val="left"/>
              <w:rPr>
                <w:rFonts w:hint="eastAsia" w:ascii="宋体" w:hAnsi="宋体" w:eastAsia="宋体" w:cs="宋体"/>
                <w:color w:val="auto"/>
                <w:sz w:val="21"/>
                <w:szCs w:val="21"/>
                <w:highlight w:val="none"/>
                <w:vertAlign w:val="baseline"/>
              </w:rPr>
            </w:pPr>
          </w:p>
        </w:tc>
      </w:tr>
      <w:permEnd w:id="153"/>
    </w:tbl>
    <w:p w14:paraId="4BF126E6">
      <w:pPr>
        <w:rPr>
          <w:rFonts w:hint="eastAsia" w:ascii="宋体" w:hAnsi="宋体" w:eastAsia="宋体" w:cs="宋体"/>
          <w:b/>
          <w:bCs/>
          <w:color w:val="auto"/>
          <w:highlight w:val="none"/>
        </w:rPr>
      </w:pPr>
    </w:p>
    <w:p w14:paraId="76080C72">
      <w:pPr>
        <w:spacing w:line="360" w:lineRule="auto"/>
        <w:ind w:firstLine="0" w:firstLineChars="0"/>
        <w:jc w:val="both"/>
        <w:rPr>
          <w:rFonts w:hint="eastAsia" w:ascii="宋体" w:hAnsi="宋体" w:eastAsia="宋体" w:cs="宋体"/>
          <w:b/>
          <w:bCs/>
          <w:color w:val="auto"/>
          <w:highlight w:val="none"/>
          <w:lang w:val="en-US" w:eastAsia="zh-CN"/>
        </w:rPr>
        <w:sectPr>
          <w:footerReference r:id="rId7" w:type="default"/>
          <w:pgSz w:w="11906" w:h="16838"/>
          <w:pgMar w:top="1418" w:right="1134" w:bottom="1418" w:left="1418" w:header="851" w:footer="992" w:gutter="0"/>
          <w:pgNumType w:fmt="decimal"/>
          <w:cols w:space="720" w:num="1"/>
          <w:docGrid w:linePitch="312" w:charSpace="0"/>
        </w:sectPr>
      </w:pPr>
    </w:p>
    <w:p w14:paraId="173E42A9">
      <w:pPr>
        <w:pStyle w:val="2"/>
        <w:numPr>
          <w:ilvl w:val="0"/>
          <w:numId w:val="6"/>
        </w:numPr>
        <w:spacing w:before="200" w:after="200" w:line="360" w:lineRule="auto"/>
        <w:jc w:val="center"/>
        <w:rPr>
          <w:rFonts w:hint="eastAsia" w:ascii="宋体" w:hAnsi="宋体" w:eastAsia="宋体" w:cs="宋体"/>
          <w:color w:val="auto"/>
          <w:highlight w:val="none"/>
          <w:lang w:val="en-US" w:eastAsia="zh-CN"/>
        </w:rPr>
      </w:pPr>
      <w:bookmarkStart w:id="1548" w:name="_Toc447277645"/>
      <w:bookmarkStart w:id="1549" w:name="_Toc480224749"/>
      <w:bookmarkStart w:id="1550" w:name="_Toc933672724"/>
      <w:bookmarkStart w:id="1551" w:name="_Toc733538602"/>
      <w:bookmarkStart w:id="1552" w:name="_Toc424822201"/>
      <w:bookmarkStart w:id="1553" w:name="_Toc11867"/>
      <w:bookmarkStart w:id="1554" w:name="_Toc1585836158"/>
      <w:bookmarkStart w:id="1555" w:name="_Toc1649422080"/>
      <w:bookmarkStart w:id="1556" w:name="_Toc1994332758"/>
      <w:bookmarkStart w:id="1557" w:name="_Toc1678068194"/>
      <w:bookmarkStart w:id="1558" w:name="_Toc1359969289"/>
      <w:bookmarkStart w:id="1559" w:name="_Toc763162491"/>
      <w:bookmarkStart w:id="1560" w:name="_Toc1460739565"/>
      <w:bookmarkStart w:id="1561" w:name="_Toc145256862"/>
      <w:bookmarkStart w:id="1562" w:name="_Toc1045926464"/>
      <w:bookmarkStart w:id="1563" w:name="_Toc1874617197"/>
      <w:bookmarkStart w:id="1564" w:name="_Toc813836462"/>
      <w:bookmarkStart w:id="1565" w:name="_Toc1037405397"/>
      <w:bookmarkStart w:id="1566" w:name="_Toc1863369138"/>
      <w:bookmarkStart w:id="1567" w:name="_Toc1563319383"/>
      <w:bookmarkStart w:id="1568" w:name="_Toc1866143905"/>
      <w:bookmarkStart w:id="1569" w:name="_Toc1952670759"/>
      <w:bookmarkStart w:id="1570" w:name="_Toc826066656"/>
      <w:bookmarkStart w:id="1571" w:name="_Toc1005369273"/>
      <w:bookmarkStart w:id="1572" w:name="_Toc1683820677"/>
      <w:bookmarkStart w:id="1573" w:name="_Toc765998290"/>
      <w:bookmarkStart w:id="1574" w:name="_Toc2143364743"/>
      <w:bookmarkStart w:id="1575" w:name="_Toc916"/>
      <w:bookmarkStart w:id="1576" w:name="_Toc1768370746"/>
      <w:bookmarkStart w:id="1577" w:name="_Toc1546907054"/>
      <w:bookmarkStart w:id="1578" w:name="_Toc1315470433"/>
      <w:bookmarkStart w:id="1579" w:name="_Toc431155401"/>
      <w:bookmarkStart w:id="1580" w:name="_Toc182884409"/>
      <w:bookmarkStart w:id="1581" w:name="_Toc1439151993"/>
      <w:bookmarkStart w:id="1582" w:name="_Toc1356673911"/>
      <w:bookmarkStart w:id="1583" w:name="_Toc784542834"/>
      <w:bookmarkStart w:id="1584" w:name="_Toc28025"/>
      <w:bookmarkStart w:id="1585" w:name="_Toc15619"/>
      <w:bookmarkStart w:id="1586" w:name="_Toc2591743"/>
      <w:bookmarkStart w:id="1587" w:name="_Toc8294"/>
      <w:bookmarkStart w:id="1588" w:name="_Toc11289"/>
      <w:bookmarkStart w:id="1589" w:name="_Toc27095"/>
      <w:r>
        <w:rPr>
          <w:rFonts w:hint="eastAsia" w:ascii="宋体" w:hAnsi="宋体" w:eastAsia="宋体" w:cs="宋体"/>
          <w:color w:val="auto"/>
          <w:highlight w:val="none"/>
          <w:lang w:val="en-US" w:eastAsia="zh-CN"/>
        </w:rPr>
        <w:t>评标办法</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r>
        <w:rPr>
          <w:rFonts w:hint="eastAsia"/>
          <w:color w:val="auto"/>
          <w:highlight w:val="none"/>
          <w:lang w:val="en-US" w:eastAsia="zh-CN"/>
        </w:rPr>
        <w:t>、定标规则</w:t>
      </w:r>
      <w:bookmarkEnd w:id="1577"/>
      <w:bookmarkEnd w:id="1578"/>
      <w:bookmarkEnd w:id="1579"/>
      <w:bookmarkEnd w:id="1580"/>
      <w:bookmarkEnd w:id="1581"/>
      <w:bookmarkEnd w:id="1582"/>
      <w:bookmarkEnd w:id="1583"/>
      <w:bookmarkEnd w:id="1584"/>
    </w:p>
    <w:p w14:paraId="20F716CE">
      <w:pPr>
        <w:pStyle w:val="3"/>
        <w:numPr>
          <w:ilvl w:val="0"/>
          <w:numId w:val="7"/>
        </w:numPr>
        <w:bidi w:val="0"/>
        <w:spacing w:before="100" w:after="100"/>
        <w:jc w:val="center"/>
        <w:rPr>
          <w:rFonts w:hint="eastAsia" w:ascii="宋体" w:hAnsi="宋体" w:eastAsia="宋体" w:cs="宋体"/>
          <w:color w:val="auto"/>
          <w:highlight w:val="none"/>
          <w:lang w:val="en-US" w:eastAsia="zh-CN"/>
        </w:rPr>
      </w:pPr>
      <w:bookmarkStart w:id="1590" w:name="_Toc83438044"/>
      <w:bookmarkStart w:id="1591" w:name="_Toc1460146306"/>
      <w:bookmarkStart w:id="1592" w:name="_Toc2063568439"/>
      <w:bookmarkStart w:id="1593" w:name="_Toc1712788043"/>
      <w:bookmarkStart w:id="1594" w:name="_Toc218779209"/>
      <w:bookmarkStart w:id="1595" w:name="_Toc1943510717"/>
      <w:bookmarkStart w:id="1596" w:name="_Toc957253837"/>
      <w:bookmarkStart w:id="1597" w:name="_Toc1170114153"/>
      <w:bookmarkStart w:id="1598" w:name="_Toc709270651"/>
      <w:bookmarkStart w:id="1599" w:name="_Toc24502265"/>
      <w:bookmarkStart w:id="1600" w:name="_Toc610656803"/>
      <w:bookmarkStart w:id="1601" w:name="_Toc828472694"/>
      <w:bookmarkStart w:id="1602" w:name="_Toc720580723"/>
      <w:bookmarkStart w:id="1603" w:name="_Toc1905787276"/>
      <w:bookmarkStart w:id="1604" w:name="_Toc1855471064"/>
      <w:bookmarkStart w:id="1605" w:name="_Toc1902727671"/>
      <w:bookmarkStart w:id="1606" w:name="_Toc1324286743"/>
      <w:bookmarkStart w:id="1607" w:name="_Toc1615"/>
      <w:bookmarkStart w:id="1608" w:name="_Toc314062094"/>
      <w:bookmarkStart w:id="1609" w:name="_Toc2000368292"/>
      <w:bookmarkStart w:id="1610" w:name="_Toc1112191517"/>
      <w:bookmarkStart w:id="1611" w:name="_Toc18036268"/>
      <w:bookmarkStart w:id="1612" w:name="_Toc292172294"/>
      <w:bookmarkStart w:id="1613" w:name="_Toc1046172524"/>
      <w:bookmarkStart w:id="1614" w:name="_Toc972638173"/>
      <w:bookmarkStart w:id="1615" w:name="_Toc1666192855"/>
      <w:bookmarkStart w:id="1616" w:name="_Toc665143689"/>
      <w:bookmarkStart w:id="1617" w:name="_Toc1299896045"/>
      <w:bookmarkStart w:id="1618" w:name="_Toc800870556"/>
      <w:bookmarkStart w:id="1619" w:name="_Toc132016218"/>
      <w:bookmarkStart w:id="1620" w:name="_Toc990812445"/>
      <w:bookmarkStart w:id="1621" w:name="_Toc47323721"/>
      <w:bookmarkStart w:id="1622" w:name="_Toc1060431585"/>
      <w:bookmarkStart w:id="1623" w:name="_Toc537607862"/>
      <w:bookmarkStart w:id="1624" w:name="_Toc817620143"/>
      <w:r>
        <w:rPr>
          <w:rFonts w:hint="eastAsia" w:ascii="宋体" w:hAnsi="宋体" w:eastAsia="宋体" w:cs="宋体"/>
          <w:color w:val="auto"/>
          <w:highlight w:val="none"/>
          <w:lang w:val="en-US" w:eastAsia="zh-CN"/>
        </w:rPr>
        <w:t>评标办法</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14:paraId="6962F14C">
      <w:pPr>
        <w:bidi w:val="0"/>
        <w:jc w:val="center"/>
        <w:rPr>
          <w:rFonts w:hint="default"/>
          <w:b/>
          <w:bCs/>
          <w:color w:val="auto"/>
          <w:lang w:val="en-US" w:eastAsia="zh-CN"/>
        </w:rPr>
      </w:pPr>
      <w:bookmarkStart w:id="1625" w:name="_Toc757235700"/>
      <w:bookmarkStart w:id="1626" w:name="_Toc269237677"/>
      <w:bookmarkStart w:id="1627" w:name="_Toc448647719"/>
      <w:bookmarkStart w:id="1628" w:name="_Toc208964338"/>
      <w:r>
        <w:rPr>
          <w:rFonts w:hint="default"/>
          <w:b/>
          <w:bCs/>
          <w:color w:val="auto"/>
          <w:lang w:val="en-US" w:eastAsia="zh-CN"/>
        </w:rPr>
        <w:t>评标办法前附表</w:t>
      </w:r>
      <w:bookmarkEnd w:id="1625"/>
      <w:bookmarkEnd w:id="1626"/>
      <w:bookmarkEnd w:id="1627"/>
      <w:bookmarkEnd w:id="1628"/>
    </w:p>
    <w:tbl>
      <w:tblPr>
        <w:tblStyle w:val="26"/>
        <w:tblW w:w="946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1046"/>
        <w:gridCol w:w="1440"/>
        <w:gridCol w:w="1441"/>
        <w:gridCol w:w="4665"/>
      </w:tblGrid>
      <w:tr w14:paraId="04FE8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916" w:type="dxa"/>
            <w:gridSpan w:val="2"/>
            <w:noWrap w:val="0"/>
            <w:vAlign w:val="center"/>
          </w:tcPr>
          <w:p w14:paraId="36A203AE">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highlight w:val="none"/>
              </w:rPr>
            </w:pPr>
            <w:r>
              <w:rPr>
                <w:rFonts w:hint="eastAsia" w:ascii="宋体" w:hAnsi="宋体" w:eastAsia="宋体" w:cs="宋体"/>
                <w:b/>
                <w:color w:val="auto"/>
                <w:szCs w:val="21"/>
                <w:highlight w:val="none"/>
              </w:rPr>
              <w:t>条款号</w:t>
            </w:r>
          </w:p>
        </w:tc>
        <w:tc>
          <w:tcPr>
            <w:tcW w:w="2881" w:type="dxa"/>
            <w:gridSpan w:val="2"/>
            <w:noWrap w:val="0"/>
            <w:vAlign w:val="center"/>
          </w:tcPr>
          <w:p w14:paraId="387BA78A">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highlight w:val="none"/>
              </w:rPr>
            </w:pPr>
            <w:r>
              <w:rPr>
                <w:rFonts w:hint="eastAsia" w:ascii="宋体" w:hAnsi="宋体" w:eastAsia="宋体" w:cs="宋体"/>
                <w:b/>
                <w:color w:val="auto"/>
                <w:szCs w:val="21"/>
                <w:highlight w:val="none"/>
              </w:rPr>
              <w:t>评审因素</w:t>
            </w:r>
          </w:p>
        </w:tc>
        <w:tc>
          <w:tcPr>
            <w:tcW w:w="4665" w:type="dxa"/>
            <w:noWrap w:val="0"/>
            <w:vAlign w:val="center"/>
          </w:tcPr>
          <w:p w14:paraId="0B80F12A">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highlight w:val="none"/>
              </w:rPr>
            </w:pPr>
            <w:r>
              <w:rPr>
                <w:rFonts w:hint="eastAsia" w:ascii="宋体" w:hAnsi="宋体" w:eastAsia="宋体" w:cs="宋体"/>
                <w:b/>
                <w:color w:val="auto"/>
                <w:szCs w:val="21"/>
                <w:highlight w:val="none"/>
              </w:rPr>
              <w:t>评审标准</w:t>
            </w:r>
          </w:p>
        </w:tc>
      </w:tr>
      <w:tr w14:paraId="09CF7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870" w:type="dxa"/>
            <w:vMerge w:val="restart"/>
            <w:noWrap w:val="0"/>
            <w:vAlign w:val="center"/>
          </w:tcPr>
          <w:p w14:paraId="45FB05AD">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2.1</w:t>
            </w:r>
          </w:p>
        </w:tc>
        <w:tc>
          <w:tcPr>
            <w:tcW w:w="1046" w:type="dxa"/>
            <w:vMerge w:val="restart"/>
            <w:noWrap w:val="0"/>
            <w:vAlign w:val="center"/>
          </w:tcPr>
          <w:p w14:paraId="0DD58539">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r>
              <w:rPr>
                <w:rFonts w:hint="eastAsia" w:ascii="宋体" w:hAnsi="宋体" w:cs="宋体"/>
                <w:color w:val="auto"/>
                <w:szCs w:val="21"/>
                <w:highlight w:val="none"/>
                <w:lang w:eastAsia="zh-CN"/>
              </w:rPr>
              <w:t>初步</w:t>
            </w:r>
            <w:r>
              <w:rPr>
                <w:rFonts w:hint="eastAsia" w:ascii="宋体" w:hAnsi="宋体" w:eastAsia="宋体" w:cs="宋体"/>
                <w:color w:val="auto"/>
                <w:szCs w:val="21"/>
                <w:highlight w:val="none"/>
              </w:rPr>
              <w:t>评审标准</w:t>
            </w:r>
          </w:p>
        </w:tc>
        <w:tc>
          <w:tcPr>
            <w:tcW w:w="2881" w:type="dxa"/>
            <w:gridSpan w:val="2"/>
            <w:noWrap w:val="0"/>
            <w:vAlign w:val="center"/>
          </w:tcPr>
          <w:p w14:paraId="47A9A2D9">
            <w:pPr>
              <w:pageBreakBefore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lang w:val="en-US" w:eastAsia="zh-CN"/>
              </w:rPr>
              <w:t>投标人名称</w:t>
            </w:r>
          </w:p>
        </w:tc>
        <w:tc>
          <w:tcPr>
            <w:tcW w:w="4665" w:type="dxa"/>
            <w:noWrap w:val="0"/>
            <w:vAlign w:val="center"/>
          </w:tcPr>
          <w:p w14:paraId="65856D36">
            <w:pPr>
              <w:pageBreakBefore w:val="0"/>
              <w:kinsoku/>
              <w:wordWrap/>
              <w:overflowPunct/>
              <w:topLinePunct w:val="0"/>
              <w:autoSpaceDE/>
              <w:autoSpaceDN/>
              <w:bidi w:val="0"/>
              <w:adjustRightInd/>
              <w:spacing w:line="240" w:lineRule="auto"/>
              <w:jc w:val="both"/>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与营业执照、资质证书一致</w:t>
            </w:r>
          </w:p>
        </w:tc>
      </w:tr>
      <w:tr w14:paraId="522F4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70" w:type="dxa"/>
            <w:vMerge w:val="continue"/>
            <w:noWrap w:val="0"/>
            <w:vAlign w:val="center"/>
          </w:tcPr>
          <w:p w14:paraId="06E27155">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lang w:val="en-US" w:eastAsia="zh-CN"/>
              </w:rPr>
            </w:pPr>
          </w:p>
        </w:tc>
        <w:tc>
          <w:tcPr>
            <w:tcW w:w="1046" w:type="dxa"/>
            <w:vMerge w:val="continue"/>
            <w:noWrap w:val="0"/>
            <w:vAlign w:val="center"/>
          </w:tcPr>
          <w:p w14:paraId="1047E4DE">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p>
        </w:tc>
        <w:tc>
          <w:tcPr>
            <w:tcW w:w="2881" w:type="dxa"/>
            <w:gridSpan w:val="2"/>
            <w:noWrap w:val="0"/>
            <w:vAlign w:val="center"/>
          </w:tcPr>
          <w:p w14:paraId="6CA6F027">
            <w:pPr>
              <w:pageBreakBefore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rPr>
              <w:t>投标文件格式</w:t>
            </w:r>
          </w:p>
        </w:tc>
        <w:tc>
          <w:tcPr>
            <w:tcW w:w="4665" w:type="dxa"/>
            <w:noWrap w:val="0"/>
            <w:vAlign w:val="center"/>
          </w:tcPr>
          <w:p w14:paraId="2A2F8E17">
            <w:pPr>
              <w:pageBreakBefore w:val="0"/>
              <w:kinsoku/>
              <w:wordWrap/>
              <w:overflowPunct/>
              <w:topLinePunct w:val="0"/>
              <w:autoSpaceDE/>
              <w:autoSpaceDN/>
              <w:bidi w:val="0"/>
              <w:adjustRightInd/>
              <w:spacing w:line="240" w:lineRule="auto"/>
              <w:jc w:val="both"/>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rPr>
              <w:t>符合第八章“投标文件格式”的要求</w:t>
            </w:r>
          </w:p>
        </w:tc>
      </w:tr>
      <w:tr w14:paraId="5B91B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70" w:type="dxa"/>
            <w:vMerge w:val="continue"/>
            <w:noWrap w:val="0"/>
            <w:vAlign w:val="center"/>
          </w:tcPr>
          <w:p w14:paraId="53693BB3">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32CF9AE6">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p>
        </w:tc>
        <w:tc>
          <w:tcPr>
            <w:tcW w:w="2881" w:type="dxa"/>
            <w:gridSpan w:val="2"/>
            <w:noWrap w:val="0"/>
            <w:vAlign w:val="center"/>
          </w:tcPr>
          <w:p w14:paraId="4596FC51">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签</w:t>
            </w:r>
            <w:r>
              <w:rPr>
                <w:rFonts w:hint="eastAsia" w:ascii="宋体" w:hAnsi="宋体" w:cs="宋体"/>
                <w:color w:val="auto"/>
                <w:szCs w:val="21"/>
                <w:highlight w:val="none"/>
                <w:lang w:val="en-US" w:eastAsia="zh-CN"/>
              </w:rPr>
              <w:t>名</w:t>
            </w:r>
            <w:r>
              <w:rPr>
                <w:rFonts w:hint="eastAsia" w:ascii="宋体" w:hAnsi="宋体" w:eastAsia="宋体" w:cs="宋体"/>
                <w:color w:val="auto"/>
                <w:szCs w:val="21"/>
                <w:highlight w:val="none"/>
                <w:lang w:val="en-US" w:eastAsia="zh-CN"/>
              </w:rPr>
              <w:t>盖章</w:t>
            </w:r>
          </w:p>
        </w:tc>
        <w:tc>
          <w:tcPr>
            <w:tcW w:w="4665" w:type="dxa"/>
            <w:noWrap w:val="0"/>
            <w:vAlign w:val="center"/>
          </w:tcPr>
          <w:p w14:paraId="308A28C3">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b/>
                <w:bCs/>
                <w:color w:val="auto"/>
                <w:szCs w:val="21"/>
                <w:highlight w:val="none"/>
              </w:rPr>
            </w:pPr>
            <w:r>
              <w:rPr>
                <w:rFonts w:hint="eastAsia" w:ascii="宋体" w:hAnsi="宋体" w:eastAsia="宋体" w:cs="宋体"/>
                <w:color w:val="auto"/>
                <w:kern w:val="2"/>
                <w:sz w:val="21"/>
                <w:szCs w:val="21"/>
                <w:highlight w:val="none"/>
                <w:lang w:val="en-US" w:eastAsia="zh-CN" w:bidi="ar-SA"/>
              </w:rPr>
              <w:t>按招标文件要求由法定代表人或</w:t>
            </w:r>
            <w:r>
              <w:rPr>
                <w:rFonts w:hint="eastAsia" w:ascii="宋体" w:hAnsi="宋体" w:cs="宋体"/>
                <w:color w:val="auto"/>
                <w:kern w:val="2"/>
                <w:sz w:val="21"/>
                <w:szCs w:val="21"/>
                <w:highlight w:val="none"/>
                <w:lang w:val="en-US" w:eastAsia="zh-CN" w:bidi="ar-SA"/>
              </w:rPr>
              <w:t>其代理</w:t>
            </w:r>
            <w:r>
              <w:rPr>
                <w:rFonts w:hint="eastAsia" w:ascii="宋体" w:hAnsi="宋体" w:eastAsia="宋体" w:cs="宋体"/>
                <w:color w:val="auto"/>
                <w:kern w:val="2"/>
                <w:sz w:val="21"/>
                <w:szCs w:val="21"/>
                <w:highlight w:val="none"/>
                <w:lang w:val="en-US" w:eastAsia="zh-CN" w:bidi="ar-SA"/>
              </w:rPr>
              <w:t>人在投标文件相应位置签名或加盖单位公章</w:t>
            </w:r>
          </w:p>
        </w:tc>
      </w:tr>
      <w:tr w14:paraId="20DA0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870" w:type="dxa"/>
            <w:vMerge w:val="continue"/>
            <w:noWrap w:val="0"/>
            <w:vAlign w:val="center"/>
          </w:tcPr>
          <w:p w14:paraId="3689DDCC">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107F15D9">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p>
        </w:tc>
        <w:tc>
          <w:tcPr>
            <w:tcW w:w="2881" w:type="dxa"/>
            <w:gridSpan w:val="2"/>
            <w:noWrap w:val="0"/>
            <w:vAlign w:val="center"/>
          </w:tcPr>
          <w:p w14:paraId="6791EAE2">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dstrike/>
                <w:color w:val="auto"/>
                <w:highlight w:val="none"/>
              </w:rPr>
            </w:pPr>
            <w:r>
              <w:rPr>
                <w:rFonts w:hint="eastAsia" w:ascii="宋体" w:hAnsi="宋体" w:eastAsia="宋体" w:cs="宋体"/>
                <w:color w:val="auto"/>
                <w:szCs w:val="21"/>
                <w:highlight w:val="none"/>
                <w:lang w:val="en-US" w:eastAsia="zh-CN"/>
              </w:rPr>
              <w:t>投标</w:t>
            </w:r>
            <w:r>
              <w:rPr>
                <w:rFonts w:hint="eastAsia" w:ascii="宋体" w:hAnsi="宋体" w:eastAsia="宋体" w:cs="宋体"/>
                <w:color w:val="auto"/>
                <w:szCs w:val="21"/>
                <w:highlight w:val="none"/>
              </w:rPr>
              <w:t>承诺书</w:t>
            </w:r>
          </w:p>
        </w:tc>
        <w:tc>
          <w:tcPr>
            <w:tcW w:w="4665" w:type="dxa"/>
            <w:noWrap w:val="0"/>
            <w:vAlign w:val="center"/>
          </w:tcPr>
          <w:p w14:paraId="6D7E6302">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符合第二章“投标人须知”的规定</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lang w:val="en-US" w:eastAsia="zh-CN"/>
              </w:rPr>
              <w:t>有</w:t>
            </w:r>
            <w:r>
              <w:rPr>
                <w:rFonts w:hint="eastAsia" w:ascii="宋体" w:hAnsi="宋体" w:eastAsia="宋体" w:cs="宋体"/>
                <w:color w:val="auto"/>
                <w:kern w:val="2"/>
                <w:sz w:val="21"/>
                <w:szCs w:val="21"/>
                <w:highlight w:val="none"/>
                <w:lang w:val="en-US" w:eastAsia="zh-CN" w:bidi="ar-SA"/>
              </w:rPr>
              <w:t>法定代表人或授权委托人、</w:t>
            </w:r>
            <w:r>
              <w:rPr>
                <w:rFonts w:hint="eastAsia" w:ascii="宋体" w:hAnsi="宋体" w:eastAsia="宋体" w:cs="宋体"/>
                <w:color w:val="auto"/>
                <w:szCs w:val="21"/>
                <w:highlight w:val="none"/>
                <w:lang w:val="en-US" w:eastAsia="zh-CN"/>
              </w:rPr>
              <w:t>项目负责人、技术负责人签名</w:t>
            </w:r>
            <w:r>
              <w:rPr>
                <w:rFonts w:hint="eastAsia" w:ascii="宋体" w:hAnsi="宋体" w:eastAsia="宋体" w:cs="宋体"/>
                <w:color w:val="auto"/>
                <w:szCs w:val="21"/>
                <w:highlight w:val="none"/>
              </w:rPr>
              <w:t>及加盖单位</w:t>
            </w:r>
            <w:r>
              <w:rPr>
                <w:rFonts w:hint="eastAsia" w:ascii="宋体" w:hAnsi="宋体" w:eastAsia="宋体" w:cs="宋体"/>
                <w:color w:val="auto"/>
                <w:szCs w:val="21"/>
                <w:highlight w:val="none"/>
                <w:lang w:val="en-US" w:eastAsia="zh-CN"/>
              </w:rPr>
              <w:t>公</w:t>
            </w:r>
            <w:r>
              <w:rPr>
                <w:rFonts w:hint="eastAsia" w:ascii="宋体" w:hAnsi="宋体" w:eastAsia="宋体" w:cs="宋体"/>
                <w:color w:val="auto"/>
                <w:szCs w:val="21"/>
                <w:highlight w:val="none"/>
              </w:rPr>
              <w:t>章，内容符合招标文件要求</w:t>
            </w:r>
          </w:p>
        </w:tc>
      </w:tr>
      <w:tr w14:paraId="5E9A9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870" w:type="dxa"/>
            <w:vMerge w:val="continue"/>
            <w:noWrap w:val="0"/>
            <w:vAlign w:val="center"/>
          </w:tcPr>
          <w:p w14:paraId="751B1058">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1369E798">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p>
        </w:tc>
        <w:tc>
          <w:tcPr>
            <w:tcW w:w="2881" w:type="dxa"/>
            <w:gridSpan w:val="2"/>
            <w:noWrap w:val="0"/>
            <w:vAlign w:val="center"/>
          </w:tcPr>
          <w:p w14:paraId="67CB5E40">
            <w:pPr>
              <w:pageBreakBefore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lang w:val="en-US" w:eastAsia="zh-CN"/>
              </w:rPr>
              <w:t>项目管理机构</w:t>
            </w:r>
          </w:p>
        </w:tc>
        <w:tc>
          <w:tcPr>
            <w:tcW w:w="4665" w:type="dxa"/>
            <w:noWrap w:val="0"/>
            <w:vAlign w:val="center"/>
          </w:tcPr>
          <w:p w14:paraId="55347C59">
            <w:pPr>
              <w:pageBreakBefore w:val="0"/>
              <w:kinsoku/>
              <w:wordWrap/>
              <w:overflowPunct/>
              <w:topLinePunct w:val="0"/>
              <w:autoSpaceDE/>
              <w:autoSpaceDN/>
              <w:bidi w:val="0"/>
              <w:adjustRightInd/>
              <w:spacing w:line="240" w:lineRule="auto"/>
              <w:jc w:val="both"/>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rPr>
              <w:t>符合第二章“投标人须知”第</w:t>
            </w: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lang w:eastAsia="zh-CN"/>
              </w:rPr>
              <w:t>条</w:t>
            </w:r>
            <w:r>
              <w:rPr>
                <w:rFonts w:hint="eastAsia" w:ascii="宋体" w:hAnsi="宋体" w:eastAsia="宋体" w:cs="宋体"/>
                <w:color w:val="auto"/>
                <w:szCs w:val="21"/>
                <w:highlight w:val="none"/>
              </w:rPr>
              <w:t>规定</w:t>
            </w:r>
          </w:p>
        </w:tc>
      </w:tr>
      <w:tr w14:paraId="1BA92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870" w:type="dxa"/>
            <w:vMerge w:val="continue"/>
            <w:noWrap w:val="0"/>
            <w:vAlign w:val="center"/>
          </w:tcPr>
          <w:p w14:paraId="3ED2BF31">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33164B2C">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p>
        </w:tc>
        <w:tc>
          <w:tcPr>
            <w:tcW w:w="2881" w:type="dxa"/>
            <w:gridSpan w:val="2"/>
            <w:noWrap w:val="0"/>
            <w:vAlign w:val="center"/>
          </w:tcPr>
          <w:p w14:paraId="7555836C">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Times New Roman"/>
                <w:color w:val="auto"/>
                <w:szCs w:val="21"/>
                <w:highlight w:val="none"/>
              </w:rPr>
              <w:t>危险性较大的分部分项工程</w:t>
            </w:r>
            <w:r>
              <w:rPr>
                <w:rFonts w:hint="eastAsia" w:ascii="宋体" w:hAnsi="宋体" w:eastAsia="宋体" w:cs="Times New Roman"/>
                <w:color w:val="auto"/>
                <w:szCs w:val="21"/>
                <w:highlight w:val="none"/>
                <w:lang w:eastAsia="zh-CN"/>
              </w:rPr>
              <w:t>清单及</w:t>
            </w:r>
            <w:r>
              <w:rPr>
                <w:rFonts w:hint="eastAsia" w:ascii="宋体" w:hAnsi="宋体" w:eastAsia="宋体" w:cs="Times New Roman"/>
                <w:color w:val="auto"/>
                <w:szCs w:val="21"/>
                <w:highlight w:val="none"/>
              </w:rPr>
              <w:t>安全管理措施</w:t>
            </w:r>
            <w:r>
              <w:rPr>
                <w:rFonts w:hint="eastAsia" w:ascii="宋体" w:hAnsi="宋体" w:eastAsia="宋体" w:cs="Times New Roman"/>
                <w:color w:val="auto"/>
                <w:szCs w:val="21"/>
                <w:highlight w:val="none"/>
                <w:lang w:eastAsia="zh-CN"/>
              </w:rPr>
              <w:t>（如需）</w:t>
            </w:r>
          </w:p>
        </w:tc>
        <w:tc>
          <w:tcPr>
            <w:tcW w:w="4665" w:type="dxa"/>
            <w:noWrap w:val="0"/>
            <w:vAlign w:val="center"/>
          </w:tcPr>
          <w:p w14:paraId="1BD6270A">
            <w:pPr>
              <w:pageBreakBefore w:val="0"/>
              <w:kinsoku/>
              <w:wordWrap/>
              <w:overflowPunct/>
              <w:topLinePunct w:val="0"/>
              <w:autoSpaceDE/>
              <w:autoSpaceDN/>
              <w:bidi w:val="0"/>
              <w:adjustRightInd/>
              <w:spacing w:line="360" w:lineRule="auto"/>
              <w:jc w:val="both"/>
              <w:textAlignment w:val="auto"/>
              <w:rPr>
                <w:rFonts w:hint="eastAsia" w:ascii="宋体" w:hAnsi="宋体" w:eastAsia="宋体" w:cs="宋体"/>
                <w:color w:val="auto"/>
                <w:kern w:val="2"/>
                <w:sz w:val="21"/>
                <w:szCs w:val="21"/>
                <w:highlight w:val="none"/>
                <w:lang w:val="en-US" w:eastAsia="zh-CN" w:bidi="ar-SA"/>
              </w:rPr>
            </w:pPr>
            <w:r>
              <w:rPr>
                <w:rFonts w:hint="eastAsia"/>
                <w:color w:val="auto"/>
                <w:highlight w:val="none"/>
                <w:lang w:val="en" w:eastAsia="zh-CN"/>
              </w:rPr>
              <w:t>符合第二章“投标人须知”第</w:t>
            </w:r>
            <w:r>
              <w:rPr>
                <w:rFonts w:hint="eastAsia" w:ascii="宋体" w:hAnsi="宋体" w:eastAsia="宋体" w:cs="Times New Roman"/>
                <w:color w:val="auto"/>
                <w:szCs w:val="21"/>
                <w:highlight w:val="none"/>
                <w:lang w:val="en-US" w:eastAsia="zh-CN"/>
              </w:rPr>
              <w:t>1.3.6</w:t>
            </w:r>
            <w:r>
              <w:rPr>
                <w:rFonts w:hint="eastAsia"/>
                <w:color w:val="auto"/>
                <w:highlight w:val="none"/>
                <w:lang w:val="en-US" w:eastAsia="zh-CN"/>
              </w:rPr>
              <w:t>项的规定</w:t>
            </w:r>
          </w:p>
        </w:tc>
      </w:tr>
      <w:tr w14:paraId="13613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870" w:type="dxa"/>
            <w:vMerge w:val="continue"/>
            <w:noWrap w:val="0"/>
            <w:vAlign w:val="center"/>
          </w:tcPr>
          <w:p w14:paraId="439B2151">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792B8C38">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p>
        </w:tc>
        <w:tc>
          <w:tcPr>
            <w:tcW w:w="2881" w:type="dxa"/>
            <w:gridSpan w:val="2"/>
            <w:noWrap w:val="0"/>
            <w:vAlign w:val="center"/>
          </w:tcPr>
          <w:p w14:paraId="7B115196">
            <w:pPr>
              <w:pageBreakBefore w:val="0"/>
              <w:kinsoku/>
              <w:wordWrap/>
              <w:overflowPunct/>
              <w:topLinePunct w:val="0"/>
              <w:autoSpaceDE/>
              <w:autoSpaceDN/>
              <w:bidi w:val="0"/>
              <w:adjustRightInd/>
              <w:spacing w:line="240" w:lineRule="auto"/>
              <w:jc w:val="center"/>
              <w:textAlignment w:val="auto"/>
              <w:rPr>
                <w:rFonts w:hint="eastAsia" w:ascii="宋体" w:hAnsi="宋体"/>
                <w:color w:val="auto"/>
                <w:kern w:val="2"/>
                <w:sz w:val="21"/>
                <w:szCs w:val="21"/>
                <w:highlight w:val="none"/>
                <w:lang w:val="en-US" w:eastAsia="zh-CN" w:bidi="ar-SA"/>
              </w:rPr>
            </w:pPr>
            <w:r>
              <w:rPr>
                <w:rFonts w:hint="eastAsia" w:ascii="宋体" w:hAnsi="宋体" w:cs="宋体"/>
                <w:color w:val="auto"/>
                <w:szCs w:val="21"/>
                <w:highlight w:val="none"/>
                <w:lang w:val="en-US" w:eastAsia="zh-CN"/>
              </w:rPr>
              <w:t>投标报价</w:t>
            </w:r>
          </w:p>
        </w:tc>
        <w:tc>
          <w:tcPr>
            <w:tcW w:w="4665" w:type="dxa"/>
            <w:noWrap w:val="0"/>
            <w:vAlign w:val="center"/>
          </w:tcPr>
          <w:p w14:paraId="24510E6F">
            <w:pPr>
              <w:pageBreakBefore w:val="0"/>
              <w:kinsoku/>
              <w:wordWrap/>
              <w:overflowPunct/>
              <w:topLinePunct w:val="0"/>
              <w:autoSpaceDE/>
              <w:autoSpaceDN/>
              <w:bidi w:val="0"/>
              <w:adjustRightInd/>
              <w:spacing w:line="240" w:lineRule="auto"/>
              <w:jc w:val="left"/>
              <w:textAlignment w:val="auto"/>
              <w:rPr>
                <w:rFonts w:hint="eastAsia" w:ascii="宋体" w:hAnsi="宋体"/>
                <w:color w:val="auto"/>
                <w:kern w:val="2"/>
                <w:sz w:val="21"/>
                <w:szCs w:val="21"/>
                <w:highlight w:val="none"/>
                <w:lang w:val="en-US" w:eastAsia="zh-CN" w:bidi="ar-SA"/>
              </w:rPr>
            </w:pPr>
            <w:r>
              <w:rPr>
                <w:rFonts w:hint="eastAsia" w:ascii="宋体" w:hAnsi="宋体"/>
                <w:color w:val="auto"/>
                <w:szCs w:val="21"/>
                <w:highlight w:val="none"/>
              </w:rPr>
              <w:t>只有一个有效报价</w:t>
            </w:r>
          </w:p>
        </w:tc>
      </w:tr>
      <w:tr w14:paraId="157AE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70" w:type="dxa"/>
            <w:vMerge w:val="continue"/>
            <w:noWrap w:val="0"/>
            <w:vAlign w:val="center"/>
          </w:tcPr>
          <w:p w14:paraId="28C355BF">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7F5EB902">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p>
        </w:tc>
        <w:tc>
          <w:tcPr>
            <w:tcW w:w="2881" w:type="dxa"/>
            <w:gridSpan w:val="2"/>
            <w:noWrap w:val="0"/>
            <w:vAlign w:val="center"/>
          </w:tcPr>
          <w:p w14:paraId="61A1026F">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rPr>
              <w:t>投标报价是否超出上限值</w:t>
            </w:r>
          </w:p>
        </w:tc>
        <w:tc>
          <w:tcPr>
            <w:tcW w:w="4665" w:type="dxa"/>
            <w:noWrap w:val="0"/>
            <w:vAlign w:val="center"/>
          </w:tcPr>
          <w:p w14:paraId="1CEC0B3E">
            <w:pPr>
              <w:widowControl/>
              <w:adjustRightInd w:val="0"/>
              <w:snapToGrid w:val="0"/>
              <w:ind w:left="21" w:leftChars="10"/>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rPr>
              <w:t>符合第五章规定</w:t>
            </w:r>
            <w:r>
              <w:rPr>
                <w:rFonts w:hint="eastAsia" w:ascii="宋体" w:hAnsi="宋体"/>
                <w:color w:val="auto"/>
                <w:szCs w:val="21"/>
                <w:highlight w:val="none"/>
              </w:rPr>
              <w:t>（由系统辅助检测，供专家参考）</w:t>
            </w:r>
          </w:p>
        </w:tc>
      </w:tr>
      <w:tr w14:paraId="3F701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70" w:type="dxa"/>
            <w:vMerge w:val="continue"/>
            <w:noWrap w:val="0"/>
            <w:vAlign w:val="center"/>
          </w:tcPr>
          <w:p w14:paraId="565387A9">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60427D98">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2881" w:type="dxa"/>
            <w:gridSpan w:val="2"/>
            <w:noWrap w:val="0"/>
            <w:vAlign w:val="center"/>
          </w:tcPr>
          <w:p w14:paraId="004849DC">
            <w:pPr>
              <w:pageBreakBefore w:val="0"/>
              <w:kinsoku/>
              <w:wordWrap/>
              <w:overflowPunct/>
              <w:topLinePunct w:val="0"/>
              <w:autoSpaceDE/>
              <w:autoSpaceDN/>
              <w:bidi w:val="0"/>
              <w:adjustRightInd/>
              <w:spacing w:line="360" w:lineRule="auto"/>
              <w:ind w:firstLine="420" w:firstLineChars="200"/>
              <w:jc w:val="lef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eastAsia="zh-CN"/>
              </w:rPr>
              <w:t>安全生产措施费</w:t>
            </w:r>
            <w:r>
              <w:rPr>
                <w:rFonts w:hint="eastAsia" w:ascii="宋体" w:hAnsi="宋体" w:eastAsia="宋体" w:cs="宋体"/>
                <w:color w:val="auto"/>
                <w:highlight w:val="none"/>
              </w:rPr>
              <w:t>是否在</w:t>
            </w:r>
            <w:r>
              <w:rPr>
                <w:rFonts w:hint="eastAsia" w:ascii="宋体" w:hAnsi="宋体" w:eastAsia="宋体" w:cs="宋体"/>
                <w:color w:val="auto"/>
                <w:highlight w:val="none"/>
                <w:lang w:eastAsia="zh-CN"/>
              </w:rPr>
              <w:t>投标</w:t>
            </w:r>
            <w:r>
              <w:rPr>
                <w:rFonts w:hint="eastAsia" w:ascii="宋体" w:hAnsi="宋体" w:eastAsia="宋体" w:cs="宋体"/>
                <w:color w:val="auto"/>
                <w:highlight w:val="none"/>
              </w:rPr>
              <w:t>报价中单列或是否低于</w:t>
            </w:r>
            <w:r>
              <w:rPr>
                <w:rFonts w:hint="eastAsia" w:ascii="宋体" w:hAnsi="宋体" w:eastAsia="宋体" w:cs="宋体"/>
                <w:color w:val="auto"/>
                <w:highlight w:val="none"/>
                <w:lang w:eastAsia="zh-CN"/>
              </w:rPr>
              <w:t>最高投标限价</w:t>
            </w:r>
            <w:r>
              <w:rPr>
                <w:rFonts w:hint="eastAsia" w:ascii="宋体" w:hAnsi="宋体" w:eastAsia="宋体" w:cs="宋体"/>
                <w:color w:val="auto"/>
                <w:highlight w:val="none"/>
              </w:rPr>
              <w:t>中</w:t>
            </w:r>
            <w:r>
              <w:rPr>
                <w:rFonts w:hint="eastAsia" w:ascii="宋体" w:hAnsi="宋体" w:eastAsia="宋体" w:cs="宋体"/>
                <w:color w:val="auto"/>
                <w:highlight w:val="none"/>
                <w:lang w:eastAsia="zh-CN"/>
              </w:rPr>
              <w:t>的安全生产措施费</w:t>
            </w:r>
            <w:r>
              <w:rPr>
                <w:rFonts w:hint="eastAsia" w:ascii="宋体" w:hAnsi="宋体" w:eastAsia="宋体" w:cs="宋体"/>
                <w:color w:val="auto"/>
                <w:highlight w:val="none"/>
              </w:rPr>
              <w:t>。</w:t>
            </w:r>
          </w:p>
        </w:tc>
        <w:tc>
          <w:tcPr>
            <w:tcW w:w="4665" w:type="dxa"/>
            <w:noWrap w:val="0"/>
            <w:vAlign w:val="center"/>
          </w:tcPr>
          <w:p w14:paraId="15C6A804">
            <w:pPr>
              <w:widowControl/>
              <w:adjustRightInd w:val="0"/>
              <w:snapToGrid w:val="0"/>
              <w:ind w:left="21" w:leftChars="10"/>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rPr>
              <w:t>符合第五章规定</w:t>
            </w:r>
            <w:r>
              <w:rPr>
                <w:rFonts w:hint="eastAsia" w:ascii="宋体" w:hAnsi="宋体"/>
                <w:color w:val="auto"/>
                <w:szCs w:val="21"/>
                <w:highlight w:val="none"/>
              </w:rPr>
              <w:t>（由系统辅助检测，供专家参考）</w:t>
            </w:r>
          </w:p>
        </w:tc>
      </w:tr>
      <w:tr w14:paraId="724D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70" w:type="dxa"/>
            <w:vMerge w:val="continue"/>
            <w:noWrap w:val="0"/>
            <w:vAlign w:val="center"/>
          </w:tcPr>
          <w:p w14:paraId="0679F5AB">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7423C9E5">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2881" w:type="dxa"/>
            <w:gridSpan w:val="2"/>
            <w:noWrap w:val="0"/>
            <w:vAlign w:val="top"/>
          </w:tcPr>
          <w:p w14:paraId="5C812FB0">
            <w:pPr>
              <w:pageBreakBefore w:val="0"/>
              <w:kinsoku/>
              <w:wordWrap/>
              <w:overflowPunct/>
              <w:topLinePunct w:val="0"/>
              <w:autoSpaceDE/>
              <w:autoSpaceDN/>
              <w:bidi w:val="0"/>
              <w:adjustRightInd/>
              <w:spacing w:line="360" w:lineRule="auto"/>
              <w:ind w:firstLine="420" w:firstLineChars="200"/>
              <w:textAlignment w:val="auto"/>
              <w:rPr>
                <w:rFonts w:hint="eastAsia" w:ascii="Times New Roman" w:hAnsi="Times New Roman" w:eastAsia="宋体"/>
                <w:color w:val="auto"/>
                <w:kern w:val="2"/>
                <w:sz w:val="21"/>
                <w:szCs w:val="21"/>
                <w:highlight w:val="none"/>
                <w:lang w:val="en-US" w:eastAsia="zh-CN" w:bidi="ar-SA"/>
              </w:rPr>
            </w:pPr>
            <w:r>
              <w:rPr>
                <w:rFonts w:hint="eastAsia" w:ascii="宋体" w:hAnsi="宋体" w:eastAsia="宋体" w:cs="Times New Roman"/>
                <w:color w:val="auto"/>
                <w:sz w:val="21"/>
                <w:szCs w:val="21"/>
                <w:highlight w:val="none"/>
              </w:rPr>
              <w:t>投标报价中的</w:t>
            </w:r>
            <w:r>
              <w:rPr>
                <w:rFonts w:hint="eastAsia" w:ascii="宋体" w:hAnsi="宋体" w:eastAsia="宋体" w:cs="Times New Roman"/>
                <w:color w:val="auto"/>
                <w:sz w:val="21"/>
                <w:szCs w:val="21"/>
                <w:highlight w:val="none"/>
                <w:lang w:eastAsia="zh-CN"/>
              </w:rPr>
              <w:t>分部分项工程项目清单</w:t>
            </w:r>
            <w:r>
              <w:rPr>
                <w:rFonts w:hint="eastAsia" w:ascii="宋体" w:hAnsi="宋体" w:eastAsia="宋体" w:cs="Times New Roman"/>
                <w:color w:val="auto"/>
                <w:sz w:val="21"/>
                <w:szCs w:val="21"/>
                <w:highlight w:val="none"/>
              </w:rPr>
              <w:t>的项目编码、项目名称、项目特征、计量单位、工程量与招标人提供的</w:t>
            </w:r>
            <w:r>
              <w:rPr>
                <w:rFonts w:hint="eastAsia" w:ascii="宋体" w:hAnsi="宋体" w:eastAsia="宋体" w:cs="Times New Roman"/>
                <w:color w:val="auto"/>
                <w:sz w:val="21"/>
                <w:szCs w:val="21"/>
                <w:highlight w:val="none"/>
                <w:lang w:eastAsia="zh-CN"/>
              </w:rPr>
              <w:t>是否一致。</w:t>
            </w:r>
          </w:p>
        </w:tc>
        <w:tc>
          <w:tcPr>
            <w:tcW w:w="4665" w:type="dxa"/>
            <w:noWrap w:val="0"/>
            <w:vAlign w:val="top"/>
          </w:tcPr>
          <w:p w14:paraId="49D568AC">
            <w:pPr>
              <w:pageBreakBefore w:val="0"/>
              <w:kinsoku/>
              <w:wordWrap/>
              <w:overflowPunct/>
              <w:topLinePunct w:val="0"/>
              <w:autoSpaceDE/>
              <w:autoSpaceDN/>
              <w:bidi w:val="0"/>
              <w:adjustRightInd/>
              <w:spacing w:line="360" w:lineRule="auto"/>
              <w:textAlignment w:val="auto"/>
              <w:rPr>
                <w:rFonts w:hint="eastAsia" w:ascii="宋体" w:hAnsi="宋体"/>
                <w:color w:val="auto"/>
                <w:szCs w:val="21"/>
                <w:highlight w:val="none"/>
              </w:rPr>
            </w:pPr>
          </w:p>
          <w:p w14:paraId="232896F6">
            <w:pPr>
              <w:pageBreakBefore w:val="0"/>
              <w:kinsoku/>
              <w:wordWrap/>
              <w:overflowPunct/>
              <w:topLinePunct w:val="0"/>
              <w:autoSpaceDE/>
              <w:autoSpaceDN/>
              <w:bidi w:val="0"/>
              <w:adjustRightInd/>
              <w:spacing w:line="360" w:lineRule="auto"/>
              <w:textAlignment w:val="auto"/>
              <w:rPr>
                <w:rFonts w:hint="eastAsia" w:ascii="宋体" w:hAnsi="宋体"/>
                <w:color w:val="auto"/>
                <w:szCs w:val="21"/>
                <w:highlight w:val="none"/>
              </w:rPr>
            </w:pPr>
          </w:p>
          <w:p w14:paraId="11D5541E">
            <w:pPr>
              <w:pageBreakBefore w:val="0"/>
              <w:kinsoku/>
              <w:wordWrap/>
              <w:overflowPunct/>
              <w:topLinePunct w:val="0"/>
              <w:autoSpaceDE/>
              <w:autoSpaceDN/>
              <w:bidi w:val="0"/>
              <w:adjustRightInd/>
              <w:spacing w:line="360" w:lineRule="auto"/>
              <w:textAlignment w:val="auto"/>
              <w:rPr>
                <w:rFonts w:hint="eastAsia" w:ascii="宋体" w:hAnsi="宋体" w:eastAsia="宋体"/>
                <w:color w:val="auto"/>
                <w:kern w:val="2"/>
                <w:sz w:val="21"/>
                <w:szCs w:val="21"/>
                <w:highlight w:val="none"/>
                <w:lang w:val="en-US" w:eastAsia="zh-CN" w:bidi="ar-SA"/>
              </w:rPr>
            </w:pPr>
            <w:r>
              <w:rPr>
                <w:rFonts w:hint="eastAsia" w:ascii="宋体" w:hAnsi="宋体"/>
                <w:color w:val="auto"/>
                <w:szCs w:val="21"/>
                <w:highlight w:val="none"/>
              </w:rPr>
              <w:t>符合第五章规定（由系统辅助检测，供专家参考）</w:t>
            </w:r>
          </w:p>
        </w:tc>
      </w:tr>
      <w:tr w14:paraId="74373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70" w:type="dxa"/>
            <w:vMerge w:val="continue"/>
            <w:noWrap w:val="0"/>
            <w:vAlign w:val="center"/>
          </w:tcPr>
          <w:p w14:paraId="1ECA1D51">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042539D4">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2881" w:type="dxa"/>
            <w:gridSpan w:val="2"/>
            <w:noWrap w:val="0"/>
            <w:vAlign w:val="top"/>
          </w:tcPr>
          <w:p w14:paraId="018B3279">
            <w:pPr>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 w:val="21"/>
                <w:szCs w:val="21"/>
                <w:highlight w:val="none"/>
              </w:rPr>
              <w:t>投标报价中的</w:t>
            </w:r>
            <w:r>
              <w:rPr>
                <w:rFonts w:hint="eastAsia" w:ascii="宋体" w:hAnsi="宋体" w:eastAsia="宋体" w:cs="Times New Roman"/>
                <w:color w:val="auto"/>
                <w:sz w:val="21"/>
                <w:szCs w:val="21"/>
                <w:highlight w:val="none"/>
                <w:lang w:eastAsia="zh-CN"/>
              </w:rPr>
              <w:t>增值税是否</w:t>
            </w:r>
            <w:r>
              <w:rPr>
                <w:rFonts w:hint="eastAsia" w:ascii="宋体" w:hAnsi="宋体" w:eastAsia="宋体" w:cs="Times New Roman"/>
                <w:color w:val="auto"/>
                <w:sz w:val="21"/>
                <w:szCs w:val="21"/>
                <w:highlight w:val="none"/>
              </w:rPr>
              <w:t>按规定计算。</w:t>
            </w:r>
          </w:p>
        </w:tc>
        <w:tc>
          <w:tcPr>
            <w:tcW w:w="4665" w:type="dxa"/>
            <w:noWrap w:val="0"/>
            <w:vAlign w:val="top"/>
          </w:tcPr>
          <w:p w14:paraId="26A30083">
            <w:pPr>
              <w:pageBreakBefore w:val="0"/>
              <w:kinsoku/>
              <w:wordWrap/>
              <w:overflowPunct/>
              <w:topLinePunct w:val="0"/>
              <w:autoSpaceDE/>
              <w:autoSpaceDN/>
              <w:bidi w:val="0"/>
              <w:adjustRightInd/>
              <w:spacing w:line="360" w:lineRule="auto"/>
              <w:textAlignment w:val="auto"/>
              <w:rPr>
                <w:rFonts w:hint="eastAsia" w:ascii="宋体" w:hAnsi="宋体"/>
                <w:color w:val="auto"/>
                <w:szCs w:val="21"/>
                <w:highlight w:val="none"/>
              </w:rPr>
            </w:pPr>
          </w:p>
          <w:p w14:paraId="34AB3D9E">
            <w:pPr>
              <w:pageBreakBefore w:val="0"/>
              <w:kinsoku/>
              <w:wordWrap/>
              <w:overflowPunct/>
              <w:topLinePunct w:val="0"/>
              <w:autoSpaceDE/>
              <w:autoSpaceDN/>
              <w:bidi w:val="0"/>
              <w:adjustRightInd/>
              <w:spacing w:line="360" w:lineRule="auto"/>
              <w:textAlignment w:val="auto"/>
              <w:rPr>
                <w:rFonts w:hint="eastAsia" w:ascii="宋体" w:hAnsi="宋体" w:eastAsia="宋体"/>
                <w:color w:val="auto"/>
                <w:kern w:val="2"/>
                <w:sz w:val="21"/>
                <w:szCs w:val="21"/>
                <w:highlight w:val="none"/>
                <w:lang w:val="en-US" w:eastAsia="zh-CN" w:bidi="ar-SA"/>
              </w:rPr>
            </w:pPr>
            <w:r>
              <w:rPr>
                <w:rFonts w:hint="eastAsia" w:ascii="宋体" w:hAnsi="宋体"/>
                <w:color w:val="auto"/>
                <w:szCs w:val="21"/>
                <w:highlight w:val="none"/>
              </w:rPr>
              <w:t>符合第五章规定（由系统辅助检测，供专家参考）</w:t>
            </w:r>
          </w:p>
        </w:tc>
      </w:tr>
      <w:tr w14:paraId="31E42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70" w:type="dxa"/>
            <w:vMerge w:val="continue"/>
            <w:noWrap w:val="0"/>
            <w:vAlign w:val="center"/>
          </w:tcPr>
          <w:p w14:paraId="2B29F277">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15875A9C">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2881" w:type="dxa"/>
            <w:gridSpan w:val="2"/>
            <w:noWrap w:val="0"/>
            <w:vAlign w:val="center"/>
          </w:tcPr>
          <w:p w14:paraId="562189BB">
            <w:pPr>
              <w:pageBreakBefore w:val="0"/>
              <w:kinsoku/>
              <w:wordWrap/>
              <w:overflowPunct/>
              <w:topLinePunct w:val="0"/>
              <w:autoSpaceDE/>
              <w:autoSpaceDN/>
              <w:bidi w:val="0"/>
              <w:adjustRightInd/>
              <w:spacing w:line="360" w:lineRule="auto"/>
              <w:ind w:firstLine="420" w:firstLineChars="200"/>
              <w:jc w:val="left"/>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暂列金额、材料暂估单价、专业工程暂估价是否按照招标工程量清单提供的相应金额报价的。</w:t>
            </w:r>
          </w:p>
        </w:tc>
        <w:tc>
          <w:tcPr>
            <w:tcW w:w="4665" w:type="dxa"/>
            <w:noWrap w:val="0"/>
            <w:vAlign w:val="center"/>
          </w:tcPr>
          <w:p w14:paraId="643069A9">
            <w:pPr>
              <w:widowControl/>
              <w:adjustRightInd w:val="0"/>
              <w:snapToGrid w:val="0"/>
              <w:ind w:left="21" w:leftChars="1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符合第五章规定</w:t>
            </w:r>
            <w:r>
              <w:rPr>
                <w:rFonts w:hint="eastAsia" w:ascii="宋体" w:hAnsi="宋体"/>
                <w:color w:val="auto"/>
                <w:szCs w:val="21"/>
                <w:highlight w:val="none"/>
              </w:rPr>
              <w:t>（由系统辅助检测，供专家参考）</w:t>
            </w:r>
          </w:p>
        </w:tc>
      </w:tr>
      <w:tr w14:paraId="33F28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870" w:type="dxa"/>
            <w:vMerge w:val="continue"/>
            <w:noWrap w:val="0"/>
            <w:vAlign w:val="center"/>
          </w:tcPr>
          <w:p w14:paraId="6883641F">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08A15542">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2881" w:type="dxa"/>
            <w:gridSpan w:val="2"/>
            <w:noWrap w:val="0"/>
            <w:vAlign w:val="center"/>
          </w:tcPr>
          <w:p w14:paraId="0CABDFE6">
            <w:pPr>
              <w:pageBreakBefore w:val="0"/>
              <w:kinsoku/>
              <w:wordWrap/>
              <w:overflowPunct/>
              <w:topLinePunct w:val="0"/>
              <w:autoSpaceDE/>
              <w:autoSpaceDN/>
              <w:bidi w:val="0"/>
              <w:adjustRightInd/>
              <w:spacing w:line="240" w:lineRule="auto"/>
              <w:ind w:firstLine="420" w:firstLineChars="200"/>
              <w:jc w:val="lef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投标报价合理性评审</w:t>
            </w:r>
          </w:p>
        </w:tc>
        <w:tc>
          <w:tcPr>
            <w:tcW w:w="4665" w:type="dxa"/>
            <w:noWrap w:val="0"/>
            <w:vAlign w:val="center"/>
          </w:tcPr>
          <w:p w14:paraId="0545AC66">
            <w:pPr>
              <w:widowControl/>
              <w:adjustRightInd w:val="0"/>
              <w:snapToGrid w:val="0"/>
              <w:ind w:left="21" w:leftChars="10"/>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lang w:val="en-US" w:eastAsia="zh-CN"/>
              </w:rPr>
              <w:t>符合第二章“投标人须知”第3.2款规定</w:t>
            </w:r>
          </w:p>
        </w:tc>
      </w:tr>
      <w:tr w14:paraId="0A90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70" w:type="dxa"/>
            <w:vMerge w:val="continue"/>
            <w:noWrap w:val="0"/>
            <w:vAlign w:val="center"/>
          </w:tcPr>
          <w:p w14:paraId="1832FA0B">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1046" w:type="dxa"/>
            <w:vMerge w:val="continue"/>
            <w:noWrap w:val="0"/>
            <w:vAlign w:val="center"/>
          </w:tcPr>
          <w:p w14:paraId="0AD6D90B">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highlight w:val="none"/>
              </w:rPr>
            </w:pPr>
          </w:p>
        </w:tc>
        <w:tc>
          <w:tcPr>
            <w:tcW w:w="2881" w:type="dxa"/>
            <w:gridSpan w:val="2"/>
            <w:noWrap w:val="0"/>
            <w:vAlign w:val="center"/>
          </w:tcPr>
          <w:p w14:paraId="0930F23E">
            <w:pPr>
              <w:pageBreakBefore w:val="0"/>
              <w:kinsoku/>
              <w:wordWrap/>
              <w:overflowPunct/>
              <w:topLinePunct w:val="0"/>
              <w:autoSpaceDE/>
              <w:autoSpaceDN/>
              <w:bidi w:val="0"/>
              <w:adjustRightInd/>
              <w:spacing w:line="360" w:lineRule="auto"/>
              <w:ind w:firstLine="420" w:firstLineChars="200"/>
              <w:jc w:val="both"/>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kern w:val="2"/>
                <w:sz w:val="21"/>
                <w:szCs w:val="21"/>
                <w:highlight w:val="none"/>
                <w:lang w:val="en-US" w:eastAsia="zh-CN" w:bidi="ar-SA"/>
              </w:rPr>
              <w:t>其它不合格情况</w:t>
            </w:r>
          </w:p>
        </w:tc>
        <w:tc>
          <w:tcPr>
            <w:tcW w:w="4665" w:type="dxa"/>
            <w:noWrap w:val="0"/>
            <w:vAlign w:val="top"/>
          </w:tcPr>
          <w:p w14:paraId="10FA6FC7">
            <w:pPr>
              <w:pageBreakBefore w:val="0"/>
              <w:kinsoku/>
              <w:wordWrap/>
              <w:overflowPunct/>
              <w:topLinePunct w:val="0"/>
              <w:autoSpaceDE/>
              <w:autoSpaceDN/>
              <w:bidi w:val="0"/>
              <w:adjustRightInd/>
              <w:spacing w:line="360" w:lineRule="auto"/>
              <w:jc w:val="left"/>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kern w:val="2"/>
                <w:sz w:val="21"/>
                <w:szCs w:val="21"/>
                <w:highlight w:val="none"/>
                <w:lang w:val="en-US" w:eastAsia="zh-CN" w:bidi="ar-SA"/>
              </w:rPr>
              <w:t>不存在招标文件第二章</w:t>
            </w:r>
            <w:r>
              <w:rPr>
                <w:rFonts w:hint="eastAsia" w:ascii="宋体" w:hAnsi="宋体"/>
                <w:color w:val="auto"/>
                <w:szCs w:val="21"/>
                <w:highlight w:val="none"/>
              </w:rPr>
              <w:t>“投标人须知”</w:t>
            </w:r>
            <w:r>
              <w:rPr>
                <w:rFonts w:hint="eastAsia" w:ascii="宋体" w:hAnsi="宋体"/>
                <w:color w:val="auto"/>
                <w:szCs w:val="21"/>
                <w:highlight w:val="none"/>
                <w:lang w:eastAsia="zh-CN"/>
              </w:rPr>
              <w:t>第</w:t>
            </w:r>
            <w:r>
              <w:rPr>
                <w:rFonts w:hint="eastAsia" w:ascii="宋体" w:hAnsi="宋体"/>
                <w:color w:val="auto"/>
                <w:szCs w:val="21"/>
                <w:highlight w:val="none"/>
                <w:lang w:val="en-US" w:eastAsia="zh-CN"/>
              </w:rPr>
              <w:t>13条规定的情形或违反法律法规规章、规范性文件规定、国家强制性条文标准的情形</w:t>
            </w:r>
          </w:p>
        </w:tc>
      </w:tr>
      <w:tr w14:paraId="1880F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70" w:type="dxa"/>
            <w:noWrap w:val="0"/>
            <w:vAlign w:val="center"/>
          </w:tcPr>
          <w:p w14:paraId="6BDCF92B">
            <w:pPr>
              <w:spacing w:line="360" w:lineRule="auto"/>
              <w:jc w:val="center"/>
              <w:rPr>
                <w:rFonts w:hint="eastAsia"/>
                <w:color w:val="auto"/>
                <w:highlight w:val="none"/>
              </w:rPr>
            </w:pPr>
            <w:r>
              <w:rPr>
                <w:rFonts w:hint="eastAsia" w:ascii="宋体" w:hAnsi="宋体" w:eastAsia="宋体" w:cs="Times New Roman"/>
                <w:color w:val="auto"/>
                <w:szCs w:val="21"/>
                <w:highlight w:val="none"/>
                <w:lang w:val="en-US" w:eastAsia="zh-CN"/>
              </w:rPr>
              <w:t>2.2.1</w:t>
            </w:r>
          </w:p>
        </w:tc>
        <w:tc>
          <w:tcPr>
            <w:tcW w:w="1046" w:type="dxa"/>
            <w:noWrap w:val="0"/>
            <w:vAlign w:val="top"/>
          </w:tcPr>
          <w:p w14:paraId="2CE7876F">
            <w:pPr>
              <w:spacing w:line="360" w:lineRule="auto"/>
              <w:jc w:val="center"/>
              <w:rPr>
                <w:rFonts w:hint="eastAsia" w:ascii="宋体" w:hAnsi="宋体"/>
                <w:color w:val="auto"/>
                <w:szCs w:val="21"/>
                <w:highlight w:val="none"/>
              </w:rPr>
            </w:pPr>
            <w:r>
              <w:rPr>
                <w:rFonts w:hint="eastAsia"/>
                <w:color w:val="auto"/>
                <w:highlight w:val="none"/>
                <w:lang w:val="en-US" w:eastAsia="zh-CN"/>
              </w:rPr>
              <w:t>定性评审详细评审标准</w:t>
            </w:r>
          </w:p>
        </w:tc>
        <w:tc>
          <w:tcPr>
            <w:tcW w:w="2881" w:type="dxa"/>
            <w:gridSpan w:val="2"/>
            <w:noWrap w:val="0"/>
            <w:vAlign w:val="center"/>
          </w:tcPr>
          <w:p w14:paraId="72D0CB4A">
            <w:pPr>
              <w:spacing w:line="360" w:lineRule="auto"/>
              <w:jc w:val="center"/>
              <w:rPr>
                <w:rFonts w:hint="eastAsia" w:ascii="宋体" w:hAnsi="宋体"/>
                <w:color w:val="auto"/>
                <w:kern w:val="2"/>
                <w:sz w:val="21"/>
                <w:szCs w:val="21"/>
                <w:highlight w:val="none"/>
                <w:lang w:val="en-US" w:eastAsia="zh-CN" w:bidi="ar-SA"/>
              </w:rPr>
            </w:pPr>
            <w:r>
              <w:rPr>
                <w:rFonts w:hint="eastAsia" w:ascii="宋体" w:hAnsi="宋体" w:cs="宋体"/>
                <w:color w:val="auto"/>
                <w:szCs w:val="21"/>
                <w:highlight w:val="none"/>
              </w:rPr>
              <w:t>技术标</w:t>
            </w:r>
          </w:p>
        </w:tc>
        <w:tc>
          <w:tcPr>
            <w:tcW w:w="4665" w:type="dxa"/>
            <w:noWrap w:val="0"/>
            <w:vAlign w:val="center"/>
          </w:tcPr>
          <w:p w14:paraId="36F837BA">
            <w:pPr>
              <w:spacing w:line="360" w:lineRule="auto"/>
              <w:jc w:val="left"/>
              <w:rPr>
                <w:rFonts w:hint="eastAsia" w:ascii="宋体" w:hAnsi="宋体"/>
                <w:color w:val="auto"/>
                <w:kern w:val="2"/>
                <w:sz w:val="21"/>
                <w:szCs w:val="21"/>
                <w:highlight w:val="none"/>
                <w:lang w:val="en-US" w:eastAsia="zh-CN" w:bidi="ar-SA"/>
              </w:rPr>
            </w:pPr>
            <w:r>
              <w:rPr>
                <w:rFonts w:hint="eastAsia" w:ascii="宋体" w:hAnsi="宋体" w:cs="宋体"/>
                <w:color w:val="auto"/>
                <w:szCs w:val="21"/>
                <w:highlight w:val="none"/>
                <w:lang w:eastAsia="zh-CN"/>
              </w:rPr>
              <w:t>详</w:t>
            </w:r>
            <w:r>
              <w:rPr>
                <w:rFonts w:hint="eastAsia" w:ascii="宋体" w:hAnsi="宋体" w:cs="宋体"/>
                <w:color w:val="auto"/>
                <w:szCs w:val="21"/>
                <w:highlight w:val="none"/>
              </w:rPr>
              <w:t>见</w:t>
            </w:r>
            <w:r>
              <w:rPr>
                <w:rFonts w:hint="eastAsia" w:ascii="宋体" w:hAnsi="宋体" w:cs="宋体"/>
                <w:color w:val="auto"/>
                <w:szCs w:val="21"/>
                <w:highlight w:val="none"/>
                <w:lang w:eastAsia="zh-CN"/>
              </w:rPr>
              <w:t>附件一《技术标详细评审标准》</w:t>
            </w:r>
          </w:p>
        </w:tc>
      </w:tr>
      <w:tr w14:paraId="05F73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70" w:type="dxa"/>
            <w:vMerge w:val="restart"/>
            <w:noWrap w:val="0"/>
            <w:vAlign w:val="center"/>
          </w:tcPr>
          <w:p w14:paraId="4A45E63A">
            <w:pPr>
              <w:spacing w:line="360" w:lineRule="auto"/>
              <w:jc w:val="center"/>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2.2.2</w:t>
            </w:r>
          </w:p>
        </w:tc>
        <w:tc>
          <w:tcPr>
            <w:tcW w:w="1046" w:type="dxa"/>
            <w:vMerge w:val="restart"/>
            <w:noWrap w:val="0"/>
            <w:vAlign w:val="center"/>
          </w:tcPr>
          <w:p w14:paraId="06CFDF4F">
            <w:pPr>
              <w:spacing w:line="360" w:lineRule="auto"/>
              <w:jc w:val="center"/>
              <w:rPr>
                <w:rFonts w:hint="eastAsia"/>
                <w:color w:val="auto"/>
                <w:highlight w:val="none"/>
                <w:lang w:val="en-US" w:eastAsia="zh-CN"/>
              </w:rPr>
            </w:pPr>
            <w:r>
              <w:rPr>
                <w:rFonts w:hint="eastAsia" w:ascii="宋体" w:hAnsi="宋体" w:cs="宋体"/>
                <w:color w:val="auto"/>
                <w:szCs w:val="21"/>
                <w:highlight w:val="none"/>
                <w:lang w:eastAsia="zh-CN"/>
              </w:rPr>
              <w:t>定量评审</w:t>
            </w:r>
            <w:r>
              <w:rPr>
                <w:rFonts w:hint="eastAsia" w:ascii="宋体" w:hAnsi="宋体" w:cs="宋体"/>
                <w:color w:val="auto"/>
                <w:szCs w:val="21"/>
                <w:highlight w:val="none"/>
              </w:rPr>
              <w:t>详细评审标准</w:t>
            </w:r>
          </w:p>
        </w:tc>
        <w:tc>
          <w:tcPr>
            <w:tcW w:w="2881" w:type="dxa"/>
            <w:gridSpan w:val="2"/>
            <w:noWrap w:val="0"/>
            <w:vAlign w:val="center"/>
          </w:tcPr>
          <w:p w14:paraId="3D262697">
            <w:pPr>
              <w:spacing w:line="360" w:lineRule="auto"/>
              <w:jc w:val="center"/>
              <w:rPr>
                <w:rFonts w:hint="eastAsia" w:ascii="宋体" w:hAnsi="宋体" w:cs="宋体"/>
                <w:color w:val="auto"/>
                <w:highlight w:val="none"/>
              </w:rPr>
            </w:pPr>
            <w:r>
              <w:rPr>
                <w:rFonts w:hint="eastAsia" w:ascii="宋体" w:hAnsi="宋体" w:cs="宋体"/>
                <w:color w:val="auto"/>
                <w:highlight w:val="none"/>
              </w:rPr>
              <w:t>分值构成</w:t>
            </w:r>
          </w:p>
          <w:p w14:paraId="3405CFA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（满分100分）</w:t>
            </w:r>
          </w:p>
        </w:tc>
        <w:tc>
          <w:tcPr>
            <w:tcW w:w="4665" w:type="dxa"/>
            <w:noWrap w:val="0"/>
            <w:vAlign w:val="center"/>
          </w:tcPr>
          <w:p w14:paraId="5EC789C0">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技术标：</w:t>
            </w:r>
            <w:permStart w:id="154" w:edGrp="everyone"/>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permEnd w:id="154"/>
            <w:r>
              <w:rPr>
                <w:rFonts w:hint="eastAsia" w:ascii="宋体" w:hAnsi="宋体" w:cs="宋体"/>
                <w:color w:val="auto"/>
                <w:szCs w:val="21"/>
                <w:highlight w:val="none"/>
              </w:rPr>
              <w:t>分</w:t>
            </w:r>
          </w:p>
          <w:p w14:paraId="0094B6B8">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资信标：</w:t>
            </w:r>
            <w:permStart w:id="155" w:edGrp="everyone"/>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permEnd w:id="155"/>
            <w:r>
              <w:rPr>
                <w:rFonts w:hint="eastAsia" w:ascii="宋体" w:hAnsi="宋体" w:cs="宋体"/>
                <w:color w:val="auto"/>
                <w:szCs w:val="21"/>
                <w:highlight w:val="none"/>
              </w:rPr>
              <w:t>分</w:t>
            </w:r>
          </w:p>
          <w:p w14:paraId="1DF20820">
            <w:pPr>
              <w:spacing w:line="360" w:lineRule="auto"/>
              <w:jc w:val="both"/>
              <w:rPr>
                <w:rFonts w:hint="eastAsia" w:ascii="宋体" w:hAnsi="宋体" w:cs="宋体"/>
                <w:color w:val="auto"/>
                <w:szCs w:val="21"/>
                <w:highlight w:val="none"/>
                <w:lang w:eastAsia="zh-CN"/>
              </w:rPr>
            </w:pPr>
            <w:r>
              <w:rPr>
                <w:rFonts w:hint="eastAsia" w:ascii="宋体" w:hAnsi="宋体" w:cs="宋体"/>
                <w:color w:val="auto"/>
                <w:szCs w:val="21"/>
                <w:highlight w:val="none"/>
              </w:rPr>
              <w:t>经济标：</w:t>
            </w:r>
            <w:permStart w:id="156" w:edGrp="everyone"/>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permEnd w:id="156"/>
            <w:r>
              <w:rPr>
                <w:rFonts w:hint="eastAsia" w:ascii="宋体" w:hAnsi="宋体" w:cs="宋体"/>
                <w:color w:val="auto"/>
                <w:szCs w:val="21"/>
                <w:highlight w:val="none"/>
              </w:rPr>
              <w:t>分</w:t>
            </w:r>
          </w:p>
        </w:tc>
      </w:tr>
      <w:tr w14:paraId="45692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70" w:type="dxa"/>
            <w:vMerge w:val="continue"/>
            <w:noWrap w:val="0"/>
            <w:vAlign w:val="center"/>
          </w:tcPr>
          <w:p w14:paraId="0D04DAC7">
            <w:pPr>
              <w:spacing w:line="360" w:lineRule="auto"/>
              <w:jc w:val="center"/>
              <w:rPr>
                <w:rFonts w:hint="eastAsia" w:ascii="宋体" w:hAnsi="宋体" w:eastAsia="宋体" w:cs="Times New Roman"/>
                <w:color w:val="auto"/>
                <w:szCs w:val="21"/>
                <w:highlight w:val="none"/>
                <w:lang w:val="en-US" w:eastAsia="zh-CN"/>
              </w:rPr>
            </w:pPr>
          </w:p>
        </w:tc>
        <w:tc>
          <w:tcPr>
            <w:tcW w:w="1046" w:type="dxa"/>
            <w:vMerge w:val="continue"/>
            <w:noWrap w:val="0"/>
            <w:vAlign w:val="center"/>
          </w:tcPr>
          <w:p w14:paraId="36C64F31">
            <w:pPr>
              <w:spacing w:line="360" w:lineRule="auto"/>
              <w:jc w:val="center"/>
              <w:rPr>
                <w:rFonts w:hint="eastAsia" w:ascii="宋体" w:hAnsi="宋体" w:cs="宋体"/>
                <w:color w:val="auto"/>
                <w:szCs w:val="21"/>
                <w:highlight w:val="none"/>
                <w:lang w:eastAsia="zh-CN"/>
              </w:rPr>
            </w:pPr>
          </w:p>
        </w:tc>
        <w:tc>
          <w:tcPr>
            <w:tcW w:w="2881" w:type="dxa"/>
            <w:gridSpan w:val="2"/>
            <w:noWrap w:val="0"/>
            <w:vAlign w:val="center"/>
          </w:tcPr>
          <w:p w14:paraId="17CBA83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lang w:val="en"/>
              </w:rPr>
              <w:t>评标基准价计算方法</w:t>
            </w:r>
          </w:p>
        </w:tc>
        <w:tc>
          <w:tcPr>
            <w:tcW w:w="4665" w:type="dxa"/>
            <w:noWrap w:val="0"/>
            <w:vAlign w:val="center"/>
          </w:tcPr>
          <w:p w14:paraId="793BF6D6">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若进入价格评审阶段的投标人为四家以下时（含四家），取所有进入价格评审阶段有效的投标人报价的算术平均值定义为基准价格；若进入价格评审阶段的投标人有五家或以上时，去掉一个最高评标价格和一个最低评标价格后取剩余评标价格的算术平均值定义为基准价格。计算结果精确至小数点后两位，第三位四舍五入，保留两位小数。</w:t>
            </w:r>
          </w:p>
          <w:p w14:paraId="187F6929">
            <w:pPr>
              <w:spacing w:line="360" w:lineRule="auto"/>
              <w:ind w:firstLine="420" w:firstLineChars="200"/>
              <w:jc w:val="left"/>
              <w:rPr>
                <w:rFonts w:hint="eastAsia" w:ascii="宋体" w:hAnsi="宋体" w:cs="宋体"/>
                <w:color w:val="auto"/>
                <w:szCs w:val="21"/>
                <w:highlight w:val="none"/>
                <w:lang w:eastAsia="zh-CN"/>
              </w:rPr>
            </w:pPr>
            <w:r>
              <w:rPr>
                <w:rFonts w:hint="eastAsia" w:ascii="宋体" w:hAnsi="宋体" w:cs="宋体"/>
                <w:color w:val="auto"/>
                <w:highlight w:val="none"/>
              </w:rPr>
              <w:t>基准价一经确定，在随后的评审或复评过程中无论出现何种情形，包括随后的招标投标活动中任何通过评标委员会初步评审的投标人资格被取消的等情形的，该基准价都不作调整，算术计算错误除外。</w:t>
            </w:r>
          </w:p>
        </w:tc>
      </w:tr>
      <w:tr w14:paraId="66BF7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70" w:type="dxa"/>
            <w:vMerge w:val="continue"/>
            <w:noWrap w:val="0"/>
            <w:vAlign w:val="center"/>
          </w:tcPr>
          <w:p w14:paraId="2AD09CBC">
            <w:pPr>
              <w:spacing w:line="360" w:lineRule="auto"/>
              <w:jc w:val="center"/>
              <w:rPr>
                <w:rFonts w:hint="eastAsia" w:ascii="宋体" w:hAnsi="宋体" w:eastAsia="宋体" w:cs="Times New Roman"/>
                <w:color w:val="auto"/>
                <w:szCs w:val="21"/>
                <w:highlight w:val="none"/>
                <w:lang w:val="en-US" w:eastAsia="zh-CN"/>
              </w:rPr>
            </w:pPr>
          </w:p>
        </w:tc>
        <w:tc>
          <w:tcPr>
            <w:tcW w:w="1046" w:type="dxa"/>
            <w:vMerge w:val="continue"/>
            <w:noWrap w:val="0"/>
            <w:vAlign w:val="top"/>
          </w:tcPr>
          <w:p w14:paraId="541B6004">
            <w:pPr>
              <w:spacing w:line="360" w:lineRule="auto"/>
              <w:rPr>
                <w:rFonts w:hint="eastAsia" w:ascii="宋体" w:hAnsi="宋体" w:cs="宋体"/>
                <w:color w:val="auto"/>
                <w:szCs w:val="21"/>
                <w:highlight w:val="none"/>
                <w:lang w:eastAsia="zh-CN"/>
              </w:rPr>
            </w:pPr>
          </w:p>
        </w:tc>
        <w:tc>
          <w:tcPr>
            <w:tcW w:w="2881" w:type="dxa"/>
            <w:gridSpan w:val="2"/>
            <w:noWrap w:val="0"/>
            <w:vAlign w:val="center"/>
          </w:tcPr>
          <w:p w14:paraId="42C2A89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投标报价的偏差率计算公式</w:t>
            </w:r>
          </w:p>
        </w:tc>
        <w:tc>
          <w:tcPr>
            <w:tcW w:w="4665" w:type="dxa"/>
            <w:noWrap w:val="0"/>
            <w:vAlign w:val="center"/>
          </w:tcPr>
          <w:p w14:paraId="713124B9">
            <w:pPr>
              <w:spacing w:line="360" w:lineRule="auto"/>
              <w:ind w:firstLine="420" w:firstLineChars="200"/>
              <w:jc w:val="left"/>
              <w:rPr>
                <w:rFonts w:hint="eastAsia" w:ascii="宋体" w:hAnsi="宋体" w:cs="宋体"/>
                <w:color w:val="auto"/>
                <w:kern w:val="2"/>
                <w:sz w:val="21"/>
                <w:szCs w:val="24"/>
                <w:highlight w:val="none"/>
                <w:lang w:val="en-US" w:eastAsia="zh-CN" w:bidi="ar-SA"/>
              </w:rPr>
            </w:pPr>
            <w:r>
              <w:rPr>
                <w:rFonts w:hint="eastAsia" w:ascii="宋体" w:hAnsi="宋体" w:cs="宋体"/>
                <w:color w:val="auto"/>
                <w:highlight w:val="none"/>
              </w:rPr>
              <w:t>偏差率</w:t>
            </w:r>
            <w:r>
              <w:rPr>
                <w:rFonts w:hint="eastAsia" w:ascii="宋体" w:hAnsi="宋体" w:cs="宋体"/>
                <w:color w:val="auto"/>
                <w:szCs w:val="21"/>
                <w:highlight w:val="none"/>
              </w:rPr>
              <w:t>=100</w:t>
            </w:r>
            <w:r>
              <w:rPr>
                <w:rFonts w:hint="eastAsia" w:ascii="宋体" w:hAnsi="宋体" w:cs="宋体"/>
                <w:color w:val="auto"/>
                <w:highlight w:val="none"/>
              </w:rPr>
              <w:t>%×（投标人报价－评标基准价）/评标基准价</w:t>
            </w:r>
          </w:p>
        </w:tc>
      </w:tr>
      <w:tr w14:paraId="0F5B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70" w:type="dxa"/>
            <w:vMerge w:val="continue"/>
            <w:noWrap w:val="0"/>
            <w:vAlign w:val="center"/>
          </w:tcPr>
          <w:p w14:paraId="63E1A50C">
            <w:pPr>
              <w:spacing w:line="360" w:lineRule="auto"/>
              <w:jc w:val="center"/>
              <w:rPr>
                <w:rFonts w:hint="eastAsia" w:ascii="宋体" w:hAnsi="宋体" w:eastAsia="宋体" w:cs="Times New Roman"/>
                <w:color w:val="auto"/>
                <w:szCs w:val="21"/>
                <w:highlight w:val="none"/>
                <w:lang w:val="en-US" w:eastAsia="zh-CN"/>
              </w:rPr>
            </w:pPr>
          </w:p>
        </w:tc>
        <w:tc>
          <w:tcPr>
            <w:tcW w:w="1046" w:type="dxa"/>
            <w:vMerge w:val="continue"/>
            <w:noWrap w:val="0"/>
            <w:vAlign w:val="top"/>
          </w:tcPr>
          <w:p w14:paraId="45D79907">
            <w:pPr>
              <w:spacing w:line="360" w:lineRule="auto"/>
              <w:rPr>
                <w:rFonts w:hint="eastAsia" w:ascii="宋体" w:hAnsi="宋体" w:cs="宋体"/>
                <w:color w:val="auto"/>
                <w:szCs w:val="21"/>
                <w:highlight w:val="none"/>
                <w:lang w:eastAsia="zh-CN"/>
              </w:rPr>
            </w:pPr>
          </w:p>
        </w:tc>
        <w:tc>
          <w:tcPr>
            <w:tcW w:w="1440" w:type="dxa"/>
            <w:vMerge w:val="restart"/>
            <w:noWrap w:val="0"/>
            <w:vAlign w:val="center"/>
          </w:tcPr>
          <w:p w14:paraId="68CEB392">
            <w:pPr>
              <w:spacing w:line="360" w:lineRule="auto"/>
              <w:jc w:val="center"/>
              <w:rPr>
                <w:rFonts w:hint="eastAsia" w:ascii="宋体" w:hAnsi="宋体" w:cs="宋体"/>
                <w:color w:val="auto"/>
                <w:highlight w:val="none"/>
              </w:rPr>
            </w:pPr>
            <w:r>
              <w:rPr>
                <w:rFonts w:hint="eastAsia" w:ascii="宋体" w:hAnsi="宋体" w:cs="宋体"/>
                <w:color w:val="auto"/>
                <w:highlight w:val="none"/>
              </w:rPr>
              <w:t>评分</w:t>
            </w:r>
          </w:p>
          <w:p w14:paraId="13EEB005">
            <w:pPr>
              <w:spacing w:line="360" w:lineRule="auto"/>
              <w:jc w:val="center"/>
              <w:rPr>
                <w:rFonts w:hint="eastAsia" w:ascii="宋体" w:hAnsi="宋体" w:cs="宋体"/>
                <w:color w:val="auto"/>
                <w:szCs w:val="21"/>
                <w:highlight w:val="none"/>
              </w:rPr>
            </w:pPr>
            <w:r>
              <w:rPr>
                <w:rFonts w:hint="eastAsia" w:ascii="宋体" w:hAnsi="宋体" w:cs="宋体"/>
                <w:color w:val="auto"/>
                <w:highlight w:val="none"/>
              </w:rPr>
              <w:t>标准</w:t>
            </w:r>
          </w:p>
        </w:tc>
        <w:tc>
          <w:tcPr>
            <w:tcW w:w="1441" w:type="dxa"/>
            <w:noWrap w:val="0"/>
            <w:vAlign w:val="center"/>
          </w:tcPr>
          <w:p w14:paraId="6A293A38">
            <w:pPr>
              <w:spacing w:line="360" w:lineRule="auto"/>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技术标</w:t>
            </w:r>
          </w:p>
        </w:tc>
        <w:tc>
          <w:tcPr>
            <w:tcW w:w="4665" w:type="dxa"/>
            <w:noWrap w:val="0"/>
            <w:vAlign w:val="center"/>
          </w:tcPr>
          <w:p w14:paraId="3D7B911E">
            <w:pPr>
              <w:spacing w:line="360" w:lineRule="auto"/>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lang w:eastAsia="zh-CN"/>
              </w:rPr>
              <w:t>详见附件二</w:t>
            </w:r>
            <w:r>
              <w:rPr>
                <w:rFonts w:hint="eastAsia" w:ascii="宋体" w:hAnsi="宋体" w:cs="宋体"/>
                <w:color w:val="auto"/>
                <w:szCs w:val="21"/>
                <w:highlight w:val="none"/>
              </w:rPr>
              <w:t>《技术标</w:t>
            </w:r>
            <w:r>
              <w:rPr>
                <w:rFonts w:hint="eastAsia" w:ascii="宋体" w:hAnsi="宋体" w:cs="宋体"/>
                <w:color w:val="auto"/>
                <w:szCs w:val="21"/>
                <w:highlight w:val="none"/>
                <w:lang w:eastAsia="zh-CN"/>
              </w:rPr>
              <w:t>评分</w:t>
            </w:r>
            <w:r>
              <w:rPr>
                <w:rFonts w:hint="eastAsia" w:ascii="宋体" w:hAnsi="宋体" w:cs="宋体"/>
                <w:color w:val="auto"/>
                <w:szCs w:val="21"/>
                <w:highlight w:val="none"/>
              </w:rPr>
              <w:t>标准》</w:t>
            </w:r>
          </w:p>
        </w:tc>
      </w:tr>
      <w:tr w14:paraId="24A16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70" w:type="dxa"/>
            <w:vMerge w:val="continue"/>
            <w:noWrap w:val="0"/>
            <w:vAlign w:val="center"/>
          </w:tcPr>
          <w:p w14:paraId="7A6A0166">
            <w:pPr>
              <w:spacing w:line="360" w:lineRule="auto"/>
              <w:jc w:val="center"/>
              <w:rPr>
                <w:rFonts w:hint="eastAsia" w:ascii="宋体" w:hAnsi="宋体" w:eastAsia="宋体" w:cs="Times New Roman"/>
                <w:color w:val="auto"/>
                <w:szCs w:val="21"/>
                <w:highlight w:val="none"/>
                <w:lang w:val="en-US" w:eastAsia="zh-CN"/>
              </w:rPr>
            </w:pPr>
          </w:p>
        </w:tc>
        <w:tc>
          <w:tcPr>
            <w:tcW w:w="1046" w:type="dxa"/>
            <w:vMerge w:val="continue"/>
            <w:noWrap w:val="0"/>
            <w:vAlign w:val="top"/>
          </w:tcPr>
          <w:p w14:paraId="6D8300C2">
            <w:pPr>
              <w:spacing w:line="360" w:lineRule="auto"/>
              <w:rPr>
                <w:rFonts w:hint="eastAsia" w:ascii="宋体" w:hAnsi="宋体" w:cs="宋体"/>
                <w:color w:val="auto"/>
                <w:szCs w:val="21"/>
                <w:highlight w:val="none"/>
                <w:lang w:eastAsia="zh-CN"/>
              </w:rPr>
            </w:pPr>
          </w:p>
        </w:tc>
        <w:tc>
          <w:tcPr>
            <w:tcW w:w="1440" w:type="dxa"/>
            <w:vMerge w:val="continue"/>
            <w:noWrap w:val="0"/>
            <w:vAlign w:val="center"/>
          </w:tcPr>
          <w:p w14:paraId="7067903F">
            <w:pPr>
              <w:spacing w:line="360" w:lineRule="auto"/>
              <w:jc w:val="center"/>
              <w:rPr>
                <w:rFonts w:hint="eastAsia" w:ascii="宋体" w:hAnsi="宋体" w:cs="宋体"/>
                <w:color w:val="auto"/>
                <w:szCs w:val="21"/>
                <w:highlight w:val="none"/>
              </w:rPr>
            </w:pPr>
          </w:p>
        </w:tc>
        <w:tc>
          <w:tcPr>
            <w:tcW w:w="1441" w:type="dxa"/>
            <w:noWrap w:val="0"/>
            <w:vAlign w:val="center"/>
          </w:tcPr>
          <w:p w14:paraId="648FC525">
            <w:pPr>
              <w:spacing w:line="360" w:lineRule="auto"/>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资信标</w:t>
            </w:r>
          </w:p>
        </w:tc>
        <w:tc>
          <w:tcPr>
            <w:tcW w:w="4665" w:type="dxa"/>
            <w:noWrap w:val="0"/>
            <w:vAlign w:val="center"/>
          </w:tcPr>
          <w:p w14:paraId="6C3E8DDF">
            <w:pPr>
              <w:spacing w:line="360" w:lineRule="auto"/>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lang w:eastAsia="zh-CN"/>
              </w:rPr>
              <w:t>详见附件三</w:t>
            </w:r>
            <w:r>
              <w:rPr>
                <w:rFonts w:hint="eastAsia" w:ascii="宋体" w:hAnsi="宋体" w:cs="宋体"/>
                <w:color w:val="auto"/>
                <w:szCs w:val="21"/>
                <w:highlight w:val="none"/>
              </w:rPr>
              <w:t>《资信标</w:t>
            </w:r>
            <w:r>
              <w:rPr>
                <w:rFonts w:hint="eastAsia" w:ascii="宋体" w:hAnsi="宋体" w:cs="宋体"/>
                <w:color w:val="auto"/>
                <w:szCs w:val="21"/>
                <w:highlight w:val="none"/>
                <w:lang w:eastAsia="zh-CN"/>
              </w:rPr>
              <w:t>评分</w:t>
            </w:r>
            <w:r>
              <w:rPr>
                <w:rFonts w:hint="eastAsia" w:ascii="宋体" w:hAnsi="宋体" w:cs="宋体"/>
                <w:color w:val="auto"/>
                <w:szCs w:val="21"/>
                <w:highlight w:val="none"/>
              </w:rPr>
              <w:t>标准》</w:t>
            </w:r>
          </w:p>
        </w:tc>
      </w:tr>
      <w:tr w14:paraId="5FC97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70" w:type="dxa"/>
            <w:vMerge w:val="continue"/>
            <w:noWrap w:val="0"/>
            <w:vAlign w:val="center"/>
          </w:tcPr>
          <w:p w14:paraId="70F5BC40">
            <w:pPr>
              <w:spacing w:line="360" w:lineRule="auto"/>
              <w:jc w:val="center"/>
              <w:rPr>
                <w:rFonts w:hint="eastAsia" w:ascii="宋体" w:hAnsi="宋体" w:eastAsia="宋体" w:cs="Times New Roman"/>
                <w:color w:val="auto"/>
                <w:szCs w:val="21"/>
                <w:highlight w:val="none"/>
                <w:lang w:val="en-US" w:eastAsia="zh-CN"/>
              </w:rPr>
            </w:pPr>
          </w:p>
        </w:tc>
        <w:tc>
          <w:tcPr>
            <w:tcW w:w="1046" w:type="dxa"/>
            <w:vMerge w:val="continue"/>
            <w:noWrap w:val="0"/>
            <w:vAlign w:val="top"/>
          </w:tcPr>
          <w:p w14:paraId="251A5AF8">
            <w:pPr>
              <w:spacing w:line="360" w:lineRule="auto"/>
              <w:rPr>
                <w:rFonts w:hint="eastAsia" w:ascii="宋体" w:hAnsi="宋体" w:cs="宋体"/>
                <w:color w:val="auto"/>
                <w:szCs w:val="21"/>
                <w:highlight w:val="none"/>
                <w:lang w:eastAsia="zh-CN"/>
              </w:rPr>
            </w:pPr>
          </w:p>
        </w:tc>
        <w:tc>
          <w:tcPr>
            <w:tcW w:w="1440" w:type="dxa"/>
            <w:vMerge w:val="continue"/>
            <w:noWrap w:val="0"/>
            <w:vAlign w:val="center"/>
          </w:tcPr>
          <w:p w14:paraId="21B1E032">
            <w:pPr>
              <w:spacing w:line="360" w:lineRule="auto"/>
              <w:jc w:val="center"/>
              <w:rPr>
                <w:rFonts w:hint="eastAsia" w:ascii="宋体" w:hAnsi="宋体" w:cs="宋体"/>
                <w:color w:val="auto"/>
                <w:szCs w:val="21"/>
                <w:highlight w:val="none"/>
              </w:rPr>
            </w:pPr>
          </w:p>
        </w:tc>
        <w:tc>
          <w:tcPr>
            <w:tcW w:w="1441" w:type="dxa"/>
            <w:noWrap w:val="0"/>
            <w:vAlign w:val="center"/>
          </w:tcPr>
          <w:p w14:paraId="7CFBF645">
            <w:pPr>
              <w:spacing w:line="360" w:lineRule="auto"/>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rPr>
              <w:t>经济标</w:t>
            </w:r>
          </w:p>
        </w:tc>
        <w:tc>
          <w:tcPr>
            <w:tcW w:w="4665" w:type="dxa"/>
            <w:noWrap w:val="0"/>
            <w:vAlign w:val="center"/>
          </w:tcPr>
          <w:p w14:paraId="2D865EFE">
            <w:pPr>
              <w:spacing w:line="360" w:lineRule="auto"/>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szCs w:val="21"/>
                <w:highlight w:val="none"/>
                <w:lang w:eastAsia="zh-CN"/>
              </w:rPr>
              <w:t>详见附件四</w:t>
            </w:r>
            <w:r>
              <w:rPr>
                <w:rFonts w:hint="eastAsia" w:ascii="宋体" w:hAnsi="宋体" w:cs="宋体"/>
                <w:color w:val="auto"/>
                <w:szCs w:val="21"/>
                <w:highlight w:val="none"/>
              </w:rPr>
              <w:t>《经济标</w:t>
            </w:r>
            <w:r>
              <w:rPr>
                <w:rFonts w:hint="eastAsia" w:ascii="宋体" w:hAnsi="宋体" w:cs="宋体"/>
                <w:color w:val="auto"/>
                <w:szCs w:val="21"/>
                <w:highlight w:val="none"/>
                <w:lang w:eastAsia="zh-CN"/>
              </w:rPr>
              <w:t>评分</w:t>
            </w:r>
            <w:r>
              <w:rPr>
                <w:rFonts w:hint="eastAsia" w:ascii="宋体" w:hAnsi="宋体" w:cs="宋体"/>
                <w:color w:val="auto"/>
                <w:szCs w:val="21"/>
                <w:highlight w:val="none"/>
              </w:rPr>
              <w:t>标准》</w:t>
            </w:r>
          </w:p>
        </w:tc>
      </w:tr>
      <w:bookmarkEnd w:id="1585"/>
      <w:bookmarkEnd w:id="1586"/>
      <w:bookmarkEnd w:id="1587"/>
      <w:bookmarkEnd w:id="1588"/>
      <w:bookmarkEnd w:id="1589"/>
    </w:tbl>
    <w:p w14:paraId="72560D08">
      <w:pPr>
        <w:pStyle w:val="3"/>
        <w:bidi w:val="0"/>
        <w:rPr>
          <w:rFonts w:hint="eastAsia" w:ascii="宋体" w:hAnsi="宋体" w:eastAsia="宋体" w:cs="宋体"/>
          <w:color w:val="auto"/>
          <w:highlight w:val="none"/>
          <w:lang w:val="en-US" w:eastAsia="zh-CN"/>
        </w:rPr>
      </w:pPr>
      <w:bookmarkStart w:id="1629" w:name="_Toc1815121517"/>
      <w:bookmarkStart w:id="1630" w:name="_Toc1499466630"/>
      <w:bookmarkStart w:id="1631" w:name="_Toc1408655763"/>
      <w:bookmarkStart w:id="1632" w:name="_Toc200504515"/>
      <w:bookmarkStart w:id="1633" w:name="_Toc21352"/>
      <w:bookmarkStart w:id="1634" w:name="_Toc202553059"/>
      <w:bookmarkStart w:id="1635" w:name="_Toc502552943"/>
      <w:bookmarkStart w:id="1636" w:name="_Toc230504747"/>
      <w:bookmarkStart w:id="1637" w:name="_Toc1516422810"/>
      <w:bookmarkStart w:id="1638" w:name="_Toc898957749"/>
      <w:bookmarkStart w:id="1639" w:name="_Toc197072913"/>
      <w:bookmarkStart w:id="1640" w:name="_Toc175295584"/>
      <w:bookmarkStart w:id="1641" w:name="_Toc1990373798"/>
      <w:bookmarkStart w:id="1642" w:name="_Toc1176039543"/>
      <w:bookmarkStart w:id="1643" w:name="_Toc2111204663"/>
      <w:bookmarkStart w:id="1644" w:name="_Toc1951433121"/>
      <w:bookmarkStart w:id="1645" w:name="_Toc1861279865"/>
      <w:bookmarkStart w:id="1646" w:name="_Toc106349197"/>
      <w:bookmarkStart w:id="1647" w:name="_Toc1531229939"/>
      <w:bookmarkStart w:id="1648" w:name="_Toc2050207157"/>
      <w:bookmarkStart w:id="1649" w:name="_Toc320395098"/>
      <w:bookmarkStart w:id="1650" w:name="_Toc301801895"/>
      <w:bookmarkStart w:id="1651" w:name="_Toc847117003"/>
      <w:bookmarkStart w:id="1652" w:name="_Toc467539426"/>
      <w:bookmarkStart w:id="1653" w:name="_Toc1053686181"/>
      <w:bookmarkStart w:id="1654" w:name="_Toc458228169"/>
      <w:bookmarkStart w:id="1655" w:name="_Toc1968808922"/>
      <w:bookmarkStart w:id="1656" w:name="_Toc1380747209"/>
      <w:bookmarkStart w:id="1657" w:name="_Toc2010458586"/>
      <w:bookmarkStart w:id="1658" w:name="_Toc2143085845"/>
      <w:bookmarkStart w:id="1659" w:name="_Toc1822387051"/>
      <w:bookmarkStart w:id="1660" w:name="_Toc1585449606"/>
      <w:bookmarkStart w:id="1661" w:name="_Toc1888483617"/>
      <w:r>
        <w:rPr>
          <w:rFonts w:hint="eastAsia" w:ascii="宋体" w:hAnsi="宋体" w:cs="宋体"/>
          <w:color w:val="auto"/>
          <w:highlight w:val="none"/>
          <w:lang w:val="en-US" w:eastAsia="zh-CN"/>
        </w:rPr>
        <w:br w:type="page"/>
      </w:r>
      <w:bookmarkStart w:id="1662" w:name="_Toc1333474551"/>
      <w:bookmarkStart w:id="1663" w:name="_Toc1156062806"/>
      <w:r>
        <w:rPr>
          <w:rFonts w:hint="eastAsia" w:ascii="宋体" w:hAnsi="宋体" w:cs="宋体"/>
          <w:color w:val="auto"/>
          <w:highlight w:val="none"/>
          <w:lang w:val="en-US" w:eastAsia="zh-CN"/>
        </w:rPr>
        <w:t xml:space="preserve">1. </w:t>
      </w:r>
      <w:r>
        <w:rPr>
          <w:rFonts w:hint="eastAsia" w:ascii="宋体" w:hAnsi="宋体" w:eastAsia="宋体" w:cs="宋体"/>
          <w:color w:val="auto"/>
          <w:highlight w:val="none"/>
          <w:lang w:val="en-US" w:eastAsia="zh-CN"/>
        </w:rPr>
        <w:t>评标办法</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14:paraId="3C033669">
      <w:pPr>
        <w:pStyle w:val="4"/>
        <w:bidi w:val="0"/>
        <w:rPr>
          <w:rFonts w:hint="eastAsia" w:ascii="宋体" w:hAnsi="宋体" w:eastAsia="宋体" w:cs="宋体"/>
          <w:color w:val="auto"/>
          <w:highlight w:val="none"/>
          <w:lang w:val="en-US" w:eastAsia="zh-CN"/>
        </w:rPr>
      </w:pPr>
      <w:bookmarkStart w:id="1664" w:name="_Toc1141289861"/>
      <w:bookmarkStart w:id="1665" w:name="_Toc463316490"/>
      <w:bookmarkStart w:id="1666" w:name="_Toc1552329934"/>
      <w:bookmarkStart w:id="1667" w:name="_Toc1324938131"/>
      <w:bookmarkStart w:id="1668" w:name="_Toc2000763825"/>
      <w:bookmarkStart w:id="1669" w:name="_Toc1493167183"/>
      <w:bookmarkStart w:id="1670" w:name="_Toc1621926676"/>
      <w:bookmarkStart w:id="1671" w:name="_Toc1922049700"/>
      <w:bookmarkStart w:id="1672" w:name="_Toc1201999358"/>
      <w:bookmarkStart w:id="1673" w:name="_Toc989705945"/>
      <w:bookmarkStart w:id="1674" w:name="_Toc105968154"/>
      <w:bookmarkStart w:id="1675" w:name="_Toc1616586571"/>
      <w:bookmarkStart w:id="1676" w:name="_Toc1459443401"/>
      <w:bookmarkStart w:id="1677" w:name="_Toc1604368976"/>
      <w:bookmarkStart w:id="1678" w:name="_Toc1827472457"/>
      <w:bookmarkStart w:id="1679" w:name="_Toc2134526133"/>
      <w:bookmarkStart w:id="1680" w:name="_Toc1400320281"/>
      <w:r>
        <w:rPr>
          <w:rFonts w:hint="eastAsia" w:ascii="宋体" w:hAnsi="宋体" w:eastAsia="宋体" w:cs="宋体"/>
          <w:color w:val="auto"/>
          <w:highlight w:val="none"/>
          <w:lang w:val="en-US" w:eastAsia="zh-CN"/>
        </w:rPr>
        <w:t>1.1 定性评审</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14:paraId="1AF6D7E4">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定性评审的项目，评标委员会按照招标文件</w:t>
      </w:r>
      <w:r>
        <w:rPr>
          <w:rFonts w:hint="eastAsia" w:ascii="宋体" w:hAnsi="宋体" w:cs="宋体"/>
          <w:color w:val="auto"/>
          <w:szCs w:val="21"/>
          <w:highlight w:val="none"/>
          <w:lang w:val="en-US" w:eastAsia="zh-CN"/>
        </w:rPr>
        <w:t>的</w:t>
      </w:r>
      <w:r>
        <w:rPr>
          <w:rFonts w:hint="eastAsia" w:ascii="宋体" w:hAnsi="宋体" w:eastAsia="宋体" w:cs="宋体"/>
          <w:color w:val="auto"/>
          <w:szCs w:val="21"/>
          <w:highlight w:val="none"/>
          <w:lang w:val="en-US" w:eastAsia="zh-CN"/>
        </w:rPr>
        <w:t>规定对投标文件（技术标、经济标、资信标）是否满足招标文件实质性要求提出意见，指出各投标文件中的优点和存在的缺陷、应当注意和澄清的事项等，不对投标文件打分，不直接确定中标人，仅向招标人推送不排序的合格定标候选人名单。</w:t>
      </w:r>
    </w:p>
    <w:p w14:paraId="6940C348">
      <w:pPr>
        <w:pStyle w:val="4"/>
        <w:bidi w:val="0"/>
        <w:rPr>
          <w:rFonts w:hint="eastAsia" w:ascii="宋体" w:hAnsi="宋体" w:eastAsia="宋体" w:cs="宋体"/>
          <w:color w:val="auto"/>
          <w:highlight w:val="none"/>
          <w:lang w:val="en-US" w:eastAsia="zh-CN"/>
        </w:rPr>
      </w:pPr>
      <w:bookmarkStart w:id="1681" w:name="_Toc184832799"/>
      <w:bookmarkStart w:id="1682" w:name="_Toc1438671485"/>
      <w:bookmarkStart w:id="1683" w:name="_Toc1241298866"/>
      <w:bookmarkStart w:id="1684" w:name="_Toc1640039018"/>
      <w:bookmarkStart w:id="1685" w:name="_Toc1729134523"/>
      <w:bookmarkStart w:id="1686" w:name="_Toc2106472847"/>
      <w:bookmarkStart w:id="1687" w:name="_Toc314483170"/>
      <w:bookmarkStart w:id="1688" w:name="_Toc1092447956"/>
      <w:bookmarkStart w:id="1689" w:name="_Toc65324873"/>
      <w:bookmarkStart w:id="1690" w:name="_Toc30836695"/>
      <w:bookmarkStart w:id="1691" w:name="_Toc160146978"/>
      <w:bookmarkStart w:id="1692" w:name="_Toc107171088"/>
      <w:bookmarkStart w:id="1693" w:name="_Toc614963953"/>
      <w:bookmarkStart w:id="1694" w:name="_Toc1905621405"/>
      <w:bookmarkStart w:id="1695" w:name="_Toc1886245307"/>
      <w:bookmarkStart w:id="1696" w:name="_Toc1452647957"/>
      <w:bookmarkStart w:id="1697" w:name="_Toc126135997"/>
      <w:r>
        <w:rPr>
          <w:rFonts w:hint="eastAsia" w:ascii="宋体" w:hAnsi="宋体" w:eastAsia="宋体" w:cs="宋体"/>
          <w:color w:val="auto"/>
          <w:highlight w:val="none"/>
          <w:lang w:val="en-US" w:eastAsia="zh-CN"/>
        </w:rPr>
        <w:t>1.2 定量评审</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14:paraId="027BF089">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采用定量评审的项目，评标委员会根据招标文件规定的评审因素，对投标文件（技术标、经济标、资信标）进行评审，并对有效的投标文件进行比较、打分，按照投标人评审总得分由高到低的顺序，向定标委员会推荐排名靠前但不排序的规定数量的定标候选人。</w:t>
      </w:r>
      <w:r>
        <w:rPr>
          <w:rFonts w:hint="eastAsia" w:ascii="宋体" w:hAnsi="宋体" w:eastAsia="宋体" w:cs="宋体"/>
          <w:color w:val="auto"/>
          <w:szCs w:val="21"/>
          <w:highlight w:val="none"/>
        </w:rPr>
        <w:t>当通过评标委员会评审的有效投标人数量已低于（或等于）招标文件规定的推荐定标候选人数量</w:t>
      </w:r>
      <w:r>
        <w:rPr>
          <w:rFonts w:hint="eastAsia" w:ascii="宋体" w:hAnsi="宋体" w:eastAsia="宋体" w:cs="宋体"/>
          <w:color w:val="auto"/>
          <w:szCs w:val="21"/>
          <w:highlight w:val="none"/>
          <w:lang w:val="en-US" w:eastAsia="zh-CN"/>
        </w:rPr>
        <w:t>且大于（或等于）3名</w:t>
      </w:r>
      <w:r>
        <w:rPr>
          <w:rFonts w:hint="eastAsia" w:ascii="宋体" w:hAnsi="宋体" w:eastAsia="宋体" w:cs="宋体"/>
          <w:color w:val="auto"/>
          <w:szCs w:val="21"/>
          <w:highlight w:val="none"/>
        </w:rPr>
        <w:t>时，除投标文件出现无效投标情形外，所有投标</w:t>
      </w:r>
      <w:r>
        <w:rPr>
          <w:rFonts w:hint="eastAsia" w:ascii="宋体" w:hAnsi="宋体" w:eastAsia="宋体" w:cs="宋体"/>
          <w:color w:val="auto"/>
          <w:szCs w:val="21"/>
          <w:highlight w:val="none"/>
          <w:lang w:val="en-US" w:eastAsia="zh-CN"/>
        </w:rPr>
        <w:t>人</w:t>
      </w:r>
      <w:r>
        <w:rPr>
          <w:rFonts w:hint="eastAsia" w:ascii="宋体" w:hAnsi="宋体" w:eastAsia="宋体" w:cs="宋体"/>
          <w:color w:val="auto"/>
          <w:szCs w:val="21"/>
          <w:highlight w:val="none"/>
        </w:rPr>
        <w:t>均推荐为定标候选人。</w:t>
      </w:r>
    </w:p>
    <w:p w14:paraId="7B91695F">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投标人得分只作定标候选人推荐依据，具体得分及排序不向定标委员会推送。</w:t>
      </w:r>
    </w:p>
    <w:p w14:paraId="2D89267A">
      <w:pPr>
        <w:pStyle w:val="3"/>
        <w:bidi w:val="0"/>
        <w:rPr>
          <w:rFonts w:hint="eastAsia" w:ascii="宋体" w:hAnsi="宋体" w:eastAsia="宋体" w:cs="宋体"/>
          <w:color w:val="auto"/>
          <w:highlight w:val="none"/>
          <w:lang w:val="en-US" w:eastAsia="zh-CN"/>
        </w:rPr>
      </w:pPr>
      <w:bookmarkStart w:id="1698" w:name="_Toc286907522"/>
      <w:bookmarkStart w:id="1699" w:name="_Toc1399629077"/>
      <w:bookmarkStart w:id="1700" w:name="_Toc1982345012"/>
      <w:bookmarkStart w:id="1701" w:name="_Toc16770"/>
      <w:bookmarkStart w:id="1702" w:name="_Toc1098727866"/>
      <w:bookmarkStart w:id="1703" w:name="_Toc146796735"/>
      <w:bookmarkStart w:id="1704" w:name="_Toc1577059204"/>
      <w:bookmarkStart w:id="1705" w:name="_Toc110859644"/>
      <w:bookmarkStart w:id="1706" w:name="_Toc1902178261"/>
      <w:bookmarkStart w:id="1707" w:name="_Toc308231930"/>
      <w:bookmarkStart w:id="1708" w:name="_Toc486362995"/>
      <w:bookmarkStart w:id="1709" w:name="_Toc2143148918"/>
      <w:bookmarkStart w:id="1710" w:name="_Toc1816125990"/>
      <w:bookmarkStart w:id="1711" w:name="_Toc262901587"/>
      <w:bookmarkStart w:id="1712" w:name="_Toc2038889772"/>
      <w:bookmarkStart w:id="1713" w:name="_Toc1849359809"/>
      <w:bookmarkStart w:id="1714" w:name="_Toc2060542600"/>
      <w:bookmarkStart w:id="1715" w:name="_Toc803188757"/>
      <w:bookmarkStart w:id="1716" w:name="_Toc986975840"/>
      <w:bookmarkStart w:id="1717" w:name="_Toc1939680738"/>
      <w:bookmarkStart w:id="1718" w:name="_Toc1435915069"/>
      <w:bookmarkStart w:id="1719" w:name="_Toc1301592990"/>
      <w:bookmarkStart w:id="1720" w:name="_Toc980530470"/>
      <w:bookmarkStart w:id="1721" w:name="_Toc2067215122"/>
      <w:bookmarkStart w:id="1722" w:name="_Toc480532159"/>
      <w:bookmarkStart w:id="1723" w:name="_Toc637808438"/>
      <w:bookmarkStart w:id="1724" w:name="_Toc1829632836"/>
      <w:bookmarkStart w:id="1725" w:name="_Toc73512936"/>
      <w:bookmarkStart w:id="1726" w:name="_Toc787696947"/>
      <w:bookmarkStart w:id="1727" w:name="_Toc1682909450"/>
      <w:bookmarkStart w:id="1728" w:name="_Toc286820854"/>
      <w:bookmarkStart w:id="1729" w:name="_Toc1570073523"/>
      <w:bookmarkStart w:id="1730" w:name="_Toc1968873552"/>
      <w:bookmarkStart w:id="1731" w:name="_Toc1505202598"/>
      <w:bookmarkStart w:id="1732" w:name="_Toc137498455"/>
      <w:r>
        <w:rPr>
          <w:rFonts w:hint="eastAsia" w:ascii="宋体" w:hAnsi="宋体" w:cs="宋体"/>
          <w:color w:val="auto"/>
          <w:highlight w:val="none"/>
          <w:lang w:val="en-US" w:eastAsia="zh-CN"/>
        </w:rPr>
        <w:t xml:space="preserve">2. </w:t>
      </w:r>
      <w:r>
        <w:rPr>
          <w:rFonts w:hint="eastAsia" w:ascii="宋体" w:hAnsi="宋体" w:eastAsia="宋体" w:cs="宋体"/>
          <w:color w:val="auto"/>
          <w:highlight w:val="none"/>
          <w:lang w:val="en-US" w:eastAsia="zh-CN"/>
        </w:rPr>
        <w:t>评审标准</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14:paraId="2BF3B98B">
      <w:pPr>
        <w:pStyle w:val="4"/>
        <w:bidi w:val="0"/>
        <w:rPr>
          <w:rFonts w:hint="eastAsia" w:ascii="宋体" w:hAnsi="宋体" w:eastAsia="宋体" w:cs="宋体"/>
          <w:color w:val="auto"/>
          <w:highlight w:val="none"/>
          <w:lang w:val="en-US" w:eastAsia="zh-CN"/>
        </w:rPr>
      </w:pPr>
      <w:bookmarkStart w:id="1733" w:name="_Toc1936571193"/>
      <w:bookmarkStart w:id="1734" w:name="_Toc1561417499"/>
      <w:bookmarkStart w:id="1735" w:name="_Toc1103281425"/>
      <w:bookmarkStart w:id="1736" w:name="_Toc1697351440"/>
      <w:bookmarkStart w:id="1737" w:name="_Toc1369996423"/>
      <w:bookmarkStart w:id="1738" w:name="_Toc703728879"/>
      <w:bookmarkStart w:id="1739" w:name="_Toc2116572763"/>
      <w:bookmarkStart w:id="1740" w:name="_Toc598176313"/>
      <w:bookmarkStart w:id="1741" w:name="_Toc1268693723"/>
      <w:bookmarkStart w:id="1742" w:name="_Toc1758284047"/>
      <w:bookmarkStart w:id="1743" w:name="_Toc575874152"/>
      <w:bookmarkStart w:id="1744" w:name="_Toc1469372765"/>
      <w:bookmarkStart w:id="1745" w:name="_Toc519351005"/>
      <w:bookmarkStart w:id="1746" w:name="_Toc594763086"/>
      <w:bookmarkStart w:id="1747" w:name="_Toc1426594"/>
      <w:bookmarkStart w:id="1748" w:name="_Toc719966056"/>
      <w:bookmarkStart w:id="1749" w:name="_Toc359972299"/>
      <w:r>
        <w:rPr>
          <w:rFonts w:hint="eastAsia" w:ascii="宋体" w:hAnsi="宋体" w:eastAsia="宋体" w:cs="宋体"/>
          <w:color w:val="auto"/>
          <w:highlight w:val="none"/>
          <w:lang w:val="en-US" w:eastAsia="zh-CN"/>
        </w:rPr>
        <w:t>2.1 初步评审标准</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14:paraId="75B2566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初步</w:t>
      </w:r>
      <w:r>
        <w:rPr>
          <w:rFonts w:hint="eastAsia" w:ascii="宋体" w:hAnsi="宋体" w:eastAsia="宋体" w:cs="宋体"/>
          <w:color w:val="auto"/>
          <w:szCs w:val="21"/>
          <w:highlight w:val="none"/>
        </w:rPr>
        <w:t>评审标准：见评标办法前附表。</w:t>
      </w:r>
    </w:p>
    <w:p w14:paraId="30C2EDCB">
      <w:pPr>
        <w:pStyle w:val="4"/>
        <w:bidi w:val="0"/>
        <w:rPr>
          <w:rFonts w:hint="eastAsia" w:ascii="宋体" w:hAnsi="宋体" w:eastAsia="宋体" w:cs="宋体"/>
          <w:b/>
          <w:bCs/>
          <w:color w:val="auto"/>
          <w:highlight w:val="none"/>
          <w:lang w:val="en-US" w:eastAsia="zh-CN"/>
        </w:rPr>
      </w:pPr>
      <w:bookmarkStart w:id="1750" w:name="_Toc1602090848"/>
      <w:bookmarkStart w:id="1751" w:name="_Toc1697009973"/>
      <w:bookmarkStart w:id="1752" w:name="_Toc661541445"/>
      <w:bookmarkStart w:id="1753" w:name="_Toc101193540"/>
      <w:bookmarkStart w:id="1754" w:name="_Toc584693035"/>
      <w:bookmarkStart w:id="1755" w:name="_Toc667674078"/>
      <w:bookmarkStart w:id="1756" w:name="_Toc2133145020"/>
      <w:bookmarkStart w:id="1757" w:name="_Toc1505608593"/>
      <w:bookmarkStart w:id="1758" w:name="_Toc1433197275"/>
      <w:bookmarkStart w:id="1759" w:name="_Toc2088383040"/>
      <w:bookmarkStart w:id="1760" w:name="_Toc2095726310"/>
      <w:bookmarkStart w:id="1761" w:name="_Toc1923531931"/>
      <w:bookmarkStart w:id="1762" w:name="_Toc1487087820"/>
      <w:bookmarkStart w:id="1763" w:name="_Toc161638030"/>
      <w:bookmarkStart w:id="1764" w:name="_Toc1780327649"/>
      <w:bookmarkStart w:id="1765" w:name="_Toc1846088286"/>
      <w:bookmarkStart w:id="1766" w:name="_Toc709275792"/>
      <w:r>
        <w:rPr>
          <w:rFonts w:hint="eastAsia" w:ascii="宋体" w:hAnsi="宋体" w:eastAsia="宋体" w:cs="宋体"/>
          <w:b/>
          <w:bCs/>
          <w:color w:val="auto"/>
          <w:highlight w:val="none"/>
          <w:lang w:val="en-US" w:eastAsia="zh-CN"/>
        </w:rPr>
        <w:t>2.2 详细评审标准</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14:paraId="15445AB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b w:val="0"/>
          <w:bCs w:val="0"/>
          <w:color w:val="auto"/>
          <w:szCs w:val="21"/>
          <w:highlight w:val="none"/>
          <w:lang w:val="en-US" w:eastAsia="zh-CN"/>
        </w:rPr>
        <w:t xml:space="preserve">2.2.1 </w:t>
      </w:r>
      <w:r>
        <w:rPr>
          <w:rFonts w:hint="eastAsia" w:ascii="宋体" w:hAnsi="宋体" w:cs="宋体"/>
          <w:color w:val="auto"/>
          <w:szCs w:val="21"/>
          <w:highlight w:val="none"/>
          <w:lang w:eastAsia="zh-CN"/>
        </w:rPr>
        <w:t>定性评审</w:t>
      </w:r>
      <w:r>
        <w:rPr>
          <w:rFonts w:hint="eastAsia" w:ascii="宋体" w:hAnsi="宋体" w:cs="宋体"/>
          <w:color w:val="auto"/>
          <w:szCs w:val="21"/>
          <w:highlight w:val="none"/>
        </w:rPr>
        <w:t>详细评审标准</w:t>
      </w:r>
      <w:r>
        <w:rPr>
          <w:rFonts w:hint="eastAsia" w:ascii="宋体" w:hAnsi="宋体" w:eastAsia="宋体" w:cs="宋体"/>
          <w:b w:val="0"/>
          <w:bCs w:val="0"/>
          <w:color w:val="auto"/>
          <w:szCs w:val="21"/>
          <w:highlight w:val="none"/>
          <w:lang w:val="en-US" w:eastAsia="zh-CN"/>
        </w:rPr>
        <w:t>：</w:t>
      </w:r>
      <w:r>
        <w:rPr>
          <w:rFonts w:hint="eastAsia" w:ascii="宋体" w:hAnsi="宋体" w:eastAsia="宋体" w:cs="宋体"/>
          <w:color w:val="auto"/>
          <w:szCs w:val="21"/>
          <w:highlight w:val="none"/>
        </w:rPr>
        <w:t>见评标办法前附表</w:t>
      </w:r>
      <w:r>
        <w:rPr>
          <w:rFonts w:hint="eastAsia" w:ascii="宋体" w:hAnsi="宋体" w:eastAsia="宋体" w:cs="宋体"/>
          <w:color w:val="auto"/>
          <w:szCs w:val="21"/>
          <w:highlight w:val="none"/>
          <w:lang w:val="en-US" w:eastAsia="zh-CN"/>
        </w:rPr>
        <w:t>。</w:t>
      </w:r>
    </w:p>
    <w:p w14:paraId="5B8FD313">
      <w:pPr>
        <w:spacing w:line="360" w:lineRule="auto"/>
        <w:ind w:firstLine="420" w:firstLineChars="200"/>
        <w:rPr>
          <w:rFonts w:hint="eastAsia" w:ascii="宋体" w:hAnsi="宋体" w:cs="宋体"/>
          <w:color w:val="auto"/>
          <w:szCs w:val="21"/>
          <w:highlight w:val="none"/>
        </w:rPr>
      </w:pPr>
      <w:r>
        <w:rPr>
          <w:rFonts w:hint="eastAsia" w:ascii="宋体" w:hAnsi="宋体" w:eastAsia="宋体" w:cs="宋体"/>
          <w:b w:val="0"/>
          <w:bCs w:val="0"/>
          <w:color w:val="auto"/>
          <w:szCs w:val="21"/>
          <w:highlight w:val="none"/>
          <w:lang w:val="en-US" w:eastAsia="zh-CN"/>
        </w:rPr>
        <w:t xml:space="preserve">2.2.2 </w:t>
      </w:r>
      <w:r>
        <w:rPr>
          <w:rFonts w:hint="eastAsia" w:ascii="宋体" w:hAnsi="宋体" w:cs="宋体"/>
          <w:color w:val="auto"/>
          <w:szCs w:val="21"/>
          <w:highlight w:val="none"/>
          <w:lang w:eastAsia="zh-CN"/>
        </w:rPr>
        <w:t>定量评审</w:t>
      </w:r>
      <w:r>
        <w:rPr>
          <w:rFonts w:hint="eastAsia" w:ascii="宋体" w:hAnsi="宋体" w:cs="宋体"/>
          <w:color w:val="auto"/>
          <w:szCs w:val="21"/>
          <w:highlight w:val="none"/>
        </w:rPr>
        <w:t>详细评审标准</w:t>
      </w:r>
    </w:p>
    <w:p w14:paraId="0CC11BC5">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分值构成</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见评标办法前附表</w:t>
      </w:r>
      <w:r>
        <w:rPr>
          <w:rFonts w:hint="eastAsia" w:ascii="宋体" w:hAnsi="宋体" w:cs="宋体"/>
          <w:color w:val="auto"/>
          <w:szCs w:val="21"/>
          <w:highlight w:val="none"/>
          <w:lang w:eastAsia="zh-CN"/>
        </w:rPr>
        <w:t>；</w:t>
      </w:r>
    </w:p>
    <w:p w14:paraId="4264AC80">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评标基准价计算</w:t>
      </w:r>
      <w:r>
        <w:rPr>
          <w:rFonts w:hint="eastAsia" w:ascii="宋体" w:hAnsi="宋体" w:eastAsia="宋体" w:cs="宋体"/>
          <w:color w:val="auto"/>
          <w:szCs w:val="21"/>
          <w:highlight w:val="none"/>
          <w:lang w:eastAsia="zh-CN"/>
        </w:rPr>
        <w:t>方法：</w:t>
      </w:r>
      <w:r>
        <w:rPr>
          <w:rFonts w:hint="eastAsia" w:ascii="宋体" w:hAnsi="宋体" w:eastAsia="宋体" w:cs="宋体"/>
          <w:color w:val="auto"/>
          <w:szCs w:val="21"/>
          <w:highlight w:val="none"/>
        </w:rPr>
        <w:t>见评标办法前附表</w:t>
      </w:r>
      <w:r>
        <w:rPr>
          <w:rFonts w:hint="eastAsia" w:ascii="宋体" w:hAnsi="宋体" w:cs="宋体"/>
          <w:color w:val="auto"/>
          <w:szCs w:val="21"/>
          <w:highlight w:val="none"/>
          <w:lang w:eastAsia="zh-CN"/>
        </w:rPr>
        <w:t>；</w:t>
      </w:r>
    </w:p>
    <w:p w14:paraId="18B36F08">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投标报价的偏差率计算</w:t>
      </w:r>
      <w:r>
        <w:rPr>
          <w:rFonts w:hint="eastAsia" w:ascii="宋体" w:hAnsi="宋体" w:eastAsia="宋体" w:cs="宋体"/>
          <w:color w:val="auto"/>
          <w:szCs w:val="21"/>
          <w:highlight w:val="none"/>
          <w:lang w:eastAsia="zh-CN"/>
        </w:rPr>
        <w:t>公式：</w:t>
      </w:r>
      <w:r>
        <w:rPr>
          <w:rFonts w:hint="eastAsia" w:ascii="宋体" w:hAnsi="宋体" w:eastAsia="宋体" w:cs="宋体"/>
          <w:color w:val="auto"/>
          <w:szCs w:val="21"/>
          <w:highlight w:val="none"/>
        </w:rPr>
        <w:t>见评标办法前附表</w:t>
      </w:r>
      <w:r>
        <w:rPr>
          <w:rFonts w:hint="eastAsia" w:ascii="宋体" w:hAnsi="宋体" w:cs="宋体"/>
          <w:color w:val="auto"/>
          <w:szCs w:val="21"/>
          <w:highlight w:val="none"/>
          <w:lang w:eastAsia="zh-CN"/>
        </w:rPr>
        <w:t>；</w:t>
      </w:r>
    </w:p>
    <w:p w14:paraId="1EDCF293">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4）评分标准：</w:t>
      </w:r>
      <w:r>
        <w:rPr>
          <w:rFonts w:hint="eastAsia" w:ascii="宋体" w:hAnsi="宋体" w:eastAsia="宋体" w:cs="宋体"/>
          <w:color w:val="auto"/>
          <w:szCs w:val="21"/>
          <w:highlight w:val="none"/>
          <w:lang w:eastAsia="zh-CN"/>
        </w:rPr>
        <w:t>见评标办法前附表。</w:t>
      </w:r>
    </w:p>
    <w:p w14:paraId="1FC9B2C2">
      <w:pPr>
        <w:pStyle w:val="3"/>
        <w:bidi w:val="0"/>
        <w:rPr>
          <w:rFonts w:hint="eastAsia" w:ascii="宋体" w:hAnsi="宋体" w:eastAsia="宋体" w:cs="宋体"/>
          <w:b/>
          <w:bCs/>
          <w:color w:val="auto"/>
          <w:highlight w:val="none"/>
          <w:lang w:val="en-US" w:eastAsia="zh-CN"/>
        </w:rPr>
      </w:pPr>
      <w:bookmarkStart w:id="1767" w:name="_Toc1169281885"/>
      <w:bookmarkStart w:id="1768" w:name="_Toc1490924542"/>
      <w:bookmarkStart w:id="1769" w:name="_Toc1717190697"/>
      <w:bookmarkStart w:id="1770" w:name="_Toc867220854"/>
      <w:bookmarkStart w:id="1771" w:name="_Toc1831774316"/>
      <w:bookmarkStart w:id="1772" w:name="_Toc1101366266"/>
      <w:bookmarkStart w:id="1773" w:name="_Toc1436702866"/>
      <w:bookmarkStart w:id="1774" w:name="_Toc182305804"/>
      <w:bookmarkStart w:id="1775" w:name="_Toc685251205"/>
      <w:bookmarkStart w:id="1776" w:name="_Toc1690538636"/>
      <w:bookmarkStart w:id="1777" w:name="_Toc1951565689"/>
      <w:bookmarkStart w:id="1778" w:name="_Toc815483490"/>
      <w:bookmarkStart w:id="1779" w:name="_Toc1536447498"/>
      <w:bookmarkStart w:id="1780" w:name="_Toc1317122835"/>
      <w:bookmarkStart w:id="1781" w:name="_Toc481008554"/>
      <w:bookmarkStart w:id="1782" w:name="_Toc769564932"/>
      <w:bookmarkStart w:id="1783" w:name="_Toc1282992548"/>
      <w:bookmarkStart w:id="1784" w:name="_Toc1730308697"/>
      <w:bookmarkStart w:id="1785" w:name="_Toc1949045300"/>
      <w:bookmarkStart w:id="1786" w:name="_Toc1611033039"/>
      <w:bookmarkStart w:id="1787" w:name="_Toc626813305"/>
      <w:bookmarkStart w:id="1788" w:name="_Toc278541321"/>
      <w:bookmarkStart w:id="1789" w:name="_Toc1392240546"/>
      <w:bookmarkStart w:id="1790" w:name="_Toc460631527"/>
      <w:bookmarkStart w:id="1791" w:name="_Toc2122701925"/>
      <w:bookmarkStart w:id="1792" w:name="_Toc1054891817"/>
      <w:bookmarkStart w:id="1793" w:name="_Toc644508435"/>
      <w:bookmarkStart w:id="1794" w:name="_Toc96903633"/>
      <w:bookmarkStart w:id="1795" w:name="_Toc736687881"/>
      <w:bookmarkStart w:id="1796" w:name="_Toc1760288057"/>
      <w:bookmarkStart w:id="1797" w:name="_Toc1281153826"/>
      <w:bookmarkStart w:id="1798" w:name="_Toc1303311419"/>
      <w:bookmarkStart w:id="1799" w:name="_Toc1173576269"/>
      <w:bookmarkStart w:id="1800" w:name="_Toc25206"/>
      <w:bookmarkStart w:id="1801" w:name="_Toc88735809"/>
      <w:r>
        <w:rPr>
          <w:rFonts w:hint="eastAsia" w:ascii="宋体" w:hAnsi="宋体" w:eastAsia="宋体" w:cs="宋体"/>
          <w:b/>
          <w:bCs/>
          <w:color w:val="auto"/>
          <w:highlight w:val="none"/>
          <w:lang w:val="en-US" w:eastAsia="zh-CN"/>
        </w:rPr>
        <w:t>3</w:t>
      </w:r>
      <w:r>
        <w:rPr>
          <w:rFonts w:hint="eastAsia" w:ascii="宋体" w:hAnsi="宋体" w:cs="宋体"/>
          <w:b/>
          <w:bCs/>
          <w:color w:val="auto"/>
          <w:highlight w:val="none"/>
          <w:lang w:val="en-US" w:eastAsia="zh-CN"/>
        </w:rPr>
        <w:t>.</w:t>
      </w:r>
      <w:r>
        <w:rPr>
          <w:rFonts w:hint="eastAsia" w:ascii="宋体" w:hAnsi="宋体" w:eastAsia="宋体" w:cs="宋体"/>
          <w:b/>
          <w:bCs/>
          <w:color w:val="auto"/>
          <w:highlight w:val="none"/>
          <w:lang w:val="en-US" w:eastAsia="zh-CN"/>
        </w:rPr>
        <w:t xml:space="preserve"> 评标准备</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14:paraId="4E5C2716">
      <w:pPr>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评标委员会成员到达评标现场时应完成电子签到以证明其出席。评标委员会首先推选一名评标委员会主任</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评标委员会主任负责评标活动的组织领导工作。评标委员会主任在与其他评标委员会成员协商的基础上，可以将评标委员会划分为技术组和商务组。</w:t>
      </w:r>
    </w:p>
    <w:p w14:paraId="6E1A5954">
      <w:pPr>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评标委员会主任应组织评标委员会成员认真研究招标文件，了解和熟悉招标目的、招标范围、主要合同条件、技术标准和要求、质量标准和工期要求等，掌握评标标准和方法，熟悉本章及附件中包括的评标表格的使用，如果本章及附件所附的表格不能满足评标所需时，评标委员会应补充编制评标所需的表格，尤其是用于详细分析计算的表格。未在招标文件中规定的标准和方法不得作为评标的依据。</w:t>
      </w:r>
    </w:p>
    <w:p w14:paraId="17724A2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highlight w:val="none"/>
        </w:rPr>
        <w:t>招标人或招标代理机构应向评标委员会提供评标所需的信息和数据，包括招标文件、</w:t>
      </w:r>
      <w:r>
        <w:rPr>
          <w:rFonts w:hint="eastAsia" w:ascii="宋体" w:hAnsi="宋体" w:eastAsia="宋体" w:cs="宋体"/>
          <w:color w:val="auto"/>
          <w:highlight w:val="none"/>
          <w:lang w:val="en-US" w:eastAsia="zh-CN"/>
        </w:rPr>
        <w:t>通过资格审查及入围筛选</w:t>
      </w:r>
      <w:r>
        <w:rPr>
          <w:rFonts w:hint="eastAsia" w:ascii="宋体" w:hAnsi="宋体" w:eastAsia="宋体" w:cs="宋体"/>
          <w:color w:val="auto"/>
          <w:highlight w:val="none"/>
        </w:rPr>
        <w:t>的投标文件、开标会记录、</w:t>
      </w:r>
      <w:r>
        <w:rPr>
          <w:rFonts w:hint="eastAsia" w:ascii="宋体" w:hAnsi="宋体" w:eastAsia="宋体" w:cs="宋体"/>
          <w:color w:val="auto"/>
          <w:szCs w:val="21"/>
          <w:highlight w:val="none"/>
          <w:lang w:val="en-US" w:eastAsia="zh-CN"/>
        </w:rPr>
        <w:t>资格审查及入围筛选报告、</w:t>
      </w:r>
      <w:r>
        <w:rPr>
          <w:rFonts w:hint="eastAsia" w:ascii="宋体" w:hAnsi="宋体" w:cs="宋体"/>
          <w:color w:val="auto"/>
          <w:highlight w:val="none"/>
          <w:lang w:eastAsia="zh-CN"/>
        </w:rPr>
        <w:t>最高投标限价</w:t>
      </w:r>
      <w:r>
        <w:rPr>
          <w:rFonts w:hint="eastAsia" w:ascii="宋体" w:hAnsi="宋体" w:eastAsia="宋体" w:cs="宋体"/>
          <w:color w:val="auto"/>
          <w:highlight w:val="none"/>
        </w:rPr>
        <w:t>、工程所在地工程造价管理部门颁布的工程造价信息、有关的法律、法规、规章、国家标准以及招标人或评标委员会认为必要的其他信息和数据。</w:t>
      </w:r>
    </w:p>
    <w:p w14:paraId="4D929FC7">
      <w:pPr>
        <w:pStyle w:val="3"/>
        <w:bidi w:val="0"/>
        <w:rPr>
          <w:rFonts w:hint="eastAsia" w:ascii="宋体" w:hAnsi="宋体" w:eastAsia="宋体" w:cs="宋体"/>
          <w:b/>
          <w:bCs/>
          <w:color w:val="auto"/>
          <w:highlight w:val="none"/>
          <w:lang w:val="en-US" w:eastAsia="zh-CN"/>
        </w:rPr>
      </w:pPr>
      <w:bookmarkStart w:id="1802" w:name="_Toc818028363"/>
      <w:bookmarkStart w:id="1803" w:name="_Toc722384362"/>
      <w:bookmarkStart w:id="1804" w:name="_Toc417455907"/>
      <w:bookmarkStart w:id="1805" w:name="_Toc589977629"/>
      <w:bookmarkStart w:id="1806" w:name="_Toc579275828"/>
      <w:bookmarkStart w:id="1807" w:name="_Toc1576287166"/>
      <w:bookmarkStart w:id="1808" w:name="_Toc32655007"/>
      <w:bookmarkStart w:id="1809" w:name="_Toc358497233"/>
      <w:bookmarkStart w:id="1810" w:name="_Toc1898798202"/>
      <w:bookmarkStart w:id="1811" w:name="_Toc807685799"/>
      <w:bookmarkStart w:id="1812" w:name="_Toc1491913822"/>
      <w:bookmarkStart w:id="1813" w:name="_Toc307475751"/>
      <w:bookmarkStart w:id="1814" w:name="_Toc167051814"/>
      <w:bookmarkStart w:id="1815" w:name="_Toc1453333503"/>
      <w:bookmarkStart w:id="1816" w:name="_Toc674191763"/>
      <w:bookmarkStart w:id="1817" w:name="_Toc1940320936"/>
      <w:bookmarkStart w:id="1818" w:name="_Toc80176143"/>
      <w:bookmarkStart w:id="1819" w:name="_Toc68813516"/>
      <w:bookmarkStart w:id="1820" w:name="_Toc1554569662"/>
      <w:bookmarkStart w:id="1821" w:name="_Toc2140895895"/>
      <w:bookmarkStart w:id="1822" w:name="_Toc1290852796"/>
      <w:bookmarkStart w:id="1823" w:name="_Toc784130342"/>
      <w:bookmarkStart w:id="1824" w:name="_Toc963335034"/>
      <w:bookmarkStart w:id="1825" w:name="_Toc858436975"/>
      <w:bookmarkStart w:id="1826" w:name="_Toc1844012322"/>
      <w:bookmarkStart w:id="1827" w:name="_Toc686594797"/>
      <w:bookmarkStart w:id="1828" w:name="_Toc2024435081"/>
      <w:bookmarkStart w:id="1829" w:name="_Toc638728822"/>
      <w:bookmarkStart w:id="1830" w:name="_Toc1804107601"/>
      <w:bookmarkStart w:id="1831" w:name="_Toc876610658"/>
      <w:bookmarkStart w:id="1832" w:name="_Toc1008919253"/>
      <w:bookmarkStart w:id="1833" w:name="_Toc15233"/>
      <w:bookmarkStart w:id="1834" w:name="_Toc700892617"/>
      <w:bookmarkStart w:id="1835" w:name="_Toc451362510"/>
      <w:bookmarkStart w:id="1836" w:name="_Toc66926483"/>
      <w:r>
        <w:rPr>
          <w:rFonts w:hint="eastAsia" w:ascii="宋体" w:hAnsi="宋体" w:eastAsia="宋体" w:cs="宋体"/>
          <w:b/>
          <w:bCs/>
          <w:color w:val="auto"/>
          <w:highlight w:val="none"/>
          <w:lang w:val="en-US" w:eastAsia="zh-CN"/>
        </w:rPr>
        <w:t>4</w:t>
      </w:r>
      <w:r>
        <w:rPr>
          <w:rFonts w:hint="eastAsia" w:ascii="宋体" w:hAnsi="宋体" w:cs="宋体"/>
          <w:b/>
          <w:bCs/>
          <w:color w:val="auto"/>
          <w:highlight w:val="none"/>
          <w:lang w:val="en-US" w:eastAsia="zh-CN"/>
        </w:rPr>
        <w:t>.</w:t>
      </w:r>
      <w:r>
        <w:rPr>
          <w:rFonts w:hint="eastAsia" w:ascii="宋体" w:hAnsi="宋体" w:eastAsia="宋体" w:cs="宋体"/>
          <w:b/>
          <w:bCs/>
          <w:color w:val="auto"/>
          <w:highlight w:val="none"/>
          <w:lang w:val="en-US" w:eastAsia="zh-CN"/>
        </w:rPr>
        <w:t xml:space="preserve"> 评标程序（</w:t>
      </w:r>
      <w:r>
        <w:rPr>
          <w:rFonts w:hint="eastAsia" w:ascii="宋体" w:hAnsi="宋体" w:cs="宋体"/>
          <w:b/>
          <w:bCs/>
          <w:color w:val="auto"/>
          <w:highlight w:val="none"/>
          <w:lang w:val="en-US" w:eastAsia="zh-CN"/>
        </w:rPr>
        <w:t>适用于</w:t>
      </w:r>
      <w:r>
        <w:rPr>
          <w:rFonts w:hint="eastAsia" w:ascii="宋体" w:hAnsi="宋体" w:eastAsia="宋体" w:cs="宋体"/>
          <w:b/>
          <w:bCs/>
          <w:color w:val="auto"/>
          <w:highlight w:val="none"/>
          <w:lang w:val="en-US" w:eastAsia="zh-CN"/>
        </w:rPr>
        <w:t>定性评审）</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14:paraId="290BD84A">
      <w:pPr>
        <w:pStyle w:val="4"/>
        <w:bidi w:val="0"/>
        <w:rPr>
          <w:rFonts w:hint="eastAsia" w:ascii="宋体" w:hAnsi="宋体" w:eastAsia="宋体" w:cs="宋体"/>
          <w:color w:val="auto"/>
          <w:highlight w:val="none"/>
          <w:lang w:val="en-US" w:eastAsia="zh-CN"/>
        </w:rPr>
      </w:pPr>
      <w:bookmarkStart w:id="1837" w:name="_Toc208710573"/>
      <w:bookmarkStart w:id="1838" w:name="_Toc932519129"/>
      <w:bookmarkStart w:id="1839" w:name="_Toc2079351136"/>
      <w:bookmarkStart w:id="1840" w:name="_Toc1352613889"/>
      <w:bookmarkStart w:id="1841" w:name="_Toc1914639013"/>
      <w:bookmarkStart w:id="1842" w:name="_Toc867276659"/>
      <w:bookmarkStart w:id="1843" w:name="_Toc1502926684"/>
      <w:bookmarkStart w:id="1844" w:name="_Toc115120874"/>
      <w:bookmarkStart w:id="1845" w:name="_Toc547459001"/>
      <w:bookmarkStart w:id="1846" w:name="_Toc932546521"/>
      <w:bookmarkStart w:id="1847" w:name="_Toc289115193"/>
      <w:bookmarkStart w:id="1848" w:name="_Toc727909082"/>
      <w:bookmarkStart w:id="1849" w:name="_Toc1270015927"/>
      <w:bookmarkStart w:id="1850" w:name="_Toc2115068264"/>
      <w:bookmarkStart w:id="1851" w:name="_Toc2032023716"/>
      <w:bookmarkStart w:id="1852" w:name="_Toc345265691"/>
      <w:bookmarkStart w:id="1853" w:name="_Toc1977163225"/>
      <w:r>
        <w:rPr>
          <w:rFonts w:hint="eastAsia" w:ascii="宋体" w:hAnsi="宋体" w:eastAsia="宋体" w:cs="宋体"/>
          <w:color w:val="auto"/>
          <w:highlight w:val="none"/>
          <w:lang w:val="en-US" w:eastAsia="zh-CN"/>
        </w:rPr>
        <w:t>4.1 评标程序表</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14:paraId="44FF7B3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评标委员会成员应按《评标程序表》（定性评审）规定的程序及步骤对投标文件进行独立评审，并由评标委员会汇总评审意见，推荐定标候选人，出具评标报告。</w:t>
      </w:r>
    </w:p>
    <w:p w14:paraId="178CE69A">
      <w:pPr>
        <w:keepNext w:val="0"/>
        <w:keepLines w:val="0"/>
        <w:pageBreakBefore w:val="0"/>
        <w:kinsoku/>
        <w:wordWrap/>
        <w:overflowPunct/>
        <w:topLinePunct w:val="0"/>
        <w:autoSpaceDE/>
        <w:autoSpaceDN/>
        <w:bidi w:val="0"/>
        <w:spacing w:line="360" w:lineRule="auto"/>
        <w:ind w:left="425"/>
        <w:jc w:val="center"/>
        <w:textAlignment w:val="auto"/>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rPr>
        <w:t>评标程序表</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lang w:val="en-US" w:eastAsia="zh-CN"/>
        </w:rPr>
        <w:t>定性评审</w:t>
      </w:r>
      <w:r>
        <w:rPr>
          <w:rFonts w:hint="eastAsia" w:ascii="宋体" w:hAnsi="宋体" w:eastAsia="宋体" w:cs="宋体"/>
          <w:b/>
          <w:color w:val="auto"/>
          <w:szCs w:val="21"/>
          <w:highlight w:val="none"/>
          <w:lang w:eastAsia="zh-CN"/>
        </w:rPr>
        <w:t>）</w:t>
      </w:r>
    </w:p>
    <w:tbl>
      <w:tblPr>
        <w:tblStyle w:val="27"/>
        <w:tblW w:w="7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842"/>
        <w:gridCol w:w="5253"/>
      </w:tblGrid>
      <w:tr w14:paraId="701A2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2659" w:type="dxa"/>
            <w:gridSpan w:val="2"/>
            <w:noWrap w:val="0"/>
            <w:vAlign w:val="center"/>
          </w:tcPr>
          <w:p w14:paraId="0797FC75">
            <w:pPr>
              <w:keepNext w:val="0"/>
              <w:keepLines w:val="0"/>
              <w:pageBreakBefore w:val="0"/>
              <w:widowControl/>
              <w:kinsoku/>
              <w:wordWrap/>
              <w:overflowPunct/>
              <w:topLinePunct w:val="0"/>
              <w:autoSpaceDE/>
              <w:autoSpaceDN/>
              <w:bidi w:val="0"/>
              <w:snapToGrid/>
              <w:spacing w:line="240" w:lineRule="auto"/>
              <w:ind w:firstLine="422" w:firstLineChars="0"/>
              <w:jc w:val="center"/>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spacing w:val="0"/>
                <w:kern w:val="0"/>
                <w:szCs w:val="21"/>
                <w:highlight w:val="none"/>
                <w:lang w:val="en-US" w:eastAsia="zh-CN"/>
              </w:rPr>
              <w:t>评标程</w:t>
            </w:r>
            <w:r>
              <w:rPr>
                <w:rFonts w:hint="eastAsia" w:ascii="宋体" w:hAnsi="宋体" w:eastAsia="宋体" w:cs="宋体"/>
                <w:b/>
                <w:bCs/>
                <w:color w:val="auto"/>
                <w:kern w:val="0"/>
                <w:szCs w:val="21"/>
                <w:highlight w:val="none"/>
                <w:lang w:val="en-US" w:eastAsia="zh-CN"/>
              </w:rPr>
              <w:t>序</w:t>
            </w:r>
          </w:p>
        </w:tc>
        <w:tc>
          <w:tcPr>
            <w:tcW w:w="5253" w:type="dxa"/>
            <w:noWrap w:val="0"/>
            <w:vAlign w:val="center"/>
          </w:tcPr>
          <w:p w14:paraId="6EC5825C">
            <w:pPr>
              <w:keepNext w:val="0"/>
              <w:keepLines w:val="0"/>
              <w:pageBreakBefore w:val="0"/>
              <w:widowControl/>
              <w:kinsoku/>
              <w:wordWrap/>
              <w:overflowPunct/>
              <w:topLinePunct w:val="0"/>
              <w:autoSpaceDE/>
              <w:autoSpaceDN/>
              <w:bidi w:val="0"/>
              <w:snapToGrid/>
              <w:spacing w:line="240" w:lineRule="auto"/>
              <w:ind w:firstLine="422" w:firstLineChars="0"/>
              <w:jc w:val="center"/>
              <w:textAlignment w:val="auto"/>
              <w:rPr>
                <w:rFonts w:hint="eastAsia" w:ascii="宋体" w:hAnsi="宋体" w:eastAsia="宋体" w:cs="宋体"/>
                <w:b/>
                <w:bCs/>
                <w:color w:val="auto"/>
                <w:kern w:val="0"/>
                <w:szCs w:val="21"/>
                <w:highlight w:val="none"/>
                <w:lang w:val="en-US" w:eastAsia="zh-CN"/>
              </w:rPr>
            </w:pPr>
            <w:r>
              <w:rPr>
                <w:rFonts w:hint="eastAsia" w:ascii="宋体" w:hAnsi="宋体" w:eastAsia="宋体" w:cs="宋体"/>
                <w:b/>
                <w:bCs/>
                <w:color w:val="auto"/>
                <w:spacing w:val="0"/>
                <w:kern w:val="0"/>
                <w:szCs w:val="21"/>
                <w:highlight w:val="none"/>
                <w:lang w:val="en-US" w:eastAsia="zh-CN"/>
              </w:rPr>
              <w:t>工作程</w:t>
            </w:r>
            <w:r>
              <w:rPr>
                <w:rFonts w:hint="eastAsia" w:ascii="宋体" w:hAnsi="宋体" w:eastAsia="宋体" w:cs="宋体"/>
                <w:b/>
                <w:bCs/>
                <w:color w:val="auto"/>
                <w:kern w:val="0"/>
                <w:szCs w:val="21"/>
                <w:highlight w:val="none"/>
                <w:lang w:val="en-US" w:eastAsia="zh-CN"/>
              </w:rPr>
              <w:t>序</w:t>
            </w:r>
          </w:p>
        </w:tc>
      </w:tr>
      <w:tr w14:paraId="0D4DC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817" w:type="dxa"/>
            <w:noWrap w:val="0"/>
            <w:vAlign w:val="center"/>
          </w:tcPr>
          <w:p w14:paraId="337DAF11">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highlight w:val="none"/>
                <w:vertAlign w:val="baseline"/>
              </w:rPr>
            </w:pPr>
            <w:r>
              <w:rPr>
                <w:rFonts w:hint="eastAsia" w:ascii="宋体" w:hAnsi="宋体" w:eastAsia="宋体" w:cs="宋体"/>
                <w:color w:val="auto"/>
                <w:spacing w:val="0"/>
                <w:kern w:val="0"/>
                <w:szCs w:val="21"/>
                <w:highlight w:val="none"/>
              </w:rPr>
              <w:t>程序</w:t>
            </w:r>
            <w:r>
              <w:rPr>
                <w:rFonts w:hint="eastAsia" w:ascii="宋体" w:hAnsi="宋体" w:eastAsia="宋体" w:cs="宋体"/>
                <w:color w:val="auto"/>
                <w:kern w:val="0"/>
                <w:szCs w:val="21"/>
                <w:highlight w:val="none"/>
                <w:lang w:val="en-US" w:eastAsia="zh-CN"/>
              </w:rPr>
              <w:t>1</w:t>
            </w:r>
          </w:p>
        </w:tc>
        <w:tc>
          <w:tcPr>
            <w:tcW w:w="1842" w:type="dxa"/>
            <w:noWrap w:val="0"/>
            <w:vAlign w:val="center"/>
          </w:tcPr>
          <w:p w14:paraId="3D5F4845">
            <w:pPr>
              <w:keepNext w:val="0"/>
              <w:keepLines w:val="0"/>
              <w:pageBreakBefore w:val="0"/>
              <w:widowControl/>
              <w:kinsoku/>
              <w:wordWrap/>
              <w:overflowPunct/>
              <w:topLinePunct w:val="0"/>
              <w:autoSpaceDE/>
              <w:autoSpaceDN/>
              <w:bidi w:val="0"/>
              <w:adjustRightInd w:val="0"/>
              <w:snapToGrid w:val="0"/>
              <w:spacing w:before="157" w:beforeLines="50" w:after="157" w:afterLines="50" w:line="240" w:lineRule="auto"/>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pacing w:val="0"/>
                <w:kern w:val="0"/>
                <w:szCs w:val="21"/>
                <w:highlight w:val="none"/>
                <w:lang w:val="en-US" w:eastAsia="zh-CN"/>
              </w:rPr>
              <w:t>经济标</w:t>
            </w:r>
            <w:r>
              <w:rPr>
                <w:rFonts w:hint="eastAsia" w:ascii="宋体" w:hAnsi="宋体" w:eastAsia="宋体" w:cs="宋体"/>
                <w:color w:val="auto"/>
                <w:spacing w:val="0"/>
                <w:kern w:val="0"/>
                <w:szCs w:val="21"/>
                <w:highlight w:val="none"/>
              </w:rPr>
              <w:t>评审</w:t>
            </w:r>
          </w:p>
        </w:tc>
        <w:tc>
          <w:tcPr>
            <w:tcW w:w="5253" w:type="dxa"/>
            <w:noWrap w:val="0"/>
            <w:vAlign w:val="center"/>
          </w:tcPr>
          <w:p w14:paraId="1CD6B43C">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spacing w:val="0"/>
                <w:kern w:val="0"/>
                <w:szCs w:val="21"/>
                <w:highlight w:val="none"/>
                <w:lang w:val="en-US" w:eastAsia="zh-CN"/>
              </w:rPr>
              <w:t>对投标人的经济标进行评审</w:t>
            </w:r>
            <w:r>
              <w:rPr>
                <w:rFonts w:hint="eastAsia" w:ascii="宋体" w:hAnsi="宋体" w:eastAsia="宋体" w:cs="宋体"/>
                <w:color w:val="auto"/>
                <w:kern w:val="0"/>
                <w:szCs w:val="21"/>
                <w:highlight w:val="none"/>
                <w:lang w:val="en-US" w:eastAsia="zh-CN"/>
              </w:rPr>
              <w:t>。</w:t>
            </w:r>
          </w:p>
        </w:tc>
      </w:tr>
      <w:tr w14:paraId="4412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17" w:type="dxa"/>
            <w:noWrap w:val="0"/>
            <w:vAlign w:val="center"/>
          </w:tcPr>
          <w:p w14:paraId="5509992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highlight w:val="none"/>
                <w:vertAlign w:val="baseline"/>
              </w:rPr>
            </w:pPr>
            <w:r>
              <w:rPr>
                <w:rFonts w:hint="eastAsia" w:ascii="宋体" w:hAnsi="宋体" w:eastAsia="宋体" w:cs="宋体"/>
                <w:color w:val="auto"/>
                <w:spacing w:val="0"/>
                <w:kern w:val="0"/>
                <w:szCs w:val="21"/>
                <w:highlight w:val="none"/>
              </w:rPr>
              <w:t>程序</w:t>
            </w:r>
            <w:r>
              <w:rPr>
                <w:rFonts w:hint="eastAsia" w:ascii="宋体" w:hAnsi="宋体" w:eastAsia="宋体" w:cs="宋体"/>
                <w:color w:val="auto"/>
                <w:kern w:val="0"/>
                <w:szCs w:val="21"/>
                <w:highlight w:val="none"/>
                <w:lang w:val="en-US" w:eastAsia="zh-CN"/>
              </w:rPr>
              <w:t>2</w:t>
            </w:r>
          </w:p>
        </w:tc>
        <w:tc>
          <w:tcPr>
            <w:tcW w:w="1842" w:type="dxa"/>
            <w:noWrap w:val="0"/>
            <w:vAlign w:val="center"/>
          </w:tcPr>
          <w:p w14:paraId="007D463D">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pacing w:val="0"/>
                <w:kern w:val="0"/>
                <w:szCs w:val="21"/>
                <w:highlight w:val="none"/>
                <w:lang w:val="en-US" w:eastAsia="zh-CN"/>
              </w:rPr>
              <w:t>资信标</w:t>
            </w:r>
            <w:r>
              <w:rPr>
                <w:rFonts w:hint="eastAsia" w:ascii="宋体" w:hAnsi="宋体" w:eastAsia="宋体" w:cs="宋体"/>
                <w:color w:val="auto"/>
                <w:spacing w:val="0"/>
                <w:kern w:val="0"/>
                <w:szCs w:val="21"/>
                <w:highlight w:val="none"/>
              </w:rPr>
              <w:t>评</w:t>
            </w:r>
            <w:r>
              <w:rPr>
                <w:rFonts w:hint="eastAsia" w:ascii="宋体" w:hAnsi="宋体" w:eastAsia="宋体" w:cs="宋体"/>
                <w:color w:val="auto"/>
                <w:kern w:val="0"/>
                <w:szCs w:val="21"/>
                <w:highlight w:val="none"/>
              </w:rPr>
              <w:t>审</w:t>
            </w:r>
          </w:p>
        </w:tc>
        <w:tc>
          <w:tcPr>
            <w:tcW w:w="5253" w:type="dxa"/>
            <w:noWrap w:val="0"/>
            <w:vAlign w:val="center"/>
          </w:tcPr>
          <w:p w14:paraId="6DABD462">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spacing w:val="0"/>
                <w:kern w:val="0"/>
                <w:szCs w:val="21"/>
                <w:highlight w:val="none"/>
                <w:lang w:val="en-US" w:eastAsia="zh-CN"/>
              </w:rPr>
              <w:t>对经济标评审合格的投标人的资信标进行评审</w:t>
            </w:r>
            <w:r>
              <w:rPr>
                <w:rFonts w:hint="eastAsia" w:ascii="宋体" w:hAnsi="宋体" w:eastAsia="宋体" w:cs="宋体"/>
                <w:color w:val="auto"/>
                <w:kern w:val="0"/>
                <w:szCs w:val="21"/>
                <w:highlight w:val="none"/>
                <w:lang w:val="en-US" w:eastAsia="zh-CN"/>
              </w:rPr>
              <w:t>。</w:t>
            </w:r>
          </w:p>
        </w:tc>
      </w:tr>
      <w:tr w14:paraId="5747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817" w:type="dxa"/>
            <w:noWrap w:val="0"/>
            <w:vAlign w:val="center"/>
          </w:tcPr>
          <w:p w14:paraId="45DB320B">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highlight w:val="none"/>
                <w:vertAlign w:val="baseline"/>
              </w:rPr>
            </w:pPr>
            <w:r>
              <w:rPr>
                <w:rFonts w:hint="eastAsia" w:ascii="宋体" w:hAnsi="宋体" w:eastAsia="宋体" w:cs="宋体"/>
                <w:color w:val="auto"/>
                <w:spacing w:val="0"/>
                <w:kern w:val="0"/>
                <w:szCs w:val="21"/>
                <w:highlight w:val="none"/>
              </w:rPr>
              <w:t>程序</w:t>
            </w:r>
            <w:r>
              <w:rPr>
                <w:rFonts w:hint="eastAsia" w:ascii="宋体" w:hAnsi="宋体" w:eastAsia="宋体" w:cs="宋体"/>
                <w:color w:val="auto"/>
                <w:kern w:val="0"/>
                <w:szCs w:val="21"/>
                <w:highlight w:val="none"/>
                <w:lang w:val="en-US" w:eastAsia="zh-CN"/>
              </w:rPr>
              <w:t>3</w:t>
            </w:r>
          </w:p>
        </w:tc>
        <w:tc>
          <w:tcPr>
            <w:tcW w:w="1842" w:type="dxa"/>
            <w:noWrap w:val="0"/>
            <w:vAlign w:val="center"/>
          </w:tcPr>
          <w:p w14:paraId="3A27194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pacing w:val="0"/>
                <w:highlight w:val="none"/>
                <w:vertAlign w:val="baseline"/>
                <w:lang w:val="en-US" w:eastAsia="zh-CN"/>
              </w:rPr>
              <w:t>技术标评</w:t>
            </w:r>
            <w:r>
              <w:rPr>
                <w:rFonts w:hint="eastAsia" w:ascii="宋体" w:hAnsi="宋体" w:eastAsia="宋体" w:cs="宋体"/>
                <w:color w:val="auto"/>
                <w:highlight w:val="none"/>
                <w:vertAlign w:val="baseline"/>
                <w:lang w:val="en-US" w:eastAsia="zh-CN"/>
              </w:rPr>
              <w:t>审</w:t>
            </w:r>
          </w:p>
        </w:tc>
        <w:tc>
          <w:tcPr>
            <w:tcW w:w="5253" w:type="dxa"/>
            <w:noWrap w:val="0"/>
            <w:vAlign w:val="center"/>
          </w:tcPr>
          <w:p w14:paraId="1D66B658">
            <w:pPr>
              <w:keepNext w:val="0"/>
              <w:keepLines w:val="0"/>
              <w:pageBreakBefore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color w:val="auto"/>
                <w:highlight w:val="none"/>
                <w:vertAlign w:val="baseline"/>
                <w:lang w:val="en-US" w:eastAsia="zh-CN"/>
              </w:rPr>
            </w:pPr>
            <w:r>
              <w:rPr>
                <w:rFonts w:hint="eastAsia" w:ascii="宋体" w:hAnsi="宋体" w:eastAsia="宋体" w:cs="宋体"/>
                <w:color w:val="auto"/>
                <w:spacing w:val="0"/>
                <w:kern w:val="0"/>
                <w:szCs w:val="21"/>
                <w:highlight w:val="none"/>
                <w:lang w:val="en-US" w:eastAsia="zh-CN"/>
              </w:rPr>
              <w:t>对资信标评审合格的投标人的技术标进行评审</w:t>
            </w:r>
            <w:r>
              <w:rPr>
                <w:rFonts w:hint="eastAsia" w:ascii="宋体" w:hAnsi="宋体" w:eastAsia="宋体" w:cs="宋体"/>
                <w:color w:val="auto"/>
                <w:kern w:val="0"/>
                <w:szCs w:val="21"/>
                <w:highlight w:val="none"/>
                <w:lang w:val="en-US" w:eastAsia="zh-CN"/>
              </w:rPr>
              <w:t>。</w:t>
            </w:r>
          </w:p>
        </w:tc>
      </w:tr>
      <w:tr w14:paraId="725EE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817" w:type="dxa"/>
            <w:noWrap w:val="0"/>
            <w:vAlign w:val="center"/>
          </w:tcPr>
          <w:p w14:paraId="6F7C2FC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spacing w:val="0"/>
                <w:kern w:val="0"/>
                <w:szCs w:val="21"/>
                <w:highlight w:val="none"/>
                <w:lang w:val="en-US" w:eastAsia="zh-CN"/>
              </w:rPr>
              <w:t>程序</w:t>
            </w:r>
            <w:r>
              <w:rPr>
                <w:rFonts w:hint="eastAsia" w:ascii="宋体" w:hAnsi="宋体" w:eastAsia="宋体" w:cs="宋体"/>
                <w:color w:val="auto"/>
                <w:kern w:val="0"/>
                <w:szCs w:val="21"/>
                <w:highlight w:val="none"/>
                <w:lang w:val="en-US" w:eastAsia="zh-CN"/>
              </w:rPr>
              <w:t>4</w:t>
            </w:r>
          </w:p>
        </w:tc>
        <w:tc>
          <w:tcPr>
            <w:tcW w:w="1842" w:type="dxa"/>
            <w:noWrap w:val="0"/>
            <w:vAlign w:val="center"/>
          </w:tcPr>
          <w:p w14:paraId="525F76E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Cs w:val="21"/>
                <w:highlight w:val="none"/>
              </w:rPr>
            </w:pPr>
            <w:r>
              <w:rPr>
                <w:rFonts w:hint="eastAsia" w:ascii="宋体" w:hAnsi="宋体" w:eastAsia="宋体" w:cs="宋体"/>
                <w:color w:val="auto"/>
                <w:spacing w:val="0"/>
                <w:szCs w:val="21"/>
                <w:highlight w:val="none"/>
                <w:lang w:val="en-US" w:eastAsia="zh-CN"/>
              </w:rPr>
              <w:t>定标候选人推</w:t>
            </w:r>
            <w:r>
              <w:rPr>
                <w:rFonts w:hint="eastAsia" w:ascii="宋体" w:hAnsi="宋体" w:eastAsia="宋体" w:cs="宋体"/>
                <w:color w:val="auto"/>
                <w:szCs w:val="21"/>
                <w:highlight w:val="none"/>
                <w:lang w:val="en-US" w:eastAsia="zh-CN"/>
              </w:rPr>
              <w:t>荐</w:t>
            </w:r>
          </w:p>
        </w:tc>
        <w:tc>
          <w:tcPr>
            <w:tcW w:w="5253" w:type="dxa"/>
            <w:noWrap w:val="0"/>
            <w:vAlign w:val="center"/>
          </w:tcPr>
          <w:p w14:paraId="0322C18A">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pacing w:val="0"/>
                <w:szCs w:val="21"/>
                <w:highlight w:val="none"/>
                <w:lang w:val="en-US" w:eastAsia="zh-CN"/>
              </w:rPr>
              <w:t>推荐所有标函评审均为合格的投标人为定标候选人</w:t>
            </w:r>
            <w:r>
              <w:rPr>
                <w:rFonts w:hint="eastAsia" w:ascii="宋体" w:hAnsi="宋体" w:eastAsia="宋体" w:cs="宋体"/>
                <w:color w:val="auto"/>
                <w:szCs w:val="21"/>
                <w:highlight w:val="none"/>
                <w:lang w:val="en-US" w:eastAsia="zh-CN"/>
              </w:rPr>
              <w:t>。</w:t>
            </w:r>
          </w:p>
        </w:tc>
      </w:tr>
    </w:tbl>
    <w:p w14:paraId="6D0BAA9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rPr>
        <w:t>备注：因有效的投标人少于3个使得投标明显缺乏竞争的，招标失败，由招标人</w:t>
      </w:r>
      <w:r>
        <w:rPr>
          <w:rFonts w:hint="eastAsia" w:ascii="宋体" w:hAnsi="宋体" w:eastAsia="宋体" w:cs="宋体"/>
          <w:b/>
          <w:bCs/>
          <w:color w:val="auto"/>
          <w:highlight w:val="none"/>
          <w:lang w:eastAsia="zh-CN"/>
        </w:rPr>
        <w:t>依法</w:t>
      </w:r>
      <w:r>
        <w:rPr>
          <w:rFonts w:hint="eastAsia" w:ascii="宋体" w:hAnsi="宋体" w:eastAsia="宋体" w:cs="宋体"/>
          <w:b/>
          <w:bCs/>
          <w:color w:val="auto"/>
          <w:highlight w:val="none"/>
        </w:rPr>
        <w:t>重新组织招标。</w:t>
      </w:r>
    </w:p>
    <w:p w14:paraId="0CD85315">
      <w:pPr>
        <w:pStyle w:val="4"/>
        <w:bidi w:val="0"/>
        <w:rPr>
          <w:rFonts w:hint="eastAsia" w:ascii="宋体" w:hAnsi="宋体" w:eastAsia="宋体" w:cs="宋体"/>
          <w:color w:val="auto"/>
          <w:highlight w:val="none"/>
          <w:lang w:val="en-US" w:eastAsia="zh-CN"/>
        </w:rPr>
      </w:pPr>
      <w:bookmarkStart w:id="1854" w:name="_Toc1090170444"/>
      <w:bookmarkStart w:id="1855" w:name="_Toc1728901820"/>
      <w:bookmarkStart w:id="1856" w:name="_Toc1022965754"/>
      <w:bookmarkStart w:id="1857" w:name="_Toc971805537"/>
      <w:bookmarkStart w:id="1858" w:name="_Toc1667629644"/>
      <w:bookmarkStart w:id="1859" w:name="_Toc122609441"/>
      <w:bookmarkStart w:id="1860" w:name="_Toc2115911992"/>
      <w:bookmarkStart w:id="1861" w:name="_Toc851696240"/>
      <w:bookmarkStart w:id="1862" w:name="_Toc1535917381"/>
      <w:bookmarkStart w:id="1863" w:name="_Toc609594446"/>
      <w:bookmarkStart w:id="1864" w:name="_Toc1707936604"/>
      <w:bookmarkStart w:id="1865" w:name="_Toc982809154"/>
      <w:bookmarkStart w:id="1866" w:name="_Toc559098847"/>
      <w:bookmarkStart w:id="1867" w:name="_Toc145877183"/>
      <w:bookmarkStart w:id="1868" w:name="_Toc919929881"/>
      <w:bookmarkStart w:id="1869" w:name="_Toc312320157"/>
      <w:bookmarkStart w:id="1870" w:name="_Toc65362207"/>
      <w:r>
        <w:rPr>
          <w:rFonts w:hint="eastAsia" w:ascii="宋体" w:hAnsi="宋体" w:eastAsia="宋体" w:cs="宋体"/>
          <w:color w:val="auto"/>
          <w:highlight w:val="none"/>
          <w:lang w:val="en-US" w:eastAsia="zh-CN"/>
        </w:rPr>
        <w:t>4.2 经济标评审</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14:paraId="1098E01F">
      <w:pPr>
        <w:numPr>
          <w:ilvl w:val="0"/>
          <w:numId w:val="0"/>
        </w:num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4.2.1 评标委员会根据本章第2.1款规定的标准对投标人的经济标进行初步评审。各评审项目评价等级均为“合格”的，综合评价等级为“合格”；出现违反招标文件否决性条款规定的情形或者有一项或以上的评审项目评价等级为“不合格”的，综合评价等级为“不合格”，评标委员会应当否决其投标。</w:t>
      </w:r>
    </w:p>
    <w:p w14:paraId="199CFB1A">
      <w:pPr>
        <w:numPr>
          <w:ilvl w:val="0"/>
          <w:numId w:val="0"/>
        </w:num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4.2.2 投标报价有算术错误及其他错误的，评标委员会按以下原则要求投标人对投标报价进行修正，并要求投标人书面澄清确认。投标人拒不澄清确认的，评标委员会应当否决其投标</w:t>
      </w:r>
      <w:r>
        <w:rPr>
          <w:rFonts w:hint="eastAsia" w:ascii="宋体" w:hAnsi="宋体" w:eastAsia="宋体" w:cs="宋体"/>
          <w:color w:val="auto"/>
          <w:szCs w:val="21"/>
          <w:highlight w:val="none"/>
        </w:rPr>
        <w:t>：</w:t>
      </w:r>
    </w:p>
    <w:p w14:paraId="7B301CE2">
      <w:pPr>
        <w:numPr>
          <w:ilvl w:val="0"/>
          <w:numId w:val="0"/>
        </w:num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投标总价大写金额与小写金额不一致的，以大写金额为准，修正相应小写金额</w:t>
      </w:r>
      <w:r>
        <w:rPr>
          <w:rFonts w:hint="eastAsia" w:ascii="宋体" w:hAnsi="宋体" w:eastAsia="宋体" w:cs="宋体"/>
          <w:color w:val="auto"/>
          <w:szCs w:val="21"/>
          <w:highlight w:val="none"/>
        </w:rPr>
        <w:t>；</w:t>
      </w:r>
    </w:p>
    <w:p w14:paraId="1B1E9594">
      <w:pPr>
        <w:spacing w:line="360" w:lineRule="auto"/>
        <w:ind w:firstLine="420" w:firstLineChars="200"/>
        <w:rPr>
          <w:rFonts w:hint="eastAsia" w:ascii="宋体" w:hAnsi="宋体" w:eastAsia="宋体" w:cs="宋体"/>
          <w:color w:val="auto"/>
          <w:szCs w:val="24"/>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eastAsia="zh-CN"/>
        </w:rPr>
        <w:t>投标</w:t>
      </w:r>
      <w:r>
        <w:rPr>
          <w:rFonts w:hint="eastAsia" w:ascii="宋体" w:hAnsi="宋体" w:eastAsia="宋体" w:cs="宋体"/>
          <w:color w:val="auto"/>
          <w:szCs w:val="21"/>
          <w:highlight w:val="none"/>
        </w:rPr>
        <w:t>总价与</w:t>
      </w:r>
      <w:r>
        <w:rPr>
          <w:rFonts w:hint="eastAsia" w:ascii="宋体" w:hAnsi="宋体" w:cs="宋体"/>
          <w:color w:val="auto"/>
          <w:szCs w:val="21"/>
          <w:highlight w:val="none"/>
          <w:lang w:eastAsia="zh-CN"/>
        </w:rPr>
        <w:t>已标价工程量清单项目填报的价格累计总额不一致的，以投标总价为准，修正工</w:t>
      </w:r>
      <w:r>
        <w:rPr>
          <w:rFonts w:hint="eastAsia" w:ascii="宋体" w:hAnsi="宋体" w:eastAsia="宋体" w:cs="宋体"/>
          <w:color w:val="auto"/>
          <w:szCs w:val="24"/>
          <w:highlight w:val="none"/>
          <w:lang w:eastAsia="zh-CN"/>
        </w:rPr>
        <w:t>程量清单项目报价累计总额。</w:t>
      </w:r>
    </w:p>
    <w:p w14:paraId="1DF0F366">
      <w:pPr>
        <w:spacing w:line="360" w:lineRule="auto"/>
        <w:ind w:firstLine="420" w:firstLineChars="200"/>
        <w:rPr>
          <w:rFonts w:hint="eastAsia" w:ascii="宋体" w:hAnsi="宋体" w:eastAsia="宋体" w:cs="宋体"/>
          <w:b w:val="0"/>
          <w:bCs w:val="0"/>
          <w:color w:val="auto"/>
          <w:szCs w:val="21"/>
          <w:highlight w:val="none"/>
          <w:lang w:val="en-US" w:eastAsia="zh-CN"/>
        </w:rPr>
      </w:pPr>
      <w:r>
        <w:rPr>
          <w:rFonts w:hint="eastAsia" w:ascii="宋体" w:hAnsi="宋体" w:eastAsia="宋体" w:cs="宋体"/>
          <w:color w:val="auto"/>
          <w:szCs w:val="24"/>
          <w:highlight w:val="none"/>
          <w:lang w:val="en-US" w:eastAsia="zh-CN"/>
        </w:rPr>
        <w:t>4.2.3 当投标人的投标报</w:t>
      </w:r>
      <w:r>
        <w:rPr>
          <w:rFonts w:hint="eastAsia" w:ascii="宋体" w:hAnsi="宋体" w:eastAsia="宋体" w:cs="宋体"/>
          <w:color w:val="auto"/>
          <w:szCs w:val="21"/>
          <w:highlight w:val="none"/>
          <w:lang w:val="en-US" w:eastAsia="zh-CN"/>
        </w:rPr>
        <w:t>价低于投标报价警戒值的，评标委员会须对低于投标报价警戒值的投标报价进行合理性评审，以评定其投标报价是否低于企业自身成本，被评为不合理的，不得进入经济标详细评审环节。</w:t>
      </w:r>
      <w:r>
        <w:rPr>
          <w:rFonts w:hint="eastAsia" w:ascii="宋体" w:hAnsi="宋体" w:eastAsia="宋体" w:cs="宋体"/>
          <w:b/>
          <w:bCs/>
          <w:color w:val="auto"/>
          <w:szCs w:val="21"/>
          <w:highlight w:val="none"/>
          <w:lang w:val="en-US" w:eastAsia="zh-CN"/>
        </w:rPr>
        <w:t>投标报价低于</w:t>
      </w:r>
      <w:r>
        <w:rPr>
          <w:rFonts w:hint="eastAsia" w:ascii="宋体" w:hAnsi="宋体" w:eastAsia="宋体" w:cs="宋体"/>
          <w:b/>
          <w:bCs/>
          <w:strike w:val="0"/>
          <w:dstrike w:val="0"/>
          <w:color w:val="auto"/>
          <w:szCs w:val="21"/>
          <w:highlight w:val="none"/>
          <w:u w:val="none"/>
          <w:lang w:eastAsia="zh-CN"/>
        </w:rPr>
        <w:t>警戒值</w:t>
      </w:r>
      <w:r>
        <w:rPr>
          <w:rFonts w:hint="eastAsia" w:ascii="宋体" w:hAnsi="宋体" w:eastAsia="宋体" w:cs="宋体"/>
          <w:b/>
          <w:bCs/>
          <w:strike w:val="0"/>
          <w:dstrike w:val="0"/>
          <w:color w:val="auto"/>
          <w:szCs w:val="21"/>
          <w:highlight w:val="none"/>
          <w:u w:val="none"/>
        </w:rPr>
        <w:t>仅作为启动投标报价合理性评审工作的警戒线，不得直接认定为废标。</w:t>
      </w:r>
    </w:p>
    <w:p w14:paraId="7E216247">
      <w:pPr>
        <w:numPr>
          <w:ilvl w:val="0"/>
          <w:numId w:val="0"/>
        </w:numPr>
        <w:spacing w:line="360" w:lineRule="auto"/>
        <w:ind w:firstLine="420" w:firstLineChars="200"/>
        <w:rPr>
          <w:rFonts w:hint="eastAsia"/>
          <w:color w:val="auto"/>
          <w:szCs w:val="21"/>
        </w:rPr>
      </w:pPr>
      <w:r>
        <w:rPr>
          <w:rFonts w:hint="eastAsia" w:ascii="宋体" w:hAnsi="宋体" w:eastAsia="宋体" w:cs="宋体"/>
          <w:color w:val="auto"/>
          <w:szCs w:val="21"/>
          <w:highlight w:val="none"/>
        </w:rPr>
        <w:t>评标委员会</w:t>
      </w:r>
      <w:r>
        <w:rPr>
          <w:rFonts w:hint="eastAsia"/>
          <w:color w:val="auto"/>
          <w:szCs w:val="21"/>
        </w:rPr>
        <w:t>对投标报价合理性评审中，出现下列情形之一的，评标委员会应当认定该投标人的投标报价不合理：</w:t>
      </w:r>
    </w:p>
    <w:p w14:paraId="128A8D9B">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lang w:val="en-US" w:eastAsia="zh-CN"/>
        </w:rPr>
        <w:t>1</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投标人拒绝对报价的合理性进行说明的</w:t>
      </w:r>
      <w:r>
        <w:rPr>
          <w:rFonts w:hint="eastAsia" w:eastAsia="宋体" w:cs="Times New Roman"/>
          <w:color w:val="auto"/>
          <w:szCs w:val="24"/>
          <w:highlight w:val="none"/>
          <w:lang w:eastAsia="zh-CN"/>
        </w:rPr>
        <w:t>；</w:t>
      </w:r>
    </w:p>
    <w:p w14:paraId="2E5D443E">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eastAsia="宋体" w:cs="Times New Roman"/>
          <w:color w:val="auto"/>
          <w:szCs w:val="24"/>
          <w:highlight w:val="none"/>
          <w:lang w:val="en-US" w:eastAsia="zh-CN"/>
        </w:rPr>
        <w:t>2</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投标文件中应提供分析报告、证明材料而未提供的</w:t>
      </w:r>
      <w:r>
        <w:rPr>
          <w:rFonts w:hint="eastAsia" w:eastAsia="宋体" w:cs="Times New Roman"/>
          <w:color w:val="auto"/>
          <w:szCs w:val="24"/>
          <w:highlight w:val="none"/>
          <w:lang w:eastAsia="zh-CN"/>
        </w:rPr>
        <w:t>；</w:t>
      </w:r>
    </w:p>
    <w:p w14:paraId="79697950">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eastAsia="宋体" w:cs="Times New Roman"/>
          <w:color w:val="auto"/>
          <w:szCs w:val="24"/>
          <w:highlight w:val="none"/>
          <w:lang w:val="en-US" w:eastAsia="zh-CN"/>
        </w:rPr>
        <w:t>3</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投标人提供分析报告、证明材料不合理的</w:t>
      </w:r>
      <w:r>
        <w:rPr>
          <w:rFonts w:hint="eastAsia" w:eastAsia="宋体" w:cs="Times New Roman"/>
          <w:color w:val="auto"/>
          <w:szCs w:val="24"/>
          <w:highlight w:val="none"/>
          <w:lang w:eastAsia="zh-CN"/>
        </w:rPr>
        <w:t>；</w:t>
      </w:r>
    </w:p>
    <w:p w14:paraId="53CF5AAB">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eastAsia="宋体" w:cs="Times New Roman"/>
          <w:color w:val="auto"/>
          <w:szCs w:val="24"/>
          <w:highlight w:val="none"/>
          <w:lang w:val="en-US" w:eastAsia="zh-CN"/>
        </w:rPr>
        <w:t>4</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投标人提供分析报告、证明材料不属实的</w:t>
      </w:r>
      <w:r>
        <w:rPr>
          <w:rFonts w:hint="eastAsia" w:eastAsia="宋体" w:cs="Times New Roman"/>
          <w:color w:val="auto"/>
          <w:szCs w:val="24"/>
          <w:highlight w:val="none"/>
          <w:lang w:eastAsia="zh-CN"/>
        </w:rPr>
        <w:t>；</w:t>
      </w:r>
    </w:p>
    <w:p w14:paraId="10F44679">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eastAsia="宋体" w:cs="Times New Roman"/>
          <w:color w:val="auto"/>
          <w:szCs w:val="24"/>
          <w:highlight w:val="none"/>
          <w:lang w:val="en-US" w:eastAsia="zh-CN"/>
        </w:rPr>
        <w:t>5</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投标人以周转性材料已摊销完毕为由大幅度降低周转性材料</w:t>
      </w:r>
      <w:r>
        <w:rPr>
          <w:rFonts w:hint="eastAsia" w:eastAsia="宋体" w:cs="Times New Roman"/>
          <w:color w:val="auto"/>
          <w:szCs w:val="24"/>
          <w:highlight w:val="none"/>
          <w:lang w:eastAsia="zh-CN"/>
        </w:rPr>
        <w:t>费用</w:t>
      </w:r>
      <w:r>
        <w:rPr>
          <w:rFonts w:hint="eastAsia" w:ascii="Times New Roman" w:hAnsi="Times New Roman" w:eastAsia="宋体" w:cs="Times New Roman"/>
          <w:color w:val="auto"/>
          <w:szCs w:val="24"/>
          <w:highlight w:val="none"/>
        </w:rPr>
        <w:t>的</w:t>
      </w:r>
      <w:r>
        <w:rPr>
          <w:rFonts w:hint="eastAsia" w:eastAsia="宋体" w:cs="Times New Roman"/>
          <w:color w:val="auto"/>
          <w:szCs w:val="24"/>
          <w:highlight w:val="none"/>
          <w:lang w:eastAsia="zh-CN"/>
        </w:rPr>
        <w:t>；</w:t>
      </w:r>
    </w:p>
    <w:p w14:paraId="5E9E5095">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eastAsia="宋体" w:cs="Times New Roman"/>
          <w:color w:val="auto"/>
          <w:szCs w:val="24"/>
          <w:highlight w:val="none"/>
          <w:lang w:val="en-US" w:eastAsia="zh-CN"/>
        </w:rPr>
        <w:t>6</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投标人以机械闲置或机械已折旧完毕为由大幅度降低施工机械台班单价</w:t>
      </w:r>
      <w:r>
        <w:rPr>
          <w:rFonts w:hint="eastAsia" w:eastAsia="宋体" w:cs="Times New Roman"/>
          <w:color w:val="auto"/>
          <w:szCs w:val="24"/>
          <w:highlight w:val="none"/>
          <w:lang w:eastAsia="zh-CN"/>
        </w:rPr>
        <w:t>；</w:t>
      </w:r>
    </w:p>
    <w:p w14:paraId="28B28E62">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eastAsia="宋体" w:cs="Times New Roman"/>
          <w:color w:val="auto"/>
          <w:szCs w:val="24"/>
          <w:highlight w:val="none"/>
          <w:lang w:val="en-US" w:eastAsia="zh-CN"/>
        </w:rPr>
        <w:t>7</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投标人以库存材料、构件、成品、半成品、设备、元器件、器材为由大幅度降低工程造价的</w:t>
      </w:r>
      <w:r>
        <w:rPr>
          <w:rFonts w:hint="eastAsia" w:eastAsia="宋体" w:cs="Times New Roman"/>
          <w:color w:val="auto"/>
          <w:szCs w:val="24"/>
          <w:highlight w:val="none"/>
          <w:lang w:eastAsia="zh-CN"/>
        </w:rPr>
        <w:t>；</w:t>
      </w:r>
    </w:p>
    <w:p w14:paraId="200DE6C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Times New Roman" w:hAnsi="Times New Roman" w:eastAsia="宋体" w:cs="Times New Roman"/>
          <w:color w:val="auto"/>
          <w:szCs w:val="24"/>
          <w:highlight w:val="none"/>
          <w:lang w:eastAsia="zh-CN"/>
        </w:rPr>
        <w:t>（</w:t>
      </w:r>
      <w:r>
        <w:rPr>
          <w:rFonts w:hint="eastAsia" w:eastAsia="宋体" w:cs="Times New Roman"/>
          <w:color w:val="auto"/>
          <w:szCs w:val="24"/>
          <w:highlight w:val="none"/>
          <w:lang w:val="en-US" w:eastAsia="zh-CN"/>
        </w:rPr>
        <w:t>8</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投标人采用无牌无证产品或不合格产品的。</w:t>
      </w:r>
    </w:p>
    <w:p w14:paraId="7F33D3D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4.2.4 综合评价等级为“合格”的投标文件，评标专家发现投标文件存在签订合同前应注意和澄清的事项等情形的，应当在评标结论中指出。经济标综合评价结论为“合格”的，方可进入下一阶段资信标的评审。</w:t>
      </w:r>
    </w:p>
    <w:p w14:paraId="2E06CC9A">
      <w:pPr>
        <w:pStyle w:val="5"/>
        <w:ind w:firstLine="0"/>
        <w:rPr>
          <w:rFonts w:hint="eastAsia" w:ascii="宋体" w:hAnsi="宋体" w:eastAsia="宋体" w:cs="宋体"/>
          <w:color w:val="auto"/>
          <w:highlight w:val="none"/>
          <w:lang w:val="en-US" w:eastAsia="zh-CN"/>
        </w:rPr>
      </w:pPr>
      <w:bookmarkStart w:id="1871" w:name="_Toc582187301"/>
      <w:bookmarkStart w:id="1872" w:name="_Toc57571274"/>
      <w:bookmarkStart w:id="1873" w:name="_Toc2102153916"/>
      <w:bookmarkStart w:id="1874" w:name="_Toc1843186161"/>
      <w:bookmarkStart w:id="1875" w:name="_Toc105080106"/>
      <w:bookmarkStart w:id="1876" w:name="_Toc1609722825"/>
      <w:bookmarkStart w:id="1877" w:name="_Toc698241011"/>
      <w:bookmarkStart w:id="1878" w:name="_Toc2088554315"/>
      <w:bookmarkStart w:id="1879" w:name="_Toc1153021126"/>
      <w:bookmarkStart w:id="1880" w:name="_Toc762020639"/>
      <w:bookmarkStart w:id="1881" w:name="_Toc874406187"/>
      <w:bookmarkStart w:id="1882" w:name="_Toc1960134131"/>
      <w:bookmarkStart w:id="1883" w:name="_Toc349648677"/>
      <w:bookmarkStart w:id="1884" w:name="_Toc319858064"/>
      <w:bookmarkStart w:id="1885" w:name="_Toc1236586623"/>
      <w:bookmarkStart w:id="1886" w:name="_Toc171976156"/>
      <w:bookmarkStart w:id="1887" w:name="_Toc1861101202"/>
      <w:r>
        <w:rPr>
          <w:rStyle w:val="38"/>
          <w:rFonts w:hint="eastAsia" w:ascii="宋体" w:hAnsi="宋体" w:eastAsia="宋体" w:cs="宋体"/>
          <w:b/>
          <w:bCs/>
          <w:color w:val="auto"/>
          <w:highlight w:val="none"/>
        </w:rPr>
        <w:t>4.3 资信标评审</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p>
    <w:p w14:paraId="5AEB0745">
      <w:pPr>
        <w:spacing w:line="360" w:lineRule="auto"/>
        <w:ind w:firstLine="420" w:firstLineChars="200"/>
        <w:rPr>
          <w:rFonts w:hint="default" w:ascii="宋体" w:hAnsi="宋体" w:eastAsia="宋体" w:cs="Times New Roman"/>
          <w:color w:val="auto"/>
          <w:kern w:val="0"/>
          <w:sz w:val="21"/>
          <w:szCs w:val="24"/>
          <w:highlight w:val="none"/>
          <w:lang w:val="en-US" w:eastAsia="zh-CN" w:bidi="ar-SA"/>
        </w:rPr>
      </w:pPr>
      <w:r>
        <w:rPr>
          <w:rFonts w:hint="default" w:ascii="宋体" w:hAnsi="宋体" w:eastAsia="宋体" w:cs="Times New Roman"/>
          <w:color w:val="auto"/>
          <w:kern w:val="0"/>
          <w:sz w:val="21"/>
          <w:szCs w:val="24"/>
          <w:highlight w:val="none"/>
          <w:lang w:val="en-US" w:eastAsia="zh-CN" w:bidi="ar-SA"/>
        </w:rPr>
        <w:t>4.3.1 评标委员会根据本章第2.1款规定的标准对投标人的资信标进行</w:t>
      </w:r>
      <w:r>
        <w:rPr>
          <w:rFonts w:hint="eastAsia" w:ascii="宋体" w:hAnsi="宋体" w:cs="Times New Roman"/>
          <w:color w:val="auto"/>
          <w:kern w:val="0"/>
          <w:sz w:val="21"/>
          <w:szCs w:val="24"/>
          <w:highlight w:val="none"/>
          <w:lang w:val="en-US" w:eastAsia="zh-CN" w:bidi="ar-SA"/>
        </w:rPr>
        <w:t>·</w:t>
      </w:r>
      <w:r>
        <w:rPr>
          <w:rFonts w:hint="default" w:ascii="宋体" w:hAnsi="宋体" w:eastAsia="宋体" w:cs="Times New Roman"/>
          <w:color w:val="auto"/>
          <w:kern w:val="0"/>
          <w:sz w:val="21"/>
          <w:szCs w:val="24"/>
          <w:highlight w:val="none"/>
          <w:lang w:val="en-US" w:eastAsia="zh-CN" w:bidi="ar-SA"/>
        </w:rPr>
        <w:t>或者有一项或以上的评审项目评价等级为“不合格”的，综合评价等级为“不合格”，评标委员会应当否决其投标。</w:t>
      </w:r>
    </w:p>
    <w:p w14:paraId="7DA96B0D">
      <w:pPr>
        <w:spacing w:line="360" w:lineRule="auto"/>
        <w:ind w:firstLine="420" w:firstLineChars="200"/>
        <w:rPr>
          <w:rFonts w:hint="default" w:ascii="宋体" w:hAnsi="宋体" w:eastAsia="宋体" w:cs="Times New Roman"/>
          <w:color w:val="auto"/>
          <w:kern w:val="0"/>
          <w:sz w:val="21"/>
          <w:szCs w:val="24"/>
          <w:highlight w:val="none"/>
          <w:lang w:val="en-US" w:eastAsia="zh-CN" w:bidi="ar-SA"/>
        </w:rPr>
      </w:pPr>
      <w:r>
        <w:rPr>
          <w:rFonts w:hint="default" w:ascii="宋体" w:hAnsi="宋体" w:eastAsia="宋体" w:cs="Times New Roman"/>
          <w:color w:val="auto"/>
          <w:kern w:val="0"/>
          <w:sz w:val="21"/>
          <w:szCs w:val="24"/>
          <w:highlight w:val="none"/>
          <w:lang w:val="en-US" w:eastAsia="zh-CN" w:bidi="ar-SA"/>
        </w:rPr>
        <w:t>4.3.2 资信标综合评价结论为“合格”的，方可进入下一阶段技术标的评审。</w:t>
      </w:r>
    </w:p>
    <w:p w14:paraId="03E403BB">
      <w:pPr>
        <w:pStyle w:val="4"/>
        <w:bidi w:val="0"/>
        <w:rPr>
          <w:rFonts w:hint="eastAsia" w:ascii="宋体" w:hAnsi="宋体" w:eastAsia="宋体" w:cs="宋体"/>
          <w:color w:val="auto"/>
          <w:highlight w:val="none"/>
          <w:lang w:val="en-US" w:eastAsia="zh-CN"/>
        </w:rPr>
      </w:pPr>
      <w:bookmarkStart w:id="1888" w:name="_Toc1162048254"/>
      <w:bookmarkStart w:id="1889" w:name="_Toc1016841989"/>
      <w:bookmarkStart w:id="1890" w:name="_Toc1244848399"/>
      <w:bookmarkStart w:id="1891" w:name="_Toc94005175"/>
      <w:bookmarkStart w:id="1892" w:name="_Toc570098300"/>
      <w:bookmarkStart w:id="1893" w:name="_Toc718575740"/>
      <w:bookmarkStart w:id="1894" w:name="_Toc730872925"/>
      <w:bookmarkStart w:id="1895" w:name="_Toc1346345070"/>
      <w:bookmarkStart w:id="1896" w:name="_Toc907752578"/>
      <w:bookmarkStart w:id="1897" w:name="_Toc591633732"/>
      <w:bookmarkStart w:id="1898" w:name="_Toc732497645"/>
      <w:bookmarkStart w:id="1899" w:name="_Toc349972841"/>
      <w:bookmarkStart w:id="1900" w:name="_Toc796946881"/>
      <w:bookmarkStart w:id="1901" w:name="_Toc559237495"/>
      <w:bookmarkStart w:id="1902" w:name="_Toc1992181250"/>
      <w:bookmarkStart w:id="1903" w:name="_Toc438469179"/>
      <w:bookmarkStart w:id="1904" w:name="_Toc184618021"/>
      <w:r>
        <w:rPr>
          <w:rFonts w:hint="eastAsia" w:ascii="宋体" w:hAnsi="宋体" w:eastAsia="宋体" w:cs="宋体"/>
          <w:color w:val="auto"/>
          <w:highlight w:val="none"/>
          <w:lang w:val="en-US" w:eastAsia="zh-CN"/>
        </w:rPr>
        <w:t>4.4 技术标评审</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14:paraId="00CB69E1">
      <w:pPr>
        <w:spacing w:line="360" w:lineRule="auto"/>
        <w:ind w:firstLine="420" w:firstLineChars="200"/>
        <w:rPr>
          <w:rFonts w:hint="eastAsia" w:ascii="宋体" w:hAnsi="宋体" w:eastAsia="宋体" w:cs="Times New Roman"/>
          <w:color w:val="auto"/>
          <w:kern w:val="0"/>
          <w:sz w:val="21"/>
          <w:szCs w:val="24"/>
          <w:highlight w:val="none"/>
          <w:lang w:val="en-US" w:eastAsia="zh-CN" w:bidi="ar-SA"/>
        </w:rPr>
      </w:pPr>
      <w:r>
        <w:rPr>
          <w:rFonts w:hint="eastAsia" w:ascii="宋体" w:hAnsi="宋体" w:eastAsia="宋体" w:cs="Times New Roman"/>
          <w:color w:val="auto"/>
          <w:kern w:val="0"/>
          <w:sz w:val="21"/>
          <w:szCs w:val="24"/>
          <w:highlight w:val="none"/>
          <w:lang w:val="en-US" w:eastAsia="zh-CN" w:bidi="ar-SA"/>
        </w:rPr>
        <w:t>4.4.1 评标委员会根据本章第2.1款规定的标准对投标人的技术标进行初步评审。各评审项目评价等级均为“合格”的，综合评价等级为“合格”；出现违反招标文件否决性条款规定的情形或者有一项或以上的评审项目评价等级为“不合格”的，综合评价等级为“不合格”，评标委员会应当否决其投标。</w:t>
      </w:r>
    </w:p>
    <w:p w14:paraId="727200AA">
      <w:pPr>
        <w:spacing w:line="360" w:lineRule="auto"/>
        <w:ind w:firstLine="420" w:firstLineChars="200"/>
        <w:rPr>
          <w:rFonts w:hint="eastAsia" w:ascii="宋体" w:hAnsi="宋体" w:eastAsia="宋体" w:cs="Times New Roman"/>
          <w:color w:val="auto"/>
          <w:kern w:val="0"/>
          <w:sz w:val="21"/>
          <w:szCs w:val="24"/>
          <w:highlight w:val="none"/>
          <w:lang w:val="en-US" w:eastAsia="zh-CN" w:bidi="ar-SA"/>
        </w:rPr>
      </w:pPr>
      <w:r>
        <w:rPr>
          <w:rFonts w:hint="eastAsia" w:ascii="宋体" w:hAnsi="宋体" w:eastAsia="宋体" w:cs="Times New Roman"/>
          <w:color w:val="auto"/>
          <w:kern w:val="0"/>
          <w:sz w:val="21"/>
          <w:szCs w:val="24"/>
          <w:highlight w:val="none"/>
          <w:lang w:val="en-US" w:eastAsia="zh-CN" w:bidi="ar-SA"/>
        </w:rPr>
        <w:t>4.4.2 综合评价等级为“合格”的投标文件，评标委员会根据本章第2.2.1项规定的标准对技术标进行详细评审，指出存在优点的具体事项，或指出存在缺陷或签订合同前应注意和澄清的具体事项。评标专家对各评审项目进行逐条评审时，应给出具体的评审意见，不得以“合格、不合格、可行、不可行、优、良、中、差”等分级、评价性意见代替。</w:t>
      </w:r>
    </w:p>
    <w:p w14:paraId="0148D47B">
      <w:pPr>
        <w:pStyle w:val="4"/>
        <w:bidi w:val="0"/>
        <w:rPr>
          <w:rFonts w:hint="eastAsia" w:ascii="宋体" w:hAnsi="宋体" w:eastAsia="宋体" w:cs="宋体"/>
          <w:color w:val="auto"/>
          <w:highlight w:val="none"/>
          <w:lang w:val="en-US" w:eastAsia="zh-CN"/>
        </w:rPr>
      </w:pPr>
      <w:bookmarkStart w:id="1905" w:name="_Toc712927978"/>
      <w:bookmarkStart w:id="1906" w:name="_Toc653019625"/>
      <w:bookmarkStart w:id="1907" w:name="_Toc1203635518"/>
      <w:bookmarkStart w:id="1908" w:name="_Toc1050710595"/>
      <w:bookmarkStart w:id="1909" w:name="_Toc1310731182"/>
      <w:bookmarkStart w:id="1910" w:name="_Toc17984840"/>
      <w:bookmarkStart w:id="1911" w:name="_Toc638166713"/>
      <w:bookmarkStart w:id="1912" w:name="_Toc1960073712"/>
      <w:bookmarkStart w:id="1913" w:name="_Toc1683723494"/>
      <w:bookmarkStart w:id="1914" w:name="_Toc1214727080"/>
      <w:bookmarkStart w:id="1915" w:name="_Toc1328093676"/>
      <w:bookmarkStart w:id="1916" w:name="_Toc1549108270"/>
      <w:bookmarkStart w:id="1917" w:name="_Toc432876218"/>
      <w:bookmarkStart w:id="1918" w:name="_Toc1450400881"/>
      <w:bookmarkStart w:id="1919" w:name="_Toc2106390635"/>
      <w:bookmarkStart w:id="1920" w:name="_Toc1190826811"/>
      <w:bookmarkStart w:id="1921" w:name="_Toc479296023"/>
      <w:r>
        <w:rPr>
          <w:rFonts w:hint="eastAsia" w:ascii="宋体" w:hAnsi="宋体" w:eastAsia="宋体" w:cs="宋体"/>
          <w:color w:val="auto"/>
          <w:highlight w:val="none"/>
          <w:lang w:val="en-US" w:eastAsia="zh-CN"/>
        </w:rPr>
        <w:t>4.5 汇总评审意见</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14:paraId="5E21C542">
      <w:pPr>
        <w:adjustRightInd w:val="0"/>
        <w:snapToGrid w:val="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4.5.1 在各评标专家独立对所有投标人评审完成之后，评标委员会集体汇总各评标专家对同一投标人的评审意见。</w:t>
      </w:r>
    </w:p>
    <w:p w14:paraId="413510B8">
      <w:pPr>
        <w:adjustRightInd w:val="0"/>
        <w:snapToGrid w:val="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4.5.2 评标委员会主任应对“评审项目”逐条进行汇总。汇总单条“评审项目”的评审意见时，将各评标专家对该投标人该评审项目的评审意见罗列在一起，集体讨论后形成评标委员会集体对该投标人该评审项目的评审意见。评标委员会集体对同一投标人给出综合评价等级。</w:t>
      </w:r>
    </w:p>
    <w:p w14:paraId="0F1EA18D">
      <w:pPr>
        <w:adjustRightInd w:val="0"/>
        <w:snapToGrid w:val="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4.5.3 评标委员会在汇总各评标专家意见时，如果有评标专家对汇总意见持保留意见的，则应在汇总表中注明。</w:t>
      </w:r>
    </w:p>
    <w:p w14:paraId="19ACDA3C">
      <w:pPr>
        <w:adjustRightInd w:val="0"/>
        <w:snapToGrid w:val="0"/>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kern w:val="2"/>
          <w:sz w:val="21"/>
          <w:szCs w:val="21"/>
          <w:highlight w:val="none"/>
          <w:lang w:val="en-US" w:eastAsia="zh-CN" w:bidi="ar-SA"/>
        </w:rPr>
        <w:t>4.5.4 投标人综合评价等级为不合格的，仅需指出不合格的具体原因，不必再指出投标文件优点和存在缺陷或签订合同前应注意和澄清的事项。</w:t>
      </w:r>
    </w:p>
    <w:p w14:paraId="35EEAF03">
      <w:pPr>
        <w:pStyle w:val="4"/>
        <w:bidi w:val="0"/>
        <w:rPr>
          <w:rFonts w:hint="eastAsia" w:ascii="宋体" w:hAnsi="宋体" w:eastAsia="宋体" w:cs="宋体"/>
          <w:b/>
          <w:bCs/>
          <w:color w:val="auto"/>
          <w:highlight w:val="none"/>
          <w:lang w:val="en-US" w:eastAsia="zh-CN"/>
        </w:rPr>
      </w:pPr>
      <w:bookmarkStart w:id="1922" w:name="_Toc2254453"/>
      <w:bookmarkStart w:id="1923" w:name="_Toc1997541490"/>
      <w:bookmarkStart w:id="1924" w:name="_Toc383195405"/>
      <w:bookmarkStart w:id="1925" w:name="_Toc1894296293"/>
      <w:bookmarkStart w:id="1926" w:name="_Toc886309355"/>
      <w:bookmarkStart w:id="1927" w:name="_Toc1153738384"/>
      <w:bookmarkStart w:id="1928" w:name="_Toc149080548"/>
      <w:bookmarkStart w:id="1929" w:name="_Toc205280747"/>
      <w:bookmarkStart w:id="1930" w:name="_Toc1299395355"/>
      <w:bookmarkStart w:id="1931" w:name="_Toc1116469243"/>
      <w:bookmarkStart w:id="1932" w:name="_Toc695809303"/>
      <w:bookmarkStart w:id="1933" w:name="_Toc1030945062"/>
      <w:bookmarkStart w:id="1934" w:name="_Toc607210405"/>
      <w:bookmarkStart w:id="1935" w:name="_Toc837011328"/>
      <w:bookmarkStart w:id="1936" w:name="_Toc810884246"/>
      <w:bookmarkStart w:id="1937" w:name="_Toc1765794516"/>
      <w:bookmarkStart w:id="1938" w:name="_Toc1436906861"/>
      <w:r>
        <w:rPr>
          <w:rFonts w:hint="eastAsia" w:ascii="宋体" w:hAnsi="宋体" w:eastAsia="宋体" w:cs="宋体"/>
          <w:b/>
          <w:bCs/>
          <w:color w:val="auto"/>
          <w:highlight w:val="none"/>
          <w:lang w:val="en-US" w:eastAsia="zh-CN"/>
        </w:rPr>
        <w:t>4.6 推荐定标候选人</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14:paraId="5146EF5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评标委员会</w:t>
      </w:r>
      <w:r>
        <w:rPr>
          <w:rFonts w:hint="eastAsia" w:ascii="宋体" w:hAnsi="宋体" w:eastAsia="宋体" w:cs="宋体"/>
          <w:color w:val="auto"/>
          <w:szCs w:val="21"/>
          <w:highlight w:val="none"/>
          <w:lang w:val="en-US" w:eastAsia="zh-CN"/>
        </w:rPr>
        <w:t>将所有标函评审合格的投标人推荐为定标候选人。</w:t>
      </w:r>
    </w:p>
    <w:p w14:paraId="2C82D3D9">
      <w:pPr>
        <w:pStyle w:val="4"/>
        <w:bidi w:val="0"/>
        <w:rPr>
          <w:rFonts w:hint="default"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4</w:t>
      </w:r>
      <w:r>
        <w:rPr>
          <w:rFonts w:hint="default" w:ascii="宋体" w:hAnsi="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7</w:t>
      </w:r>
      <w:r>
        <w:rPr>
          <w:rFonts w:hint="default" w:ascii="宋体" w:hAnsi="宋体" w:eastAsia="宋体" w:cs="宋体"/>
          <w:b/>
          <w:bCs/>
          <w:color w:val="auto"/>
          <w:sz w:val="21"/>
          <w:szCs w:val="21"/>
          <w:highlight w:val="none"/>
          <w:lang w:val="en-US" w:eastAsia="zh-CN"/>
        </w:rPr>
        <w:t xml:space="preserve"> </w:t>
      </w:r>
      <w:r>
        <w:rPr>
          <w:rFonts w:hint="eastAsia" w:ascii="宋体" w:hAnsi="宋体" w:cs="宋体"/>
          <w:b/>
          <w:bCs/>
          <w:color w:val="auto"/>
          <w:sz w:val="21"/>
          <w:szCs w:val="21"/>
          <w:highlight w:val="none"/>
          <w:lang w:val="en-US" w:eastAsia="zh-CN"/>
        </w:rPr>
        <w:t>评标结果</w:t>
      </w:r>
    </w:p>
    <w:p w14:paraId="3C32F83F">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4.7.1 </w:t>
      </w:r>
      <w:r>
        <w:rPr>
          <w:rFonts w:hint="eastAsia" w:ascii="宋体" w:hAnsi="宋体" w:eastAsia="宋体" w:cs="宋体"/>
          <w:color w:val="auto"/>
          <w:kern w:val="0"/>
          <w:szCs w:val="21"/>
          <w:highlight w:val="none"/>
        </w:rPr>
        <w:t>评标委员会实行少数服从多数的原则，评标结果经评标委员会全体成员过半数通过有效。</w:t>
      </w:r>
    </w:p>
    <w:p w14:paraId="5C1498CE">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4.7.2</w:t>
      </w:r>
      <w:r>
        <w:rPr>
          <w:rFonts w:hint="eastAsia" w:ascii="宋体" w:hAnsi="宋体" w:eastAsia="宋体" w:cs="Times New Roman"/>
          <w:color w:val="auto"/>
          <w:szCs w:val="21"/>
          <w:highlight w:val="none"/>
          <w:lang w:val="en-US" w:eastAsia="zh-CN"/>
        </w:rPr>
        <w:t xml:space="preserve"> </w:t>
      </w:r>
      <w:r>
        <w:rPr>
          <w:rFonts w:hint="eastAsia" w:ascii="宋体" w:hAnsi="宋体"/>
          <w:color w:val="auto"/>
          <w:szCs w:val="21"/>
          <w:highlight w:val="none"/>
        </w:rPr>
        <w:t>评标完成后，</w:t>
      </w:r>
      <w:r>
        <w:rPr>
          <w:rFonts w:hint="eastAsia" w:ascii="宋体" w:hAnsi="宋体"/>
          <w:color w:val="auto"/>
          <w:szCs w:val="21"/>
          <w:highlight w:val="none"/>
          <w:lang w:val="en-US" w:eastAsia="zh-CN"/>
        </w:rPr>
        <w:t>评标委员会应当向招标人提交书面评标报告。</w:t>
      </w:r>
      <w:r>
        <w:rPr>
          <w:rFonts w:hint="eastAsia" w:ascii="宋体" w:hAnsi="宋体"/>
          <w:color w:val="auto"/>
          <w:szCs w:val="21"/>
          <w:highlight w:val="none"/>
        </w:rPr>
        <w:t>评标报告包括</w:t>
      </w:r>
      <w:r>
        <w:rPr>
          <w:rFonts w:hint="eastAsia" w:ascii="宋体" w:hAnsi="宋体"/>
          <w:color w:val="auto"/>
          <w:szCs w:val="21"/>
          <w:highlight w:val="none"/>
          <w:lang w:val="en-US" w:eastAsia="zh-CN"/>
        </w:rPr>
        <w:t>项目</w:t>
      </w:r>
      <w:r>
        <w:rPr>
          <w:rFonts w:hint="eastAsia" w:ascii="宋体" w:hAnsi="宋体"/>
          <w:color w:val="auto"/>
          <w:szCs w:val="21"/>
          <w:highlight w:val="none"/>
        </w:rPr>
        <w:t>基本情况、评标委员会成员名单、澄清和说明情况记录、</w:t>
      </w:r>
      <w:r>
        <w:rPr>
          <w:rFonts w:hint="eastAsia" w:ascii="宋体" w:hAnsi="宋体"/>
          <w:color w:val="auto"/>
          <w:szCs w:val="21"/>
          <w:highlight w:val="none"/>
          <w:lang w:val="en-US" w:eastAsia="zh-CN"/>
        </w:rPr>
        <w:t>否决投标</w:t>
      </w:r>
      <w:r>
        <w:rPr>
          <w:rFonts w:hint="eastAsia" w:ascii="宋体" w:hAnsi="宋体"/>
          <w:color w:val="auto"/>
          <w:szCs w:val="21"/>
          <w:highlight w:val="none"/>
        </w:rPr>
        <w:t>的判定情况说明、每个环节评审结果、专家评审表及定标候选人名单等内容。</w:t>
      </w:r>
      <w:r>
        <w:rPr>
          <w:rFonts w:hint="eastAsia" w:ascii="宋体" w:hAnsi="宋体" w:eastAsia="宋体" w:cs="宋体"/>
          <w:color w:val="auto"/>
          <w:kern w:val="0"/>
          <w:szCs w:val="21"/>
          <w:highlight w:val="none"/>
        </w:rPr>
        <w:t>评标报告由评标委员会全体成员签字，对评标结果持有异议的评委会成员可以书面方式阐述其不同意见和理由。评标委员会成员拒绝在评标报告上签字且不陈述其不同意见和理由的，视为同意评标结论。</w:t>
      </w:r>
    </w:p>
    <w:p w14:paraId="6CF9AF48">
      <w:pPr>
        <w:adjustRightInd w:val="0"/>
        <w:snapToGrid w:val="0"/>
        <w:spacing w:line="360" w:lineRule="auto"/>
        <w:ind w:firstLine="420" w:firstLineChars="200"/>
        <w:rPr>
          <w:rFonts w:hint="eastAsia"/>
          <w:color w:val="auto"/>
          <w:highlight w:val="none"/>
          <w:lang w:val="en-US" w:eastAsia="zh-CN"/>
        </w:rPr>
      </w:pPr>
      <w:r>
        <w:rPr>
          <w:rFonts w:hint="eastAsia" w:ascii="宋体" w:hAnsi="宋体" w:eastAsia="宋体" w:cs="宋体"/>
          <w:color w:val="auto"/>
          <w:kern w:val="0"/>
          <w:szCs w:val="21"/>
          <w:highlight w:val="none"/>
          <w:lang w:val="en-US" w:eastAsia="zh-CN"/>
        </w:rPr>
        <w:t xml:space="preserve">4.7.3 </w:t>
      </w:r>
      <w:r>
        <w:rPr>
          <w:rFonts w:hint="eastAsia" w:ascii="宋体" w:hAnsi="宋体" w:eastAsia="宋体" w:cs="宋体"/>
          <w:color w:val="auto"/>
          <w:kern w:val="0"/>
          <w:szCs w:val="21"/>
          <w:highlight w:val="none"/>
        </w:rPr>
        <w:t>评标委员会作出</w:t>
      </w:r>
      <w:r>
        <w:rPr>
          <w:rFonts w:hint="eastAsia" w:ascii="宋体" w:hAnsi="宋体" w:eastAsia="宋体" w:cs="宋体"/>
          <w:color w:val="auto"/>
          <w:kern w:val="0"/>
          <w:szCs w:val="21"/>
          <w:highlight w:val="none"/>
          <w:lang w:eastAsia="zh-CN"/>
        </w:rPr>
        <w:t>否决投标</w:t>
      </w:r>
      <w:r>
        <w:rPr>
          <w:rFonts w:hint="eastAsia" w:ascii="宋体" w:hAnsi="宋体" w:eastAsia="宋体" w:cs="宋体"/>
          <w:color w:val="auto"/>
          <w:kern w:val="0"/>
          <w:szCs w:val="21"/>
          <w:highlight w:val="none"/>
        </w:rPr>
        <w:t>处理后，合格投标人数量不足3名</w:t>
      </w:r>
      <w:r>
        <w:rPr>
          <w:rFonts w:hint="eastAsia" w:ascii="宋体" w:hAnsi="宋体" w:eastAsia="宋体" w:cs="宋体"/>
          <w:color w:val="auto"/>
          <w:highlight w:val="none"/>
          <w:lang w:val="fr-CH" w:eastAsia="zh-CN"/>
        </w:rPr>
        <w:t>使得投标明显缺乏竞争</w:t>
      </w:r>
      <w:r>
        <w:rPr>
          <w:rFonts w:hint="eastAsia" w:ascii="宋体" w:hAnsi="宋体" w:eastAsia="宋体" w:cs="宋体"/>
          <w:color w:val="auto"/>
          <w:kern w:val="0"/>
          <w:szCs w:val="21"/>
          <w:highlight w:val="none"/>
        </w:rPr>
        <w:t>的，招标人应当宣布本次招标失败，重新招标。</w:t>
      </w:r>
    </w:p>
    <w:p w14:paraId="7B540AB6">
      <w:pPr>
        <w:pStyle w:val="3"/>
        <w:numPr>
          <w:ilvl w:val="0"/>
          <w:numId w:val="0"/>
        </w:numPr>
        <w:bidi w:val="0"/>
        <w:ind w:leftChars="0"/>
        <w:rPr>
          <w:rFonts w:hint="eastAsia" w:ascii="宋体" w:hAnsi="宋体" w:eastAsia="宋体" w:cs="宋体"/>
          <w:color w:val="auto"/>
          <w:highlight w:val="none"/>
          <w:lang w:val="en-US" w:eastAsia="zh-CN"/>
        </w:rPr>
      </w:pPr>
      <w:bookmarkStart w:id="1939" w:name="_Toc1142989410"/>
      <w:bookmarkStart w:id="1940" w:name="_Toc2039873112"/>
      <w:bookmarkStart w:id="1941" w:name="_Toc1611231526"/>
      <w:bookmarkStart w:id="1942" w:name="_Toc1108820703"/>
      <w:bookmarkStart w:id="1943" w:name="_Toc1275771989"/>
      <w:bookmarkStart w:id="1944" w:name="_Toc109004554"/>
      <w:bookmarkStart w:id="1945" w:name="_Toc901303334"/>
      <w:bookmarkStart w:id="1946" w:name="_Toc1063851248"/>
      <w:bookmarkStart w:id="1947" w:name="_Toc1652192927"/>
      <w:bookmarkStart w:id="1948" w:name="_Toc594920866"/>
      <w:bookmarkStart w:id="1949" w:name="_Toc530018399"/>
      <w:bookmarkStart w:id="1950" w:name="_Toc903515"/>
      <w:bookmarkStart w:id="1951" w:name="_Toc1771766252"/>
      <w:bookmarkStart w:id="1952" w:name="_Toc796790381"/>
      <w:bookmarkStart w:id="1953" w:name="_Toc585618492"/>
      <w:bookmarkStart w:id="1954" w:name="_Toc1550443649"/>
      <w:bookmarkStart w:id="1955" w:name="_Toc318252743"/>
      <w:bookmarkStart w:id="1956" w:name="_Toc1662328694"/>
      <w:bookmarkStart w:id="1957" w:name="_Toc1475148034"/>
      <w:bookmarkStart w:id="1958" w:name="_Toc1079650430"/>
      <w:bookmarkStart w:id="1959" w:name="_Toc1229922700"/>
      <w:bookmarkStart w:id="1960" w:name="_Toc2055553509"/>
      <w:bookmarkStart w:id="1961" w:name="_Toc1327317232"/>
      <w:bookmarkStart w:id="1962" w:name="_Toc173312392"/>
      <w:bookmarkStart w:id="1963" w:name="_Toc17313"/>
      <w:bookmarkStart w:id="1964" w:name="_Toc2093609672"/>
      <w:bookmarkStart w:id="1965" w:name="_Toc1873778488"/>
      <w:bookmarkStart w:id="1966" w:name="_Toc859275614"/>
      <w:bookmarkStart w:id="1967" w:name="_Toc1008255010"/>
      <w:bookmarkStart w:id="1968" w:name="_Toc987802875"/>
      <w:bookmarkStart w:id="1969" w:name="_Toc1603878253"/>
      <w:bookmarkStart w:id="1970" w:name="_Toc96291912"/>
      <w:bookmarkStart w:id="1971" w:name="_Toc803062083"/>
      <w:bookmarkStart w:id="1972" w:name="_Toc1427163761"/>
      <w:bookmarkStart w:id="1973" w:name="_Toc373959006"/>
      <w:r>
        <w:rPr>
          <w:rFonts w:hint="eastAsia" w:ascii="宋体" w:hAnsi="宋体" w:eastAsia="宋体" w:cs="宋体"/>
          <w:color w:val="auto"/>
          <w:highlight w:val="none"/>
          <w:lang w:val="en-US" w:eastAsia="zh-CN"/>
        </w:rPr>
        <w:t>5</w:t>
      </w:r>
      <w:r>
        <w:rPr>
          <w:rFonts w:hint="eastAsia" w:ascii="宋体" w:hAnsi="宋体" w:cs="宋体"/>
          <w:color w:val="auto"/>
          <w:highlight w:val="none"/>
          <w:lang w:val="en-US" w:eastAsia="zh-CN"/>
        </w:rPr>
        <w:t>.</w:t>
      </w:r>
      <w:r>
        <w:rPr>
          <w:rFonts w:hint="eastAsia" w:ascii="宋体" w:hAnsi="宋体" w:eastAsia="宋体" w:cs="宋体"/>
          <w:color w:val="auto"/>
          <w:highlight w:val="none"/>
          <w:lang w:val="en-US" w:eastAsia="zh-CN"/>
        </w:rPr>
        <w:t xml:space="preserve"> 评标程序（</w:t>
      </w:r>
      <w:r>
        <w:rPr>
          <w:rFonts w:hint="eastAsia" w:ascii="宋体" w:hAnsi="宋体" w:cs="宋体"/>
          <w:color w:val="auto"/>
          <w:highlight w:val="none"/>
          <w:lang w:val="en-US" w:eastAsia="zh-CN"/>
        </w:rPr>
        <w:t>适用于</w:t>
      </w:r>
      <w:r>
        <w:rPr>
          <w:rFonts w:hint="eastAsia" w:ascii="宋体" w:hAnsi="宋体" w:eastAsia="宋体" w:cs="宋体"/>
          <w:color w:val="auto"/>
          <w:highlight w:val="none"/>
          <w:lang w:val="en-US" w:eastAsia="zh-CN"/>
        </w:rPr>
        <w:t>定量评审）</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14:paraId="0C4BB108">
      <w:pPr>
        <w:pStyle w:val="4"/>
        <w:bidi w:val="0"/>
        <w:rPr>
          <w:rFonts w:hint="eastAsia" w:ascii="宋体" w:hAnsi="宋体" w:eastAsia="宋体" w:cs="宋体"/>
          <w:color w:val="auto"/>
          <w:highlight w:val="none"/>
          <w:lang w:val="en-US" w:eastAsia="zh-CN"/>
        </w:rPr>
      </w:pPr>
      <w:bookmarkStart w:id="1974" w:name="_Toc418699922"/>
      <w:bookmarkStart w:id="1975" w:name="_Toc821753435"/>
      <w:bookmarkStart w:id="1976" w:name="_Toc509716698"/>
      <w:bookmarkStart w:id="1977" w:name="_Toc939763480"/>
      <w:bookmarkStart w:id="1978" w:name="_Toc528424002"/>
      <w:bookmarkStart w:id="1979" w:name="_Toc1897374323"/>
      <w:bookmarkStart w:id="1980" w:name="_Toc2086095195"/>
      <w:bookmarkStart w:id="1981" w:name="_Toc496595645"/>
      <w:bookmarkStart w:id="1982" w:name="_Toc1209600907"/>
      <w:bookmarkStart w:id="1983" w:name="_Toc1084583419"/>
      <w:bookmarkStart w:id="1984" w:name="_Toc207591047"/>
      <w:bookmarkStart w:id="1985" w:name="_Toc89184904"/>
      <w:bookmarkStart w:id="1986" w:name="_Toc423384955"/>
      <w:bookmarkStart w:id="1987" w:name="_Toc1845269740"/>
      <w:bookmarkStart w:id="1988" w:name="_Toc840610431"/>
      <w:bookmarkStart w:id="1989" w:name="_Toc380079975"/>
      <w:bookmarkStart w:id="1990" w:name="_Toc983238246"/>
      <w:r>
        <w:rPr>
          <w:rFonts w:hint="eastAsia" w:ascii="宋体" w:hAnsi="宋体" w:eastAsia="宋体" w:cs="宋体"/>
          <w:color w:val="auto"/>
          <w:highlight w:val="none"/>
          <w:lang w:val="en-US" w:eastAsia="zh-CN"/>
        </w:rPr>
        <w:t>5.1 评标程序表</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14:paraId="421590B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评标委员会成员应按《评标程序表》（定量评审）规定的程序及步骤对投标文件进行评审，并由评标委员会汇总评审意见，推荐定标候选人，出具评标报告。</w:t>
      </w:r>
    </w:p>
    <w:p w14:paraId="47A8AA3A">
      <w:pPr>
        <w:spacing w:line="360" w:lineRule="auto"/>
        <w:ind w:left="425"/>
        <w:jc w:val="center"/>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rPr>
        <w:t>评标程序表</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lang w:val="en-US" w:eastAsia="zh-CN"/>
        </w:rPr>
        <w:t>定量评审</w:t>
      </w:r>
      <w:r>
        <w:rPr>
          <w:rFonts w:hint="eastAsia" w:ascii="宋体" w:hAnsi="宋体" w:eastAsia="宋体" w:cs="宋体"/>
          <w:b/>
          <w:color w:val="auto"/>
          <w:szCs w:val="21"/>
          <w:highlight w:val="none"/>
          <w:lang w:eastAsia="zh-CN"/>
        </w:rPr>
        <w:t>）</w:t>
      </w:r>
    </w:p>
    <w:tbl>
      <w:tblPr>
        <w:tblStyle w:val="27"/>
        <w:tblW w:w="7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842"/>
        <w:gridCol w:w="5253"/>
      </w:tblGrid>
      <w:tr w14:paraId="0DDA8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659" w:type="dxa"/>
            <w:gridSpan w:val="2"/>
            <w:noWrap w:val="0"/>
            <w:vAlign w:val="center"/>
          </w:tcPr>
          <w:p w14:paraId="4D16F7F7">
            <w:pPr>
              <w:keepNext w:val="0"/>
              <w:keepLines w:val="0"/>
              <w:pageBreakBefore w:val="0"/>
              <w:widowControl/>
              <w:kinsoku/>
              <w:wordWrap/>
              <w:overflowPunct/>
              <w:topLinePunct w:val="0"/>
              <w:autoSpaceDE/>
              <w:autoSpaceDN/>
              <w:bidi w:val="0"/>
              <w:adjustRightInd/>
              <w:snapToGrid w:val="0"/>
              <w:spacing w:line="240" w:lineRule="auto"/>
              <w:ind w:firstLine="422" w:firstLineChars="0"/>
              <w:jc w:val="center"/>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Cs w:val="21"/>
                <w:highlight w:val="none"/>
                <w:lang w:val="en-US" w:eastAsia="zh-CN"/>
              </w:rPr>
              <w:t>评标程序</w:t>
            </w:r>
          </w:p>
        </w:tc>
        <w:tc>
          <w:tcPr>
            <w:tcW w:w="5253" w:type="dxa"/>
            <w:noWrap w:val="0"/>
            <w:vAlign w:val="center"/>
          </w:tcPr>
          <w:p w14:paraId="0B11C2C2">
            <w:pPr>
              <w:keepNext w:val="0"/>
              <w:keepLines w:val="0"/>
              <w:pageBreakBefore w:val="0"/>
              <w:widowControl/>
              <w:kinsoku/>
              <w:wordWrap/>
              <w:overflowPunct/>
              <w:topLinePunct w:val="0"/>
              <w:autoSpaceDE/>
              <w:autoSpaceDN/>
              <w:bidi w:val="0"/>
              <w:adjustRightInd/>
              <w:snapToGrid w:val="0"/>
              <w:spacing w:line="240" w:lineRule="auto"/>
              <w:ind w:firstLine="422" w:firstLineChars="0"/>
              <w:jc w:val="center"/>
              <w:textAlignment w:val="auto"/>
              <w:rPr>
                <w:rFonts w:hint="eastAsia"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lang w:val="en-US" w:eastAsia="zh-CN"/>
              </w:rPr>
              <w:t>工作程序</w:t>
            </w:r>
          </w:p>
        </w:tc>
      </w:tr>
      <w:tr w14:paraId="6AAD2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17" w:type="dxa"/>
            <w:noWrap w:val="0"/>
            <w:vAlign w:val="center"/>
          </w:tcPr>
          <w:p w14:paraId="07B57D3C">
            <w:pPr>
              <w:keepNext w:val="0"/>
              <w:keepLines w:val="0"/>
              <w:pageBreakBefore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程序</w:t>
            </w:r>
            <w:r>
              <w:rPr>
                <w:rFonts w:hint="eastAsia" w:ascii="宋体" w:hAnsi="宋体" w:eastAsia="宋体" w:cs="宋体"/>
                <w:color w:val="auto"/>
                <w:kern w:val="0"/>
                <w:szCs w:val="21"/>
                <w:highlight w:val="none"/>
                <w:lang w:val="en-US" w:eastAsia="zh-CN"/>
              </w:rPr>
              <w:t>1</w:t>
            </w:r>
          </w:p>
        </w:tc>
        <w:tc>
          <w:tcPr>
            <w:tcW w:w="1842" w:type="dxa"/>
            <w:noWrap w:val="0"/>
            <w:vAlign w:val="center"/>
          </w:tcPr>
          <w:p w14:paraId="2A04B39D">
            <w:pPr>
              <w:keepNext w:val="0"/>
              <w:keepLines w:val="0"/>
              <w:pageBreakBefore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vertAlign w:val="baseline"/>
                <w:lang w:val="en-US" w:eastAsia="zh-CN"/>
              </w:rPr>
              <w:t>技术标评审</w:t>
            </w:r>
          </w:p>
        </w:tc>
        <w:tc>
          <w:tcPr>
            <w:tcW w:w="5253" w:type="dxa"/>
            <w:noWrap w:val="0"/>
            <w:vAlign w:val="center"/>
          </w:tcPr>
          <w:p w14:paraId="60CE478E">
            <w:pPr>
              <w:keepNext w:val="0"/>
              <w:keepLines w:val="0"/>
              <w:pageBreakBefore w:val="0"/>
              <w:kinsoku/>
              <w:wordWrap/>
              <w:overflowPunct/>
              <w:topLinePunct w:val="0"/>
              <w:autoSpaceDE/>
              <w:autoSpaceDN/>
              <w:bidi w:val="0"/>
              <w:adjustRightInd/>
              <w:spacing w:line="240" w:lineRule="auto"/>
              <w:jc w:val="left"/>
              <w:textAlignment w:val="auto"/>
              <w:rPr>
                <w:rFonts w:hint="eastAsia" w:ascii="宋体" w:hAnsi="宋体" w:eastAsia="宋体" w:cs="宋体"/>
                <w:color w:val="auto"/>
                <w:kern w:val="2"/>
                <w:sz w:val="21"/>
                <w:szCs w:val="24"/>
                <w:highlight w:val="none"/>
                <w:vertAlign w:val="baseline"/>
                <w:lang w:val="en-US" w:eastAsia="zh-CN" w:bidi="ar-SA"/>
              </w:rPr>
            </w:pPr>
            <w:r>
              <w:rPr>
                <w:rFonts w:hint="eastAsia" w:ascii="宋体" w:hAnsi="宋体" w:eastAsia="宋体" w:cs="宋体"/>
                <w:color w:val="auto"/>
                <w:kern w:val="0"/>
                <w:szCs w:val="21"/>
                <w:highlight w:val="none"/>
                <w:lang w:val="en-US" w:eastAsia="zh-CN"/>
              </w:rPr>
              <w:t>对入围投标人的技术标进行评审。</w:t>
            </w:r>
          </w:p>
        </w:tc>
      </w:tr>
      <w:tr w14:paraId="530E3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817" w:type="dxa"/>
            <w:noWrap w:val="0"/>
            <w:vAlign w:val="center"/>
          </w:tcPr>
          <w:p w14:paraId="01C13A31">
            <w:pPr>
              <w:keepNext w:val="0"/>
              <w:keepLines w:val="0"/>
              <w:pageBreakBefore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kern w:val="2"/>
                <w:sz w:val="21"/>
                <w:szCs w:val="24"/>
                <w:highlight w:val="none"/>
                <w:vertAlign w:val="baseline"/>
                <w:lang w:val="en-US" w:eastAsia="zh-CN" w:bidi="ar-SA"/>
              </w:rPr>
            </w:pPr>
            <w:r>
              <w:rPr>
                <w:rFonts w:hint="eastAsia" w:ascii="宋体" w:hAnsi="宋体" w:eastAsia="宋体" w:cs="宋体"/>
                <w:color w:val="auto"/>
                <w:kern w:val="0"/>
                <w:szCs w:val="21"/>
                <w:highlight w:val="none"/>
              </w:rPr>
              <w:t>程序</w:t>
            </w:r>
            <w:r>
              <w:rPr>
                <w:rFonts w:hint="eastAsia" w:ascii="宋体" w:hAnsi="宋体" w:eastAsia="宋体" w:cs="宋体"/>
                <w:color w:val="auto"/>
                <w:kern w:val="0"/>
                <w:szCs w:val="21"/>
                <w:highlight w:val="none"/>
                <w:lang w:val="en-US" w:eastAsia="zh-CN"/>
              </w:rPr>
              <w:t>2</w:t>
            </w:r>
          </w:p>
        </w:tc>
        <w:tc>
          <w:tcPr>
            <w:tcW w:w="1842" w:type="dxa"/>
            <w:noWrap w:val="0"/>
            <w:vAlign w:val="center"/>
          </w:tcPr>
          <w:p w14:paraId="26361C70">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lang w:val="en-US" w:eastAsia="zh-CN"/>
              </w:rPr>
              <w:t>资信标</w:t>
            </w:r>
            <w:r>
              <w:rPr>
                <w:rFonts w:hint="eastAsia" w:ascii="宋体" w:hAnsi="宋体" w:eastAsia="宋体" w:cs="宋体"/>
                <w:color w:val="auto"/>
                <w:kern w:val="0"/>
                <w:szCs w:val="21"/>
                <w:highlight w:val="none"/>
              </w:rPr>
              <w:t>评审</w:t>
            </w:r>
          </w:p>
        </w:tc>
        <w:tc>
          <w:tcPr>
            <w:tcW w:w="5253" w:type="dxa"/>
            <w:noWrap w:val="0"/>
            <w:vAlign w:val="center"/>
          </w:tcPr>
          <w:p w14:paraId="781E3FAE">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lang w:val="en-US" w:eastAsia="zh-CN"/>
              </w:rPr>
              <w:t>对技术标评审合格投标人的资信标进行评审。</w:t>
            </w:r>
          </w:p>
        </w:tc>
      </w:tr>
      <w:tr w14:paraId="7932C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817" w:type="dxa"/>
            <w:noWrap w:val="0"/>
            <w:vAlign w:val="center"/>
          </w:tcPr>
          <w:p w14:paraId="1CA0AEDE">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4"/>
                <w:highlight w:val="none"/>
                <w:vertAlign w:val="baseline"/>
                <w:lang w:val="en-US" w:eastAsia="zh-CN" w:bidi="ar-SA"/>
              </w:rPr>
            </w:pPr>
            <w:r>
              <w:rPr>
                <w:rFonts w:hint="eastAsia" w:ascii="宋体" w:hAnsi="宋体" w:eastAsia="宋体" w:cs="宋体"/>
                <w:color w:val="auto"/>
                <w:kern w:val="0"/>
                <w:szCs w:val="21"/>
                <w:highlight w:val="none"/>
                <w:lang w:val="en-US" w:eastAsia="zh-CN"/>
              </w:rPr>
              <w:t>程序3</w:t>
            </w:r>
          </w:p>
        </w:tc>
        <w:tc>
          <w:tcPr>
            <w:tcW w:w="1842" w:type="dxa"/>
            <w:noWrap w:val="0"/>
            <w:vAlign w:val="center"/>
          </w:tcPr>
          <w:p w14:paraId="12B1A3B8">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lang w:val="en-US" w:eastAsia="zh-CN"/>
              </w:rPr>
              <w:t>经济标</w:t>
            </w:r>
            <w:r>
              <w:rPr>
                <w:rFonts w:hint="eastAsia" w:ascii="宋体" w:hAnsi="宋体" w:eastAsia="宋体" w:cs="宋体"/>
                <w:color w:val="auto"/>
                <w:kern w:val="0"/>
                <w:szCs w:val="21"/>
                <w:highlight w:val="none"/>
              </w:rPr>
              <w:t>评审</w:t>
            </w:r>
          </w:p>
        </w:tc>
        <w:tc>
          <w:tcPr>
            <w:tcW w:w="5253" w:type="dxa"/>
            <w:noWrap w:val="0"/>
            <w:vAlign w:val="center"/>
          </w:tcPr>
          <w:p w14:paraId="0E03227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lang w:val="en-US" w:eastAsia="zh-CN"/>
              </w:rPr>
              <w:t>对投标人的经济标进行评审。</w:t>
            </w:r>
          </w:p>
        </w:tc>
      </w:tr>
      <w:tr w14:paraId="5504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21970754">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程序4</w:t>
            </w:r>
          </w:p>
        </w:tc>
        <w:tc>
          <w:tcPr>
            <w:tcW w:w="1842" w:type="dxa"/>
            <w:noWrap w:val="0"/>
            <w:vAlign w:val="center"/>
          </w:tcPr>
          <w:p w14:paraId="208325B0">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定标候选人推荐</w:t>
            </w:r>
          </w:p>
        </w:tc>
        <w:tc>
          <w:tcPr>
            <w:tcW w:w="5253" w:type="dxa"/>
            <w:noWrap w:val="0"/>
            <w:vAlign w:val="center"/>
          </w:tcPr>
          <w:p w14:paraId="04944A97">
            <w:pPr>
              <w:keepNext w:val="0"/>
              <w:keepLines w:val="0"/>
              <w:pageBreakBefore w:val="0"/>
              <w:kinsoku/>
              <w:wordWrap/>
              <w:overflowPunct/>
              <w:topLinePunct w:val="0"/>
              <w:autoSpaceDE/>
              <w:autoSpaceDN/>
              <w:bidi w:val="0"/>
              <w:adjustRightInd/>
              <w:spacing w:line="360" w:lineRule="auto"/>
              <w:ind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kern w:val="0"/>
                <w:szCs w:val="21"/>
                <w:highlight w:val="none"/>
              </w:rPr>
              <w:t>将各投标单位的技术标得分、</w:t>
            </w:r>
            <w:r>
              <w:rPr>
                <w:rFonts w:hint="eastAsia" w:ascii="宋体" w:hAnsi="宋体" w:cs="宋体"/>
                <w:color w:val="auto"/>
                <w:kern w:val="0"/>
                <w:szCs w:val="21"/>
                <w:highlight w:val="none"/>
                <w:lang w:eastAsia="zh-CN"/>
              </w:rPr>
              <w:t>资信标</w:t>
            </w:r>
            <w:r>
              <w:rPr>
                <w:rFonts w:hint="eastAsia" w:ascii="宋体" w:hAnsi="宋体" w:eastAsia="宋体" w:cs="宋体"/>
                <w:color w:val="auto"/>
                <w:kern w:val="0"/>
                <w:szCs w:val="21"/>
                <w:highlight w:val="none"/>
              </w:rPr>
              <w:t>得分</w:t>
            </w:r>
            <w:r>
              <w:rPr>
                <w:rFonts w:hint="eastAsia" w:ascii="宋体" w:hAnsi="宋体" w:eastAsia="宋体" w:cs="宋体"/>
                <w:color w:val="auto"/>
                <w:szCs w:val="21"/>
                <w:highlight w:val="none"/>
              </w:rPr>
              <w:t>和经济标得分</w:t>
            </w:r>
            <w:r>
              <w:rPr>
                <w:rFonts w:hint="eastAsia" w:ascii="宋体" w:hAnsi="宋体" w:eastAsia="宋体" w:cs="宋体"/>
                <w:color w:val="auto"/>
                <w:kern w:val="0"/>
                <w:szCs w:val="21"/>
                <w:highlight w:val="none"/>
              </w:rPr>
              <w:t>相加得出其</w:t>
            </w:r>
            <w:r>
              <w:rPr>
                <w:rFonts w:hint="eastAsia" w:ascii="宋体" w:hAnsi="宋体" w:eastAsia="宋体" w:cs="宋体"/>
                <w:color w:val="auto"/>
                <w:kern w:val="0"/>
                <w:szCs w:val="21"/>
                <w:highlight w:val="none"/>
                <w:lang w:eastAsia="zh-CN"/>
              </w:rPr>
              <w:t>评审总得分</w:t>
            </w:r>
            <w:r>
              <w:rPr>
                <w:rFonts w:hint="eastAsia" w:ascii="宋体" w:hAnsi="宋体" w:eastAsia="宋体" w:cs="宋体"/>
                <w:color w:val="auto"/>
                <w:kern w:val="0"/>
                <w:szCs w:val="21"/>
                <w:highlight w:val="none"/>
              </w:rPr>
              <w:t>，评标委员会根据</w:t>
            </w:r>
            <w:r>
              <w:rPr>
                <w:rFonts w:hint="eastAsia" w:ascii="宋体" w:hAnsi="宋体" w:eastAsia="宋体" w:cs="宋体"/>
                <w:color w:val="auto"/>
                <w:kern w:val="0"/>
                <w:szCs w:val="21"/>
                <w:highlight w:val="none"/>
                <w:lang w:eastAsia="zh-CN"/>
              </w:rPr>
              <w:t>评审总得分</w:t>
            </w:r>
            <w:r>
              <w:rPr>
                <w:rFonts w:hint="eastAsia" w:ascii="宋体" w:hAnsi="宋体" w:eastAsia="宋体" w:cs="宋体"/>
                <w:color w:val="auto"/>
                <w:kern w:val="0"/>
                <w:szCs w:val="21"/>
                <w:highlight w:val="none"/>
              </w:rPr>
              <w:t>，按从高到</w:t>
            </w:r>
            <w:r>
              <w:rPr>
                <w:rFonts w:hint="eastAsia" w:ascii="宋体" w:hAnsi="宋体" w:eastAsia="宋体" w:cs="宋体"/>
                <w:color w:val="auto"/>
                <w:kern w:val="0"/>
                <w:szCs w:val="21"/>
                <w:highlight w:val="none"/>
                <w:lang w:eastAsia="zh-CN"/>
              </w:rPr>
              <w:t>低的</w:t>
            </w:r>
            <w:r>
              <w:rPr>
                <w:rFonts w:hint="eastAsia" w:ascii="宋体" w:hAnsi="宋体" w:eastAsia="宋体" w:cs="宋体"/>
                <w:color w:val="auto"/>
                <w:kern w:val="0"/>
                <w:szCs w:val="21"/>
                <w:highlight w:val="none"/>
              </w:rPr>
              <w:t>顺序排列，推荐</w:t>
            </w:r>
            <w:r>
              <w:rPr>
                <w:rFonts w:hint="eastAsia" w:ascii="宋体" w:hAnsi="宋体" w:eastAsia="宋体" w:cs="宋体"/>
                <w:color w:val="auto"/>
                <w:kern w:val="0"/>
                <w:szCs w:val="21"/>
                <w:highlight w:val="none"/>
                <w:lang w:val="en-US" w:eastAsia="zh-CN"/>
              </w:rPr>
              <w:t>投标人须知前附表规定数量</w:t>
            </w:r>
            <w:r>
              <w:rPr>
                <w:rFonts w:hint="eastAsia" w:ascii="宋体" w:hAnsi="宋体" w:eastAsia="宋体" w:cs="宋体"/>
                <w:color w:val="auto"/>
                <w:kern w:val="0"/>
                <w:szCs w:val="21"/>
                <w:highlight w:val="none"/>
              </w:rPr>
              <w:t>的中标候选人</w:t>
            </w:r>
            <w:r>
              <w:rPr>
                <w:rFonts w:hint="eastAsia" w:ascii="宋体" w:hAnsi="宋体" w:eastAsia="宋体" w:cs="宋体"/>
                <w:color w:val="auto"/>
                <w:kern w:val="0"/>
                <w:szCs w:val="21"/>
                <w:highlight w:val="none"/>
                <w:lang w:eastAsia="zh-CN"/>
              </w:rPr>
              <w:t>。</w:t>
            </w:r>
          </w:p>
        </w:tc>
      </w:tr>
    </w:tbl>
    <w:p w14:paraId="13F08CB9">
      <w:pPr>
        <w:pageBreakBefore w:val="0"/>
        <w:kinsoku/>
        <w:wordWrap/>
        <w:overflowPunct/>
        <w:topLinePunct w:val="0"/>
        <w:autoSpaceDE/>
        <w:autoSpaceDN/>
        <w:bidi w:val="0"/>
        <w:adjustRightInd/>
        <w:spacing w:line="360" w:lineRule="auto"/>
        <w:ind w:firstLine="0" w:firstLineChars="0"/>
        <w:jc w:val="left"/>
        <w:textAlignment w:val="auto"/>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rPr>
        <w:t>备注：因有效的投标人少于3个使得投标明显缺乏竞争的，招标失败，由招标人</w:t>
      </w:r>
      <w:r>
        <w:rPr>
          <w:rFonts w:hint="eastAsia" w:ascii="宋体" w:hAnsi="宋体" w:eastAsia="宋体" w:cs="宋体"/>
          <w:b/>
          <w:bCs/>
          <w:color w:val="auto"/>
          <w:highlight w:val="none"/>
          <w:lang w:eastAsia="zh-CN"/>
        </w:rPr>
        <w:t>依法</w:t>
      </w:r>
      <w:r>
        <w:rPr>
          <w:rFonts w:hint="eastAsia" w:ascii="宋体" w:hAnsi="宋体" w:eastAsia="宋体" w:cs="宋体"/>
          <w:b/>
          <w:bCs/>
          <w:color w:val="auto"/>
          <w:highlight w:val="none"/>
        </w:rPr>
        <w:t>重新组织招标。</w:t>
      </w:r>
    </w:p>
    <w:p w14:paraId="0645D102">
      <w:pPr>
        <w:pStyle w:val="4"/>
        <w:bidi w:val="0"/>
        <w:rPr>
          <w:rFonts w:hint="eastAsia" w:ascii="宋体" w:hAnsi="宋体" w:eastAsia="宋体" w:cs="宋体"/>
          <w:color w:val="auto"/>
          <w:highlight w:val="none"/>
          <w:lang w:val="en-US" w:eastAsia="zh-CN"/>
        </w:rPr>
      </w:pPr>
      <w:bookmarkStart w:id="1991" w:name="_Toc1828537560"/>
      <w:bookmarkStart w:id="1992" w:name="_Toc228949256"/>
      <w:bookmarkStart w:id="1993" w:name="_Toc86963460"/>
      <w:bookmarkStart w:id="1994" w:name="_Toc1602630792"/>
      <w:bookmarkStart w:id="1995" w:name="_Toc2116678513"/>
      <w:bookmarkStart w:id="1996" w:name="_Toc997611039"/>
      <w:bookmarkStart w:id="1997" w:name="_Toc1483236499"/>
      <w:bookmarkStart w:id="1998" w:name="_Toc1342269659"/>
      <w:bookmarkStart w:id="1999" w:name="_Toc1533065838"/>
      <w:bookmarkStart w:id="2000" w:name="_Toc789612751"/>
      <w:bookmarkStart w:id="2001" w:name="_Toc1825552262"/>
      <w:bookmarkStart w:id="2002" w:name="_Toc1519145448"/>
      <w:bookmarkStart w:id="2003" w:name="_Toc1441605583"/>
      <w:bookmarkStart w:id="2004" w:name="_Toc730296644"/>
      <w:bookmarkStart w:id="2005" w:name="_Toc1794156412"/>
      <w:bookmarkStart w:id="2006" w:name="_Toc366369885"/>
      <w:bookmarkStart w:id="2007" w:name="_Toc1999425193"/>
      <w:r>
        <w:rPr>
          <w:rFonts w:hint="eastAsia" w:ascii="宋体" w:hAnsi="宋体" w:eastAsia="宋体" w:cs="宋体"/>
          <w:color w:val="auto"/>
          <w:highlight w:val="none"/>
          <w:lang w:val="en-US" w:eastAsia="zh-CN"/>
        </w:rPr>
        <w:t>5.</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 xml:space="preserve"> 技术标评审</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14:paraId="4516D038">
      <w:pPr>
        <w:adjustRightInd w:val="0"/>
        <w:snapToGrid w:val="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5.2.1 评标委员会根据本章第2.1款规定的标准对投标人的技术标进行初步评审。各评审项目评价等级均为“合格”的，综合评价等级为“合格”；出现违反招标文件否决性条款规定的情形或者有一项或以上的评审项目评价等级为“不合格”的，综合评价等级为“不合格”，评标委员会应当否决其投标。</w:t>
      </w:r>
    </w:p>
    <w:p w14:paraId="7D6EAC3D">
      <w:pPr>
        <w:adjustRightInd w:val="0"/>
        <w:snapToGrid w:val="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5.2.2 综合评价等级为“合格”的投标文件，评标委员会根据本章第2.2.2项规定的标准对技术标进行详细评审、打分。将各评委对投标人的技术标评分去掉一个最高分和一个最低分后取算术平均值即为该投标人的技术标得分（计算结果精确至小数点后两位，第三位四舍五入，保留两位小数）。</w:t>
      </w:r>
    </w:p>
    <w:p w14:paraId="4C24AE64">
      <w:pPr>
        <w:adjustRightInd w:val="0"/>
        <w:snapToGrid w:val="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5.2.3 技术标综合评价结论为“合格”的，方可进入下一阶段资信标的评审。</w:t>
      </w:r>
    </w:p>
    <w:p w14:paraId="4E0E009E">
      <w:pPr>
        <w:pStyle w:val="4"/>
        <w:bidi w:val="0"/>
        <w:rPr>
          <w:rFonts w:hint="eastAsia" w:ascii="宋体" w:hAnsi="宋体" w:eastAsia="宋体" w:cs="宋体"/>
          <w:color w:val="auto"/>
          <w:highlight w:val="none"/>
          <w:lang w:val="en-US" w:eastAsia="zh-CN"/>
        </w:rPr>
      </w:pPr>
      <w:bookmarkStart w:id="2008" w:name="_Toc1007016354"/>
      <w:bookmarkStart w:id="2009" w:name="_Toc1721899490"/>
      <w:bookmarkStart w:id="2010" w:name="_Toc996668084"/>
      <w:bookmarkStart w:id="2011" w:name="_Toc1976845"/>
      <w:bookmarkStart w:id="2012" w:name="_Toc1910356514"/>
      <w:bookmarkStart w:id="2013" w:name="_Toc1765367924"/>
      <w:bookmarkStart w:id="2014" w:name="_Toc1372723276"/>
      <w:bookmarkStart w:id="2015" w:name="_Toc215529210"/>
      <w:bookmarkStart w:id="2016" w:name="_Toc6256152"/>
      <w:bookmarkStart w:id="2017" w:name="_Toc1145263417"/>
      <w:bookmarkStart w:id="2018" w:name="_Toc355478101"/>
      <w:bookmarkStart w:id="2019" w:name="_Toc847579201"/>
      <w:bookmarkStart w:id="2020" w:name="_Toc1848777898"/>
      <w:bookmarkStart w:id="2021" w:name="_Toc1045771523"/>
      <w:bookmarkStart w:id="2022" w:name="_Toc1803895468"/>
      <w:bookmarkStart w:id="2023" w:name="_Toc1107668874"/>
      <w:bookmarkStart w:id="2024" w:name="_Toc1551060254"/>
      <w:r>
        <w:rPr>
          <w:rFonts w:hint="eastAsia" w:ascii="宋体" w:hAnsi="宋体" w:eastAsia="宋体" w:cs="宋体"/>
          <w:color w:val="auto"/>
          <w:highlight w:val="none"/>
          <w:lang w:val="en-US" w:eastAsia="zh-CN"/>
        </w:rPr>
        <w:t>5.</w:t>
      </w:r>
      <w:r>
        <w:rPr>
          <w:rFonts w:hint="eastAsia" w:ascii="宋体" w:hAnsi="宋体" w:cs="宋体"/>
          <w:color w:val="auto"/>
          <w:highlight w:val="none"/>
          <w:lang w:val="en-US" w:eastAsia="zh-CN"/>
        </w:rPr>
        <w:t>3</w:t>
      </w:r>
      <w:r>
        <w:rPr>
          <w:rFonts w:hint="eastAsia" w:ascii="宋体" w:hAnsi="宋体" w:eastAsia="宋体" w:cs="宋体"/>
          <w:color w:val="auto"/>
          <w:highlight w:val="none"/>
          <w:lang w:val="en-US" w:eastAsia="zh-CN"/>
        </w:rPr>
        <w:t xml:space="preserve"> 资信标评审</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14:paraId="2D0578BE">
      <w:pPr>
        <w:adjustRightInd w:val="0"/>
        <w:snapToGrid w:val="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5.3.1 评标委员会根据本章第2.1款规定的标准对投标人的资信标进行初步评审。各评审项目评价等级均为“合格”的，综合评价等级为“合格”；出现违反招标文件否决性条款规定的情形或者有一项或以上的评审项目评价等级为“不合格”的，综合评价等级为“不合格”，评标委员会应当否决其投标。</w:t>
      </w:r>
    </w:p>
    <w:p w14:paraId="20A3FEDA">
      <w:pPr>
        <w:adjustRightInd w:val="0"/>
        <w:snapToGrid w:val="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5.3.2 综合评价等级为“合格”的投标文件，评标委员会根据本章第2.2.2项规定的标准对资信标进行详细评审、打分。</w:t>
      </w:r>
    </w:p>
    <w:p w14:paraId="65ED7CAB">
      <w:pPr>
        <w:adjustRightInd w:val="0"/>
        <w:snapToGrid w:val="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5.3.3 资信标综合评价结论为“合格”的，方可进入下一阶段经济标的评审。</w:t>
      </w:r>
    </w:p>
    <w:p w14:paraId="58055F6D">
      <w:pPr>
        <w:pStyle w:val="4"/>
        <w:bidi w:val="0"/>
        <w:rPr>
          <w:rFonts w:hint="eastAsia" w:ascii="宋体" w:hAnsi="宋体" w:eastAsia="宋体" w:cs="宋体"/>
          <w:color w:val="auto"/>
          <w:highlight w:val="none"/>
          <w:lang w:val="en-US" w:eastAsia="zh-CN"/>
        </w:rPr>
      </w:pPr>
      <w:bookmarkStart w:id="2025" w:name="_Toc409867758"/>
      <w:bookmarkStart w:id="2026" w:name="_Toc168873012"/>
      <w:bookmarkStart w:id="2027" w:name="_Toc833674772"/>
      <w:bookmarkStart w:id="2028" w:name="_Toc531520876"/>
      <w:bookmarkStart w:id="2029" w:name="_Toc1104000150"/>
      <w:bookmarkStart w:id="2030" w:name="_Toc1780659345"/>
      <w:bookmarkStart w:id="2031" w:name="_Toc23002081"/>
      <w:bookmarkStart w:id="2032" w:name="_Toc1522146893"/>
      <w:bookmarkStart w:id="2033" w:name="_Toc907552834"/>
      <w:bookmarkStart w:id="2034" w:name="_Toc1529628660"/>
      <w:bookmarkStart w:id="2035" w:name="_Toc393773538"/>
      <w:bookmarkStart w:id="2036" w:name="_Toc1694458577"/>
      <w:bookmarkStart w:id="2037" w:name="_Toc2096299275"/>
      <w:bookmarkStart w:id="2038" w:name="_Toc200491064"/>
      <w:bookmarkStart w:id="2039" w:name="_Toc136894527"/>
      <w:bookmarkStart w:id="2040" w:name="_Toc1541331897"/>
      <w:bookmarkStart w:id="2041" w:name="_Toc2035787307"/>
      <w:r>
        <w:rPr>
          <w:rFonts w:hint="eastAsia" w:ascii="宋体" w:hAnsi="宋体" w:eastAsia="宋体" w:cs="宋体"/>
          <w:color w:val="auto"/>
          <w:highlight w:val="none"/>
          <w:lang w:val="en-US" w:eastAsia="zh-CN"/>
        </w:rPr>
        <w:t>5.</w:t>
      </w:r>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 xml:space="preserve"> 经济标评审</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p>
    <w:p w14:paraId="721E706A">
      <w:pPr>
        <w:numPr>
          <w:ilvl w:val="0"/>
          <w:numId w:val="0"/>
        </w:num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5.4.1 评标委员会根据本章第2.1款规定的标准对投标人的经济标进行初步评审。各评审项目评价等级均为“合格”的，综合评价等级为“合格”；出现违反招标文件否决性条款规定的情形或者有一项或以上的评审项目评价等级为“不合格”的，综合评价等级为“不合格”，评标委员会应当否决其投标。</w:t>
      </w:r>
    </w:p>
    <w:p w14:paraId="1609F5EF">
      <w:pPr>
        <w:numPr>
          <w:ilvl w:val="0"/>
          <w:numId w:val="0"/>
        </w:num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5.4.2 投标报价有算术错误及其他错误的，评标委员会按以下原则要求投标人对投标报价进行修正，并要求投标人书面澄清确认。投标人拒不澄清确认的，评标委员会应当否决其投标：</w:t>
      </w:r>
    </w:p>
    <w:p w14:paraId="0EF5466F">
      <w:pPr>
        <w:numPr>
          <w:ilvl w:val="0"/>
          <w:numId w:val="0"/>
        </w:num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w:t>
      </w:r>
      <w:r>
        <w:rPr>
          <w:rFonts w:hint="eastAsia" w:ascii="宋体" w:hAnsi="宋体"/>
          <w:color w:val="auto"/>
          <w:szCs w:val="21"/>
          <w:highlight w:val="none"/>
        </w:rPr>
        <w:t>投标总价大写金额与小写金额不一致的，以大写金额为准，修正相应小写金额</w:t>
      </w:r>
      <w:r>
        <w:rPr>
          <w:rFonts w:hint="eastAsia" w:ascii="宋体" w:hAnsi="宋体"/>
          <w:color w:val="auto"/>
          <w:szCs w:val="21"/>
          <w:highlight w:val="none"/>
          <w:lang w:eastAsia="zh-CN"/>
        </w:rPr>
        <w:t>；</w:t>
      </w:r>
    </w:p>
    <w:p w14:paraId="2C7099AF">
      <w:pPr>
        <w:numPr>
          <w:ilvl w:val="0"/>
          <w:numId w:val="0"/>
        </w:num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（2）投标总价与已标价工程量清单项目填报的价格累计总额不一致的，以投标总价为准，修正工程量清单项目报价累计总额。</w:t>
      </w:r>
    </w:p>
    <w:p w14:paraId="6471414F">
      <w:pPr>
        <w:spacing w:line="600" w:lineRule="exact"/>
        <w:ind w:firstLine="403" w:firstLineChars="192"/>
        <w:rPr>
          <w:rFonts w:hint="eastAsia" w:eastAsia="宋体"/>
          <w:b/>
          <w:bCs w:val="0"/>
          <w:color w:val="auto"/>
          <w:lang w:val="en-US" w:eastAsia="zh-CN"/>
        </w:rPr>
      </w:pPr>
      <w:r>
        <w:rPr>
          <w:rFonts w:hint="eastAsia" w:ascii="宋体" w:hAnsi="宋体" w:eastAsia="宋体" w:cs="宋体"/>
          <w:color w:val="auto"/>
          <w:szCs w:val="21"/>
          <w:highlight w:val="none"/>
          <w:lang w:val="en-US" w:eastAsia="zh-CN"/>
        </w:rPr>
        <w:t>5.4.3 当投标人的投标报价低于投标报价警戒值的，评标委员会须对低于投标报价警戒值的投标报价进行合理性评审，以评定其投标报价是否低于企业自身成本，被评为不合理的，不得进入经济标详细评审环节。</w:t>
      </w:r>
      <w:r>
        <w:rPr>
          <w:rFonts w:hint="eastAsia" w:ascii="宋体" w:hAnsi="宋体"/>
          <w:b/>
          <w:color w:val="auto"/>
          <w:szCs w:val="21"/>
          <w:highlight w:val="none"/>
          <w:lang w:val="fr-CH" w:eastAsia="zh-CN"/>
        </w:rPr>
        <w:t>投标报价</w:t>
      </w:r>
      <w:r>
        <w:rPr>
          <w:rFonts w:hint="eastAsia" w:ascii="宋体" w:hAnsi="宋体"/>
          <w:b/>
          <w:bCs w:val="0"/>
          <w:color w:val="auto"/>
          <w:szCs w:val="21"/>
          <w:highlight w:val="none"/>
          <w:lang w:val="fr-CH" w:eastAsia="zh-CN"/>
        </w:rPr>
        <w:t>低于</w:t>
      </w:r>
      <w:r>
        <w:rPr>
          <w:rFonts w:hint="eastAsia"/>
          <w:b/>
          <w:bCs w:val="0"/>
          <w:strike w:val="0"/>
          <w:dstrike w:val="0"/>
          <w:color w:val="auto"/>
          <w:szCs w:val="21"/>
          <w:highlight w:val="none"/>
          <w:u w:val="none"/>
          <w:lang w:eastAsia="zh-CN"/>
        </w:rPr>
        <w:t>警戒值</w:t>
      </w:r>
      <w:r>
        <w:rPr>
          <w:rFonts w:hint="eastAsia"/>
          <w:b/>
          <w:bCs w:val="0"/>
          <w:strike w:val="0"/>
          <w:dstrike w:val="0"/>
          <w:color w:val="auto"/>
          <w:szCs w:val="21"/>
          <w:highlight w:val="none"/>
          <w:u w:val="none"/>
        </w:rPr>
        <w:t>仅作为启动投标报价合理性评审工作的警戒线，不得直接认定为废标。</w:t>
      </w:r>
    </w:p>
    <w:p w14:paraId="5D87F34B">
      <w:pPr>
        <w:spacing w:line="600" w:lineRule="exact"/>
        <w:ind w:firstLine="403" w:firstLineChars="192"/>
        <w:rPr>
          <w:rFonts w:hint="eastAsia"/>
          <w:color w:val="auto"/>
          <w:szCs w:val="21"/>
        </w:rPr>
      </w:pPr>
      <w:r>
        <w:rPr>
          <w:rFonts w:hint="eastAsia"/>
          <w:color w:val="auto"/>
          <w:szCs w:val="21"/>
        </w:rPr>
        <w:t>评标委员会对投标报价合理性评审中，出现下列情形之一的，评标委员会应当认定该投标人的投标报价不合理：</w:t>
      </w:r>
    </w:p>
    <w:p w14:paraId="686FD8DE">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lang w:val="en-US" w:eastAsia="zh-CN"/>
        </w:rPr>
        <w:t>1</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投标人拒绝对报价的合理性进行说明的</w:t>
      </w:r>
      <w:r>
        <w:rPr>
          <w:rFonts w:hint="eastAsia" w:eastAsia="宋体" w:cs="Times New Roman"/>
          <w:color w:val="auto"/>
          <w:szCs w:val="24"/>
          <w:highlight w:val="none"/>
          <w:lang w:eastAsia="zh-CN"/>
        </w:rPr>
        <w:t>；</w:t>
      </w:r>
    </w:p>
    <w:p w14:paraId="7EBFE6EF">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lang w:val="en-US" w:eastAsia="zh-CN"/>
        </w:rPr>
        <w:t>2</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投标人的说明理由不充分的</w:t>
      </w:r>
      <w:r>
        <w:rPr>
          <w:rFonts w:hint="eastAsia" w:eastAsia="宋体" w:cs="Times New Roman"/>
          <w:color w:val="auto"/>
          <w:szCs w:val="24"/>
          <w:highlight w:val="none"/>
          <w:lang w:eastAsia="zh-CN"/>
        </w:rPr>
        <w:t>；</w:t>
      </w:r>
    </w:p>
    <w:p w14:paraId="3247E3CF">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lang w:val="en-US" w:eastAsia="zh-CN"/>
        </w:rPr>
        <w:t>3</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投标文件中应提供分析报告、证明材料而未提供的</w:t>
      </w:r>
      <w:r>
        <w:rPr>
          <w:rFonts w:hint="eastAsia" w:eastAsia="宋体" w:cs="Times New Roman"/>
          <w:color w:val="auto"/>
          <w:szCs w:val="24"/>
          <w:highlight w:val="none"/>
          <w:lang w:eastAsia="zh-CN"/>
        </w:rPr>
        <w:t>；</w:t>
      </w:r>
    </w:p>
    <w:p w14:paraId="10F9B842">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lang w:val="en-US" w:eastAsia="zh-CN"/>
        </w:rPr>
        <w:t>4</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投标人提供分析报告、证明材料不合理的</w:t>
      </w:r>
      <w:r>
        <w:rPr>
          <w:rFonts w:hint="eastAsia" w:eastAsia="宋体" w:cs="Times New Roman"/>
          <w:color w:val="auto"/>
          <w:szCs w:val="24"/>
          <w:highlight w:val="none"/>
          <w:lang w:eastAsia="zh-CN"/>
        </w:rPr>
        <w:t>；</w:t>
      </w:r>
    </w:p>
    <w:p w14:paraId="1CCEC5BE">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lang w:val="en-US" w:eastAsia="zh-CN"/>
        </w:rPr>
        <w:t>5</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投标人提供分析报告、证明材料不属实的</w:t>
      </w:r>
      <w:r>
        <w:rPr>
          <w:rFonts w:hint="eastAsia" w:eastAsia="宋体" w:cs="Times New Roman"/>
          <w:color w:val="auto"/>
          <w:szCs w:val="24"/>
          <w:highlight w:val="none"/>
          <w:lang w:eastAsia="zh-CN"/>
        </w:rPr>
        <w:t>；</w:t>
      </w:r>
    </w:p>
    <w:p w14:paraId="07472B7D">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lang w:val="en-US" w:eastAsia="zh-CN"/>
        </w:rPr>
        <w:t>6</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投标人以周转性材料已摊销完毕为由大幅度降低周转性材料标准的</w:t>
      </w:r>
      <w:r>
        <w:rPr>
          <w:rFonts w:hint="eastAsia" w:eastAsia="宋体" w:cs="Times New Roman"/>
          <w:color w:val="auto"/>
          <w:szCs w:val="24"/>
          <w:highlight w:val="none"/>
          <w:lang w:eastAsia="zh-CN"/>
        </w:rPr>
        <w:t>；</w:t>
      </w:r>
    </w:p>
    <w:p w14:paraId="516CD6CB">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lang w:val="en-US" w:eastAsia="zh-CN"/>
        </w:rPr>
        <w:t>7</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投标人以机械闲置或机械已折旧完毕为由大幅度降低施工机械台班单价</w:t>
      </w:r>
      <w:r>
        <w:rPr>
          <w:rFonts w:hint="eastAsia" w:eastAsia="宋体" w:cs="Times New Roman"/>
          <w:color w:val="auto"/>
          <w:szCs w:val="24"/>
          <w:highlight w:val="none"/>
          <w:lang w:eastAsia="zh-CN"/>
        </w:rPr>
        <w:t>；</w:t>
      </w:r>
    </w:p>
    <w:p w14:paraId="7E1F7414">
      <w:pPr>
        <w:spacing w:line="360" w:lineRule="auto"/>
        <w:ind w:firstLine="420" w:firstLineChars="200"/>
        <w:rPr>
          <w:rFonts w:hint="eastAsia" w:ascii="Times New Roman" w:hAnsi="Times New Roman" w:eastAsia="宋体" w:cs="Times New Roman"/>
          <w:color w:val="auto"/>
          <w:szCs w:val="24"/>
          <w:highlight w:val="none"/>
          <w:lang w:eastAsia="zh-CN"/>
        </w:rPr>
      </w:pP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lang w:val="en-US" w:eastAsia="zh-CN"/>
        </w:rPr>
        <w:t>8</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投标人以库存材料、构件、成品、半成品、设备、元器件、器材为由大幅度降低工程造价的</w:t>
      </w:r>
      <w:r>
        <w:rPr>
          <w:rFonts w:hint="eastAsia" w:eastAsia="宋体" w:cs="Times New Roman"/>
          <w:color w:val="auto"/>
          <w:szCs w:val="24"/>
          <w:highlight w:val="none"/>
          <w:lang w:eastAsia="zh-CN"/>
        </w:rPr>
        <w:t>；</w:t>
      </w:r>
    </w:p>
    <w:p w14:paraId="23F106B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lang w:val="en-US" w:eastAsia="zh-CN"/>
        </w:rPr>
        <w:t>9</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投标人采用无牌无证产品或不合格产品的。</w:t>
      </w:r>
    </w:p>
    <w:p w14:paraId="0CB53DC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kern w:val="2"/>
          <w:sz w:val="21"/>
          <w:szCs w:val="21"/>
          <w:highlight w:val="none"/>
          <w:lang w:val="en-US" w:eastAsia="zh-CN" w:bidi="ar-SA"/>
        </w:rPr>
        <w:t>5.4.4 综合评价等级为“合格”的投标文件，</w:t>
      </w:r>
      <w:r>
        <w:rPr>
          <w:rFonts w:hint="eastAsia" w:ascii="宋体" w:hAnsi="宋体" w:eastAsia="宋体" w:cs="宋体"/>
          <w:color w:val="auto"/>
          <w:szCs w:val="21"/>
          <w:highlight w:val="none"/>
        </w:rPr>
        <w:t>评标委员会按本章第2.</w:t>
      </w:r>
      <w:r>
        <w:rPr>
          <w:rFonts w:hint="eastAsia" w:ascii="宋体" w:hAnsi="宋体" w:eastAsia="宋体" w:cs="宋体"/>
          <w:color w:val="auto"/>
          <w:szCs w:val="21"/>
          <w:highlight w:val="none"/>
          <w:lang w:val="en-US" w:eastAsia="zh-CN"/>
        </w:rPr>
        <w:t>2.2项</w:t>
      </w:r>
      <w:r>
        <w:rPr>
          <w:rFonts w:hint="eastAsia" w:ascii="宋体" w:hAnsi="宋体" w:eastAsia="宋体" w:cs="宋体"/>
          <w:color w:val="auto"/>
          <w:szCs w:val="21"/>
          <w:highlight w:val="none"/>
        </w:rPr>
        <w:t>规定的量化因素和标准进行价格折算，计算出</w:t>
      </w:r>
      <w:r>
        <w:rPr>
          <w:rFonts w:hint="eastAsia" w:ascii="宋体" w:hAnsi="宋体" w:eastAsia="宋体" w:cs="宋体"/>
          <w:color w:val="auto"/>
          <w:szCs w:val="21"/>
          <w:highlight w:val="none"/>
          <w:lang w:val="en-US" w:eastAsia="zh-CN"/>
        </w:rPr>
        <w:t>评标基准价以及投标人的经济标得分。</w:t>
      </w:r>
    </w:p>
    <w:p w14:paraId="6E2C1B42">
      <w:pPr>
        <w:pStyle w:val="4"/>
        <w:bidi w:val="0"/>
        <w:rPr>
          <w:rFonts w:hint="eastAsia" w:ascii="宋体" w:hAnsi="宋体" w:eastAsia="宋体" w:cs="宋体"/>
          <w:b/>
          <w:bCs/>
          <w:color w:val="auto"/>
          <w:highlight w:val="none"/>
          <w:lang w:val="en-US" w:eastAsia="zh-CN"/>
        </w:rPr>
      </w:pPr>
      <w:bookmarkStart w:id="2042" w:name="_Toc932583064"/>
      <w:bookmarkStart w:id="2043" w:name="_Toc1091997262"/>
      <w:bookmarkStart w:id="2044" w:name="_Toc801575934"/>
      <w:bookmarkStart w:id="2045" w:name="_Toc1793590184"/>
      <w:bookmarkStart w:id="2046" w:name="_Toc2095106054"/>
      <w:bookmarkStart w:id="2047" w:name="_Toc1822586849"/>
      <w:bookmarkStart w:id="2048" w:name="_Toc1157003695"/>
      <w:bookmarkStart w:id="2049" w:name="_Toc696271387"/>
      <w:bookmarkStart w:id="2050" w:name="_Toc327230662"/>
      <w:bookmarkStart w:id="2051" w:name="_Toc631383916"/>
      <w:bookmarkStart w:id="2052" w:name="_Toc278518329"/>
      <w:bookmarkStart w:id="2053" w:name="_Toc192996222"/>
      <w:bookmarkStart w:id="2054" w:name="_Toc1393075955"/>
      <w:bookmarkStart w:id="2055" w:name="_Toc1173735425"/>
      <w:bookmarkStart w:id="2056" w:name="_Toc402928247"/>
      <w:bookmarkStart w:id="2057" w:name="_Toc401617732"/>
      <w:bookmarkStart w:id="2058" w:name="_Toc305627353"/>
      <w:r>
        <w:rPr>
          <w:rFonts w:hint="eastAsia" w:ascii="宋体" w:hAnsi="宋体" w:eastAsia="宋体" w:cs="宋体"/>
          <w:b/>
          <w:bCs/>
          <w:color w:val="auto"/>
          <w:highlight w:val="none"/>
          <w:lang w:val="en-US" w:eastAsia="zh-CN"/>
        </w:rPr>
        <w:t>5.</w:t>
      </w:r>
      <w:r>
        <w:rPr>
          <w:rFonts w:hint="eastAsia" w:ascii="宋体" w:hAnsi="宋体" w:cs="宋体"/>
          <w:b/>
          <w:bCs/>
          <w:color w:val="auto"/>
          <w:highlight w:val="none"/>
          <w:lang w:val="en-US" w:eastAsia="zh-CN"/>
        </w:rPr>
        <w:t>5</w:t>
      </w:r>
      <w:r>
        <w:rPr>
          <w:rFonts w:hint="eastAsia" w:ascii="宋体" w:hAnsi="宋体" w:eastAsia="宋体" w:cs="宋体"/>
          <w:b/>
          <w:bCs/>
          <w:color w:val="auto"/>
          <w:highlight w:val="none"/>
          <w:lang w:val="en-US" w:eastAsia="zh-CN"/>
        </w:rPr>
        <w:t xml:space="preserve"> 推荐定标候选人</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14:paraId="3D953EB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5.5.1 将投标人的技术标得分、资信标得分和经济标得分相加得出投标人的评审总得分。评标委员会按投标人评审总得分由高到低，推荐排名靠前但不排序的定标候选人，定标候选人的数量详见第二章“投标人须知”前附表第7.3项。</w:t>
      </w:r>
    </w:p>
    <w:p w14:paraId="270006F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5.5.2 若出现评审总得分有两家或以上投标单位的分值相同时，则依次按以下内容的得分高低确定投标人的排序：（1）经济标得分、（2）资信标得分、（3）技术标得分。若上述内容得分也相同时，则由评标委员会投票决定，并在评标报告中记录。</w:t>
      </w:r>
    </w:p>
    <w:p w14:paraId="2E0C7C8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5.5.3 当通过评标委员会评审的有效投标人数量已低于（或等于）规定的推荐定标候选人数量时，除投标文件出现无效投标情形外，所有投标人均推荐为定标候选人。</w:t>
      </w:r>
    </w:p>
    <w:p w14:paraId="5B3545DC">
      <w:pPr>
        <w:pStyle w:val="4"/>
        <w:bidi w:val="0"/>
        <w:rPr>
          <w:rFonts w:hint="default" w:ascii="宋体" w:hAnsi="宋体" w:eastAsia="宋体" w:cs="宋体"/>
          <w:b/>
          <w:bCs/>
          <w:color w:val="auto"/>
          <w:sz w:val="21"/>
          <w:szCs w:val="21"/>
          <w:highlight w:val="none"/>
          <w:lang w:val="en-US" w:eastAsia="zh-CN"/>
        </w:rPr>
      </w:pPr>
      <w:r>
        <w:rPr>
          <w:rFonts w:hint="default" w:ascii="宋体" w:hAnsi="宋体" w:cs="宋体"/>
          <w:b/>
          <w:bCs/>
          <w:color w:val="auto"/>
          <w:sz w:val="21"/>
          <w:szCs w:val="21"/>
          <w:highlight w:val="none"/>
          <w:lang w:val="en-US" w:eastAsia="zh-CN"/>
        </w:rPr>
        <w:t>5.</w:t>
      </w:r>
      <w:r>
        <w:rPr>
          <w:rFonts w:hint="eastAsia" w:ascii="宋体" w:hAnsi="宋体" w:cs="宋体"/>
          <w:b/>
          <w:bCs/>
          <w:color w:val="auto"/>
          <w:sz w:val="21"/>
          <w:szCs w:val="21"/>
          <w:highlight w:val="none"/>
          <w:lang w:val="en-US" w:eastAsia="zh-CN"/>
        </w:rPr>
        <w:t>6</w:t>
      </w:r>
      <w:r>
        <w:rPr>
          <w:rFonts w:hint="default" w:ascii="宋体" w:hAnsi="宋体" w:eastAsia="宋体" w:cs="宋体"/>
          <w:b/>
          <w:bCs/>
          <w:color w:val="auto"/>
          <w:sz w:val="21"/>
          <w:szCs w:val="21"/>
          <w:highlight w:val="none"/>
          <w:lang w:val="en-US" w:eastAsia="zh-CN"/>
        </w:rPr>
        <w:t xml:space="preserve"> </w:t>
      </w:r>
      <w:r>
        <w:rPr>
          <w:rFonts w:hint="eastAsia" w:ascii="宋体" w:hAnsi="宋体" w:cs="宋体"/>
          <w:b/>
          <w:bCs/>
          <w:color w:val="auto"/>
          <w:sz w:val="21"/>
          <w:szCs w:val="21"/>
          <w:highlight w:val="none"/>
          <w:lang w:val="en-US" w:eastAsia="zh-CN"/>
        </w:rPr>
        <w:t>评标结果</w:t>
      </w:r>
    </w:p>
    <w:p w14:paraId="7DFC8CCA">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5.6.1 </w:t>
      </w:r>
      <w:r>
        <w:rPr>
          <w:rFonts w:hint="eastAsia" w:ascii="宋体" w:hAnsi="宋体" w:eastAsia="宋体" w:cs="宋体"/>
          <w:color w:val="auto"/>
          <w:kern w:val="0"/>
          <w:szCs w:val="21"/>
          <w:highlight w:val="none"/>
        </w:rPr>
        <w:t>评标委员会实行少数服从多数的原则，评标结果经评标委员会全体成员过半数通过有效。</w:t>
      </w:r>
    </w:p>
    <w:p w14:paraId="75C33B54">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5.6.2</w:t>
      </w:r>
      <w:r>
        <w:rPr>
          <w:rFonts w:hint="eastAsia" w:ascii="宋体" w:hAnsi="宋体" w:eastAsia="宋体" w:cs="Times New Roman"/>
          <w:color w:val="auto"/>
          <w:szCs w:val="21"/>
          <w:highlight w:val="none"/>
          <w:lang w:val="en-US" w:eastAsia="zh-CN"/>
        </w:rPr>
        <w:t xml:space="preserve"> </w:t>
      </w:r>
      <w:r>
        <w:rPr>
          <w:rFonts w:hint="eastAsia" w:ascii="宋体" w:hAnsi="宋体"/>
          <w:color w:val="auto"/>
          <w:szCs w:val="21"/>
          <w:highlight w:val="none"/>
        </w:rPr>
        <w:t>评标完成后，</w:t>
      </w:r>
      <w:r>
        <w:rPr>
          <w:rFonts w:hint="eastAsia" w:ascii="宋体" w:hAnsi="宋体"/>
          <w:color w:val="auto"/>
          <w:szCs w:val="21"/>
          <w:highlight w:val="none"/>
          <w:lang w:val="en-US" w:eastAsia="zh-CN"/>
        </w:rPr>
        <w:t>评标委员会应当向招标人提交书面评标报告。</w:t>
      </w:r>
      <w:r>
        <w:rPr>
          <w:rFonts w:hint="eastAsia" w:ascii="宋体" w:hAnsi="宋体"/>
          <w:color w:val="auto"/>
          <w:szCs w:val="21"/>
          <w:highlight w:val="none"/>
        </w:rPr>
        <w:t>评标报告包括</w:t>
      </w:r>
      <w:r>
        <w:rPr>
          <w:rFonts w:hint="eastAsia" w:ascii="宋体" w:hAnsi="宋体"/>
          <w:color w:val="auto"/>
          <w:szCs w:val="21"/>
          <w:highlight w:val="none"/>
          <w:lang w:val="en-US" w:eastAsia="zh-CN"/>
        </w:rPr>
        <w:t>项目</w:t>
      </w:r>
      <w:r>
        <w:rPr>
          <w:rFonts w:hint="eastAsia" w:ascii="宋体" w:hAnsi="宋体"/>
          <w:color w:val="auto"/>
          <w:szCs w:val="21"/>
          <w:highlight w:val="none"/>
        </w:rPr>
        <w:t>基本情况、评标委员会成员名单、澄清和说明情况记录、</w:t>
      </w:r>
      <w:r>
        <w:rPr>
          <w:rFonts w:hint="eastAsia" w:ascii="宋体" w:hAnsi="宋体"/>
          <w:color w:val="auto"/>
          <w:szCs w:val="21"/>
          <w:highlight w:val="none"/>
          <w:lang w:val="en-US" w:eastAsia="zh-CN"/>
        </w:rPr>
        <w:t>否决投标</w:t>
      </w:r>
      <w:r>
        <w:rPr>
          <w:rFonts w:hint="eastAsia" w:ascii="宋体" w:hAnsi="宋体"/>
          <w:color w:val="auto"/>
          <w:szCs w:val="21"/>
          <w:highlight w:val="none"/>
        </w:rPr>
        <w:t>的判定情况说明、每个环节评审结果、专家评审表及定标候选人名单等内容。</w:t>
      </w:r>
      <w:r>
        <w:rPr>
          <w:rFonts w:hint="eastAsia" w:ascii="宋体" w:hAnsi="宋体" w:eastAsia="宋体" w:cs="宋体"/>
          <w:color w:val="auto"/>
          <w:kern w:val="0"/>
          <w:szCs w:val="21"/>
          <w:highlight w:val="none"/>
        </w:rPr>
        <w:t>评标报告由评标委员会全体成员签字，对评标结果持有异议的评委会成员可以书面方式阐述其不同意见和理由。评标委员会成员拒绝在评标报告上签字且不陈述其不同意见和理由的，视为同意评标结论。</w:t>
      </w:r>
    </w:p>
    <w:p w14:paraId="0FF841EB">
      <w:pPr>
        <w:adjustRightInd w:val="0"/>
        <w:snapToGrid w:val="0"/>
        <w:ind w:firstLine="420" w:firstLineChars="200"/>
        <w:rPr>
          <w:rFonts w:hint="eastAsia"/>
          <w:color w:val="auto"/>
          <w:highlight w:val="none"/>
          <w:lang w:val="en-US" w:eastAsia="zh-CN"/>
        </w:rPr>
      </w:pPr>
      <w:r>
        <w:rPr>
          <w:rFonts w:hint="eastAsia" w:ascii="宋体" w:hAnsi="宋体" w:eastAsia="宋体" w:cs="宋体"/>
          <w:color w:val="auto"/>
          <w:kern w:val="0"/>
          <w:szCs w:val="21"/>
          <w:highlight w:val="none"/>
          <w:lang w:val="en-US" w:eastAsia="zh-CN"/>
        </w:rPr>
        <w:t xml:space="preserve">5.6.3 </w:t>
      </w:r>
      <w:r>
        <w:rPr>
          <w:rFonts w:hint="eastAsia" w:ascii="宋体" w:hAnsi="宋体" w:eastAsia="宋体" w:cs="宋体"/>
          <w:color w:val="auto"/>
          <w:kern w:val="0"/>
          <w:szCs w:val="21"/>
          <w:highlight w:val="none"/>
        </w:rPr>
        <w:t>评标委员会作出</w:t>
      </w:r>
      <w:r>
        <w:rPr>
          <w:rFonts w:hint="eastAsia" w:ascii="宋体" w:hAnsi="宋体" w:eastAsia="宋体" w:cs="宋体"/>
          <w:color w:val="auto"/>
          <w:kern w:val="0"/>
          <w:szCs w:val="21"/>
          <w:highlight w:val="none"/>
          <w:lang w:eastAsia="zh-CN"/>
        </w:rPr>
        <w:t>否决投标</w:t>
      </w:r>
      <w:r>
        <w:rPr>
          <w:rFonts w:hint="eastAsia" w:ascii="宋体" w:hAnsi="宋体" w:eastAsia="宋体" w:cs="宋体"/>
          <w:color w:val="auto"/>
          <w:kern w:val="0"/>
          <w:szCs w:val="21"/>
          <w:highlight w:val="none"/>
        </w:rPr>
        <w:t>处理后，合格投标人数量不足3名</w:t>
      </w:r>
      <w:r>
        <w:rPr>
          <w:rFonts w:hint="eastAsia" w:ascii="宋体" w:hAnsi="宋体" w:eastAsia="宋体" w:cs="宋体"/>
          <w:color w:val="auto"/>
          <w:highlight w:val="none"/>
          <w:lang w:val="fr-CH" w:eastAsia="zh-CN"/>
        </w:rPr>
        <w:t>使得投标明显缺乏竞争</w:t>
      </w:r>
      <w:r>
        <w:rPr>
          <w:rFonts w:hint="eastAsia" w:ascii="宋体" w:hAnsi="宋体" w:eastAsia="宋体" w:cs="宋体"/>
          <w:color w:val="auto"/>
          <w:kern w:val="0"/>
          <w:szCs w:val="21"/>
          <w:highlight w:val="none"/>
        </w:rPr>
        <w:t>的，招标人应当宣布本次招标失败，重新招标。</w:t>
      </w:r>
    </w:p>
    <w:p w14:paraId="1F8E399B">
      <w:pPr>
        <w:pStyle w:val="3"/>
        <w:bidi w:val="0"/>
        <w:rPr>
          <w:rFonts w:hint="eastAsia" w:ascii="宋体" w:hAnsi="宋体" w:eastAsia="宋体" w:cs="宋体"/>
          <w:b/>
          <w:bCs/>
          <w:color w:val="auto"/>
          <w:highlight w:val="none"/>
          <w:lang w:val="en-US" w:eastAsia="zh-CN"/>
        </w:rPr>
      </w:pPr>
      <w:bookmarkStart w:id="2059" w:name="_Toc604116360"/>
      <w:bookmarkStart w:id="2060" w:name="_Toc2001369797"/>
      <w:bookmarkStart w:id="2061" w:name="_Toc1702352118"/>
      <w:bookmarkStart w:id="2062" w:name="_Toc723072117"/>
      <w:bookmarkStart w:id="2063" w:name="_Toc670682237"/>
      <w:bookmarkStart w:id="2064" w:name="_Toc80149443"/>
      <w:bookmarkStart w:id="2065" w:name="_Toc1567407029"/>
      <w:bookmarkStart w:id="2066" w:name="_Toc633118346"/>
      <w:bookmarkStart w:id="2067" w:name="_Toc1242646629"/>
      <w:bookmarkStart w:id="2068" w:name="_Toc1128992400"/>
      <w:bookmarkStart w:id="2069" w:name="_Toc513129893"/>
      <w:bookmarkStart w:id="2070" w:name="_Toc575778678"/>
      <w:bookmarkStart w:id="2071" w:name="_Toc1773338560"/>
      <w:bookmarkStart w:id="2072" w:name="_Toc1060797442"/>
      <w:bookmarkStart w:id="2073" w:name="_Toc1292455934"/>
      <w:bookmarkStart w:id="2074" w:name="_Toc83829522"/>
      <w:bookmarkStart w:id="2075" w:name="_Toc1428772904"/>
      <w:bookmarkStart w:id="2076" w:name="_Toc840255876"/>
      <w:bookmarkStart w:id="2077" w:name="_Toc23725"/>
      <w:bookmarkStart w:id="2078" w:name="_Toc604329002"/>
      <w:bookmarkStart w:id="2079" w:name="_Toc1078628032"/>
      <w:bookmarkStart w:id="2080" w:name="_Toc1066434457"/>
      <w:bookmarkStart w:id="2081" w:name="_Toc504950611"/>
      <w:bookmarkStart w:id="2082" w:name="_Toc339083929"/>
      <w:bookmarkStart w:id="2083" w:name="_Toc663324244"/>
      <w:bookmarkStart w:id="2084" w:name="_Toc873713857"/>
      <w:bookmarkStart w:id="2085" w:name="_Toc1561431302"/>
      <w:bookmarkStart w:id="2086" w:name="_Toc750307369"/>
      <w:bookmarkStart w:id="2087" w:name="_Toc631748268"/>
      <w:bookmarkStart w:id="2088" w:name="_Toc547027981"/>
      <w:bookmarkStart w:id="2089" w:name="_Toc1615796325"/>
      <w:bookmarkStart w:id="2090" w:name="_Toc1291344425"/>
      <w:bookmarkStart w:id="2091" w:name="_Toc2096344195"/>
      <w:bookmarkStart w:id="2092" w:name="_Toc1113694033"/>
      <w:bookmarkStart w:id="2093" w:name="_Toc1026696384"/>
      <w:r>
        <w:rPr>
          <w:rFonts w:hint="eastAsia" w:ascii="宋体" w:hAnsi="宋体" w:eastAsia="宋体" w:cs="宋体"/>
          <w:b/>
          <w:bCs/>
          <w:color w:val="auto"/>
          <w:highlight w:val="none"/>
          <w:lang w:val="en-US" w:eastAsia="zh-CN"/>
        </w:rPr>
        <w:t>6. 投标文件的评审</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14:paraId="1FFEC726">
      <w:pPr>
        <w:spacing w:line="360" w:lineRule="auto"/>
        <w:ind w:firstLine="420" w:firstLineChars="200"/>
        <w:rPr>
          <w:rFonts w:hint="eastAsia" w:ascii="宋体" w:hAnsi="宋体" w:eastAsia="宋体" w:cs="宋体"/>
          <w:color w:val="auto"/>
          <w:highlight w:val="none"/>
          <w:lang w:val="fr-CH" w:eastAsia="zh-CN"/>
        </w:rPr>
      </w:pPr>
      <w:r>
        <w:rPr>
          <w:rFonts w:hint="eastAsia" w:ascii="宋体" w:hAnsi="宋体" w:eastAsia="宋体" w:cs="宋体"/>
          <w:color w:val="auto"/>
          <w:highlight w:val="none"/>
          <w:lang w:val="fr-CH" w:eastAsia="zh-CN"/>
        </w:rPr>
        <w:t>评标委员会在评标过程中发现问题的，应当及时向招标人提出处理建议；发现招标文件内容违反有关强制性规定或者招标文件存在歧义、重大缺陷导致评标无法进行时，应当停止评标并向招标人说明情况；发现投标文件中含义不明确、对同类问题表述不一致、有明显文字和计算错误、</w:t>
      </w:r>
      <w:r>
        <w:rPr>
          <w:rFonts w:hint="eastAsia" w:ascii="宋体" w:hAnsi="宋体"/>
          <w:color w:val="auto"/>
          <w:szCs w:val="21"/>
          <w:highlight w:val="none"/>
          <w:lang w:val="en-US" w:eastAsia="zh-CN"/>
        </w:rPr>
        <w:t>报价出现负数（招标人提供的工程量清单综合单价为负数的除外）、</w:t>
      </w:r>
      <w:r>
        <w:rPr>
          <w:rFonts w:hint="eastAsia" w:ascii="宋体" w:hAnsi="宋体" w:eastAsia="宋体" w:cs="宋体"/>
          <w:color w:val="auto"/>
          <w:highlight w:val="none"/>
          <w:lang w:val="fr-CH" w:eastAsia="zh-CN"/>
        </w:rPr>
        <w:t>投标报价可能低于成本影响履约的，应当先请投标人作必要的澄清、说明，不得直接否决投标；因有效投标不足</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lang w:val="fr-CH" w:eastAsia="zh-CN"/>
        </w:rPr>
        <w:t>个的使得投标明显缺乏竞争的，评标委员会可以否决全部投标，但应在评标报告中详细说明理由；发现违法行为的，以及评标过程和结果受到非法影响或者干预的，应当及时向行政监督部门报告。</w:t>
      </w:r>
    </w:p>
    <w:p w14:paraId="430679DF">
      <w:pPr>
        <w:pStyle w:val="3"/>
        <w:bidi w:val="0"/>
        <w:rPr>
          <w:rFonts w:hint="eastAsia" w:ascii="宋体" w:hAnsi="宋体" w:eastAsia="宋体" w:cs="宋体"/>
          <w:b/>
          <w:bCs/>
          <w:color w:val="auto"/>
          <w:highlight w:val="none"/>
          <w:lang w:val="en-US" w:eastAsia="zh-CN"/>
        </w:rPr>
      </w:pPr>
      <w:bookmarkStart w:id="2094" w:name="_Toc2050511454"/>
      <w:bookmarkStart w:id="2095" w:name="_Toc1665418748"/>
      <w:bookmarkStart w:id="2096" w:name="_Toc452104373"/>
      <w:bookmarkStart w:id="2097" w:name="_Toc1688703918"/>
      <w:bookmarkStart w:id="2098" w:name="_Toc1236991958"/>
      <w:bookmarkStart w:id="2099" w:name="_Toc1985940796"/>
      <w:bookmarkStart w:id="2100" w:name="_Toc146249677"/>
      <w:bookmarkStart w:id="2101" w:name="_Toc602392695"/>
      <w:bookmarkStart w:id="2102" w:name="_Toc31667"/>
      <w:bookmarkStart w:id="2103" w:name="_Toc311070686"/>
      <w:bookmarkStart w:id="2104" w:name="_Toc65996259"/>
      <w:bookmarkStart w:id="2105" w:name="_Toc660571388"/>
      <w:bookmarkStart w:id="2106" w:name="_Toc1119569583"/>
      <w:bookmarkStart w:id="2107" w:name="_Toc1303955796"/>
      <w:bookmarkStart w:id="2108" w:name="_Toc751894172"/>
      <w:bookmarkStart w:id="2109" w:name="_Toc442651986"/>
      <w:bookmarkStart w:id="2110" w:name="_Toc721849099"/>
      <w:bookmarkStart w:id="2111" w:name="_Toc1546615072"/>
      <w:bookmarkStart w:id="2112" w:name="_Toc1586171062"/>
      <w:bookmarkStart w:id="2113" w:name="_Toc1478054821"/>
      <w:bookmarkStart w:id="2114" w:name="_Toc1297085926"/>
      <w:bookmarkStart w:id="2115" w:name="_Toc1108632796"/>
      <w:bookmarkStart w:id="2116" w:name="_Toc244737005"/>
      <w:bookmarkStart w:id="2117" w:name="_Toc2065958270"/>
      <w:bookmarkStart w:id="2118" w:name="_Toc1741499463"/>
      <w:bookmarkStart w:id="2119" w:name="_Toc2144473128"/>
      <w:bookmarkStart w:id="2120" w:name="_Toc1189440329"/>
      <w:bookmarkStart w:id="2121" w:name="_Toc283692172"/>
      <w:bookmarkStart w:id="2122" w:name="_Toc205818733"/>
      <w:bookmarkStart w:id="2123" w:name="_Toc1390112869"/>
      <w:bookmarkStart w:id="2124" w:name="_Toc873391750"/>
      <w:bookmarkStart w:id="2125" w:name="_Toc1596435613"/>
      <w:bookmarkStart w:id="2126" w:name="_Toc1501597260"/>
      <w:bookmarkStart w:id="2127" w:name="_Toc1331409821"/>
      <w:bookmarkStart w:id="2128" w:name="_Toc2012428560"/>
      <w:bookmarkStart w:id="2129" w:name="_Toc1272219168"/>
      <w:bookmarkStart w:id="2130" w:name="_Toc1616021124"/>
      <w:r>
        <w:rPr>
          <w:rFonts w:hint="eastAsia" w:ascii="宋体" w:hAnsi="宋体" w:eastAsia="宋体" w:cs="宋体"/>
          <w:b/>
          <w:bCs/>
          <w:color w:val="auto"/>
          <w:highlight w:val="none"/>
          <w:lang w:val="en-US" w:eastAsia="zh-CN"/>
        </w:rPr>
        <w:t>7.</w:t>
      </w:r>
      <w:r>
        <w:rPr>
          <w:rFonts w:hint="eastAsia" w:ascii="宋体" w:hAnsi="宋体" w:cs="宋体"/>
          <w:b/>
          <w:bCs/>
          <w:color w:val="auto"/>
          <w:highlight w:val="none"/>
          <w:lang w:val="en-US" w:eastAsia="zh-CN"/>
        </w:rPr>
        <w:t xml:space="preserve"> </w:t>
      </w:r>
      <w:r>
        <w:rPr>
          <w:rFonts w:hint="eastAsia" w:ascii="宋体" w:hAnsi="宋体" w:eastAsia="宋体" w:cs="宋体"/>
          <w:b/>
          <w:bCs/>
          <w:color w:val="auto"/>
          <w:highlight w:val="none"/>
          <w:lang w:val="en-US" w:eastAsia="zh-CN"/>
        </w:rPr>
        <w:t>投标文件的澄清</w:t>
      </w:r>
      <w:bookmarkEnd w:id="2094"/>
      <w:bookmarkEnd w:id="2095"/>
      <w:bookmarkEnd w:id="2096"/>
      <w:bookmarkEnd w:id="2097"/>
      <w:bookmarkEnd w:id="2098"/>
      <w:bookmarkEnd w:id="2099"/>
    </w:p>
    <w:p w14:paraId="36B2BDA9">
      <w:pPr>
        <w:spacing w:line="440" w:lineRule="atLeast"/>
        <w:ind w:firstLine="420"/>
        <w:rPr>
          <w:rFonts w:ascii="宋体" w:hAnsi="宋体"/>
          <w:color w:val="auto"/>
          <w:szCs w:val="21"/>
          <w:highlight w:val="none"/>
        </w:rPr>
      </w:pPr>
      <w:r>
        <w:rPr>
          <w:rFonts w:hint="eastAsia" w:ascii="宋体" w:hAnsi="宋体"/>
          <w:color w:val="auto"/>
          <w:szCs w:val="21"/>
          <w:highlight w:val="none"/>
          <w:lang w:val="en-US" w:eastAsia="zh-CN"/>
        </w:rPr>
        <w:t>7.1</w:t>
      </w:r>
      <w:r>
        <w:rPr>
          <w:rFonts w:hint="default" w:ascii="宋体" w:hAnsi="宋体"/>
          <w:color w:val="auto"/>
          <w:szCs w:val="21"/>
          <w:highlight w:val="none"/>
          <w:lang w:val="en" w:eastAsia="zh-CN"/>
        </w:rPr>
        <w:t xml:space="preserve"> </w:t>
      </w:r>
      <w:r>
        <w:rPr>
          <w:rFonts w:hint="eastAsia" w:ascii="宋体" w:hAnsi="宋体"/>
          <w:color w:val="auto"/>
          <w:szCs w:val="21"/>
          <w:highlight w:val="none"/>
        </w:rPr>
        <w:t>在评标过程中，评标委员会可通过工程交易系统要求投标人对所提交的投标文件中</w:t>
      </w:r>
      <w:r>
        <w:rPr>
          <w:rFonts w:hint="eastAsia" w:ascii="宋体" w:hAnsi="宋体"/>
          <w:color w:val="auto"/>
          <w:szCs w:val="21"/>
          <w:highlight w:val="none"/>
          <w:lang w:eastAsia="zh-CN"/>
        </w:rPr>
        <w:t>含义</w:t>
      </w:r>
      <w:r>
        <w:rPr>
          <w:rFonts w:hint="eastAsia" w:ascii="宋体" w:hAnsi="宋体"/>
          <w:color w:val="auto"/>
          <w:szCs w:val="21"/>
          <w:highlight w:val="none"/>
        </w:rPr>
        <w:t>不明确</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对同类问题表述不一致或者有明显文字和计算错误</w:t>
      </w:r>
      <w:r>
        <w:rPr>
          <w:rFonts w:hint="eastAsia" w:ascii="宋体" w:hAnsi="宋体"/>
          <w:color w:val="auto"/>
          <w:szCs w:val="21"/>
          <w:highlight w:val="none"/>
        </w:rPr>
        <w:t>的内容</w:t>
      </w:r>
      <w:r>
        <w:rPr>
          <w:rFonts w:hint="eastAsia" w:ascii="宋体" w:hAnsi="宋体"/>
          <w:color w:val="auto"/>
          <w:szCs w:val="21"/>
          <w:highlight w:val="none"/>
          <w:lang w:val="en-US" w:eastAsia="zh-CN"/>
        </w:rPr>
        <w:t>或者报价出现负数的情况（招标人提供的工程量清单综合单价为负数的除外）</w:t>
      </w:r>
      <w:r>
        <w:rPr>
          <w:rFonts w:hint="eastAsia" w:ascii="宋体" w:hAnsi="宋体"/>
          <w:color w:val="auto"/>
          <w:szCs w:val="21"/>
          <w:highlight w:val="none"/>
        </w:rPr>
        <w:t>进行书面澄清或说明，或者对细微偏差进行补正</w:t>
      </w:r>
      <w:r>
        <w:rPr>
          <w:rFonts w:hint="eastAsia" w:ascii="宋体" w:hAnsi="宋体"/>
          <w:color w:val="auto"/>
          <w:szCs w:val="21"/>
          <w:highlight w:val="none"/>
          <w:lang w:eastAsia="zh-CN"/>
        </w:rPr>
        <w:t>，</w:t>
      </w:r>
      <w:r>
        <w:rPr>
          <w:rFonts w:hint="eastAsia" w:ascii="宋体" w:hAnsi="宋体"/>
          <w:color w:val="auto"/>
          <w:szCs w:val="21"/>
          <w:highlight w:val="none"/>
        </w:rPr>
        <w:t>投标人可在交易系统查看并作回复。</w:t>
      </w:r>
      <w:r>
        <w:rPr>
          <w:rFonts w:hint="eastAsia" w:ascii="宋体" w:hAnsi="宋体" w:cs="宋体"/>
          <w:color w:val="auto"/>
          <w:szCs w:val="21"/>
          <w:highlight w:val="none"/>
        </w:rPr>
        <w:t>投标人应及时查看系统通知，并在规定的时间内按评标委员会要求在工程交易系统提交澄清、说明或补正文件。如投标人未及时在交易系统提交书面澄清、说明或补正导致投标被</w:t>
      </w:r>
      <w:r>
        <w:rPr>
          <w:rFonts w:hint="eastAsia" w:ascii="宋体" w:hAnsi="宋体" w:cs="宋体"/>
          <w:color w:val="auto"/>
          <w:szCs w:val="21"/>
          <w:highlight w:val="none"/>
          <w:lang w:eastAsia="zh-CN"/>
        </w:rPr>
        <w:t>否决</w:t>
      </w:r>
      <w:r>
        <w:rPr>
          <w:rFonts w:hint="eastAsia" w:ascii="宋体" w:hAnsi="宋体" w:cs="宋体"/>
          <w:color w:val="auto"/>
          <w:szCs w:val="21"/>
          <w:highlight w:val="none"/>
        </w:rPr>
        <w:t>的，由此造成的后果由相应的投标人负责。</w:t>
      </w:r>
      <w:r>
        <w:rPr>
          <w:rFonts w:hint="eastAsia" w:ascii="宋体" w:hAnsi="宋体"/>
          <w:color w:val="auto"/>
          <w:szCs w:val="21"/>
          <w:highlight w:val="none"/>
        </w:rPr>
        <w:t>评标委员会不接受投标人主动提出的澄清、说明或补正。</w:t>
      </w:r>
    </w:p>
    <w:p w14:paraId="5F63C336">
      <w:pPr>
        <w:spacing w:line="440" w:lineRule="atLeast"/>
        <w:ind w:firstLine="420"/>
        <w:rPr>
          <w:rFonts w:ascii="宋体" w:hAnsi="宋体"/>
          <w:color w:val="auto"/>
          <w:szCs w:val="21"/>
          <w:highlight w:val="none"/>
        </w:rPr>
      </w:pPr>
      <w:r>
        <w:rPr>
          <w:rFonts w:hint="eastAsia" w:ascii="宋体" w:hAnsi="宋体"/>
          <w:color w:val="auto"/>
          <w:szCs w:val="21"/>
          <w:highlight w:val="none"/>
          <w:lang w:val="en-US" w:eastAsia="zh-CN"/>
        </w:rPr>
        <w:t xml:space="preserve">7.2 </w:t>
      </w:r>
      <w:r>
        <w:rPr>
          <w:rFonts w:hint="eastAsia" w:ascii="宋体" w:hAnsi="宋体"/>
          <w:color w:val="auto"/>
          <w:szCs w:val="21"/>
          <w:highlight w:val="none"/>
        </w:rPr>
        <w:t>澄清、说明和补正不得</w:t>
      </w:r>
      <w:r>
        <w:rPr>
          <w:rFonts w:hint="eastAsia" w:ascii="宋体" w:hAnsi="宋体"/>
          <w:color w:val="auto"/>
          <w:szCs w:val="21"/>
          <w:highlight w:val="none"/>
          <w:lang w:val="en-US" w:eastAsia="zh-CN"/>
        </w:rPr>
        <w:t>超出投标文件的范围且不得</w:t>
      </w:r>
      <w:r>
        <w:rPr>
          <w:rFonts w:hint="eastAsia" w:ascii="宋体" w:hAnsi="宋体"/>
          <w:color w:val="auto"/>
          <w:szCs w:val="21"/>
          <w:highlight w:val="none"/>
        </w:rPr>
        <w:t>改变投标文件的实质性内容（算术性错误修正的除外）。投标人</w:t>
      </w:r>
      <w:r>
        <w:rPr>
          <w:rFonts w:hint="eastAsia" w:ascii="宋体" w:hAnsi="宋体"/>
          <w:color w:val="auto"/>
          <w:szCs w:val="21"/>
          <w:highlight w:val="none"/>
          <w:lang w:val="en-US" w:eastAsia="zh-CN"/>
        </w:rPr>
        <w:t>通过交易系统提交的</w:t>
      </w:r>
      <w:r>
        <w:rPr>
          <w:rFonts w:hint="eastAsia" w:ascii="宋体" w:hAnsi="宋体"/>
          <w:color w:val="auto"/>
          <w:szCs w:val="21"/>
          <w:highlight w:val="none"/>
        </w:rPr>
        <w:t>澄清、说明和补正属于投标文件的组成部分。</w:t>
      </w:r>
    </w:p>
    <w:p w14:paraId="5C13DA75">
      <w:pPr>
        <w:spacing w:line="440" w:lineRule="atLeast"/>
        <w:ind w:firstLine="420"/>
        <w:rPr>
          <w:rFonts w:ascii="宋体" w:hAnsi="宋体"/>
          <w:color w:val="auto"/>
          <w:szCs w:val="21"/>
          <w:highlight w:val="none"/>
        </w:rPr>
      </w:pPr>
      <w:r>
        <w:rPr>
          <w:rFonts w:hint="eastAsia" w:ascii="宋体" w:hAnsi="宋体"/>
          <w:color w:val="auto"/>
          <w:szCs w:val="21"/>
          <w:highlight w:val="none"/>
          <w:lang w:val="en-US" w:eastAsia="zh-CN"/>
        </w:rPr>
        <w:t xml:space="preserve">7.3 </w:t>
      </w:r>
      <w:r>
        <w:rPr>
          <w:rFonts w:hint="eastAsia" w:ascii="宋体" w:hAnsi="宋体"/>
          <w:color w:val="auto"/>
          <w:szCs w:val="21"/>
          <w:highlight w:val="none"/>
        </w:rPr>
        <w:t>评标委员会对投标人提交的澄清、说明或补正有疑问的，可以要求投标人进一步澄清、说明或补正，直至满足评标委员会的要求。</w:t>
      </w:r>
    </w:p>
    <w:p w14:paraId="03B2417D">
      <w:pPr>
        <w:pStyle w:val="3"/>
        <w:numPr>
          <w:ilvl w:val="0"/>
          <w:numId w:val="0"/>
        </w:numPr>
        <w:bidi w:val="0"/>
        <w:ind w:leftChars="0"/>
        <w:rPr>
          <w:rFonts w:hint="eastAsia" w:ascii="宋体" w:hAnsi="宋体" w:eastAsia="宋体" w:cs="宋体"/>
          <w:b/>
          <w:bCs/>
          <w:color w:val="auto"/>
          <w:highlight w:val="none"/>
          <w:lang w:val="en-US" w:eastAsia="zh-CN"/>
        </w:rPr>
      </w:pPr>
      <w:bookmarkStart w:id="2131" w:name="_Toc2058027593"/>
      <w:bookmarkStart w:id="2132" w:name="_Toc1930745868"/>
      <w:bookmarkStart w:id="2133" w:name="_Toc1945032925"/>
      <w:bookmarkStart w:id="2134" w:name="_Toc1819425333"/>
      <w:r>
        <w:rPr>
          <w:rFonts w:hint="eastAsia" w:ascii="宋体" w:hAnsi="宋体" w:cs="宋体"/>
          <w:b/>
          <w:bCs/>
          <w:color w:val="auto"/>
          <w:highlight w:val="none"/>
          <w:lang w:val="en-US" w:eastAsia="zh-CN"/>
        </w:rPr>
        <w:t>8</w:t>
      </w:r>
      <w:r>
        <w:rPr>
          <w:rFonts w:hint="eastAsia" w:ascii="宋体" w:hAnsi="宋体" w:eastAsia="宋体" w:cs="宋体"/>
          <w:b/>
          <w:bCs/>
          <w:color w:val="auto"/>
          <w:highlight w:val="none"/>
          <w:lang w:val="en-US" w:eastAsia="zh-CN"/>
        </w:rPr>
        <w:t>. 特殊情况的处置程序</w:t>
      </w:r>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14:paraId="083A1CBF">
      <w:pPr>
        <w:pStyle w:val="4"/>
        <w:bidi w:val="0"/>
        <w:rPr>
          <w:rFonts w:hint="eastAsia" w:ascii="宋体" w:hAnsi="宋体" w:eastAsia="宋体" w:cs="宋体"/>
          <w:color w:val="auto"/>
          <w:highlight w:val="none"/>
        </w:rPr>
      </w:pPr>
      <w:bookmarkStart w:id="2135" w:name="_Toc148160803"/>
      <w:bookmarkStart w:id="2136" w:name="_Toc1937324444"/>
      <w:bookmarkStart w:id="2137" w:name="_Toc28882071"/>
      <w:bookmarkStart w:id="2138" w:name="_Toc1768856366"/>
      <w:bookmarkStart w:id="2139" w:name="_Toc1002790669"/>
      <w:bookmarkStart w:id="2140" w:name="_Toc521112620"/>
      <w:bookmarkStart w:id="2141" w:name="_Toc1519340729"/>
      <w:bookmarkStart w:id="2142" w:name="_Toc283931887"/>
      <w:bookmarkStart w:id="2143" w:name="_Toc1040151323"/>
      <w:bookmarkStart w:id="2144" w:name="_Toc1660155811"/>
      <w:bookmarkStart w:id="2145" w:name="_Toc169830713"/>
      <w:bookmarkStart w:id="2146" w:name="_Toc1826707246"/>
      <w:bookmarkStart w:id="2147" w:name="_Toc1021621374"/>
      <w:bookmarkStart w:id="2148" w:name="_Toc28853158"/>
      <w:bookmarkStart w:id="2149" w:name="_Toc1689572773"/>
      <w:bookmarkStart w:id="2150" w:name="_Toc541801356"/>
      <w:bookmarkStart w:id="2151" w:name="_Toc1743589899"/>
      <w:r>
        <w:rPr>
          <w:rFonts w:hint="eastAsia" w:ascii="宋体" w:hAnsi="宋体" w:cs="宋体"/>
          <w:color w:val="auto"/>
          <w:highlight w:val="none"/>
          <w:lang w:val="en-US" w:eastAsia="zh-CN"/>
        </w:rPr>
        <w:t>8</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关于评标活动暂停</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14:paraId="79DEAE0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8.1.1 </w:t>
      </w:r>
      <w:r>
        <w:rPr>
          <w:rFonts w:hint="eastAsia" w:ascii="宋体" w:hAnsi="宋体" w:eastAsia="宋体" w:cs="宋体"/>
          <w:color w:val="auto"/>
          <w:highlight w:val="none"/>
        </w:rPr>
        <w:t>评标委员会应当执行连续评标的原则，按评标办法中规定的程序、内容、方法、标准完成全部评标工作。只有发生不可抗力导致评标工作无法继续时，评标活动方可暂停。</w:t>
      </w:r>
    </w:p>
    <w:p w14:paraId="04E7ACF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8.1.2 </w:t>
      </w:r>
      <w:r>
        <w:rPr>
          <w:rFonts w:hint="eastAsia" w:ascii="宋体" w:hAnsi="宋体" w:eastAsia="宋体" w:cs="宋体"/>
          <w:color w:val="auto"/>
          <w:highlight w:val="none"/>
        </w:rPr>
        <w:t>发生评标暂停情况时，评标委员会应当封存全部投标文件和评标记录，待不可抗力的影响结束且具备继续评标的条件时，由原评标委员会继续评标。</w:t>
      </w:r>
    </w:p>
    <w:p w14:paraId="140347E5">
      <w:pPr>
        <w:pStyle w:val="4"/>
        <w:bidi w:val="0"/>
        <w:rPr>
          <w:rFonts w:hint="eastAsia" w:ascii="宋体" w:hAnsi="宋体" w:eastAsia="宋体" w:cs="宋体"/>
          <w:b/>
          <w:bCs/>
          <w:color w:val="auto"/>
          <w:highlight w:val="none"/>
          <w:lang w:val="en-US" w:eastAsia="zh-CN"/>
        </w:rPr>
      </w:pPr>
      <w:bookmarkStart w:id="2152" w:name="_Toc1681647281"/>
      <w:bookmarkStart w:id="2153" w:name="_Toc1706389979"/>
      <w:bookmarkStart w:id="2154" w:name="_Toc1327436382"/>
      <w:bookmarkStart w:id="2155" w:name="_Toc1824584422"/>
      <w:bookmarkStart w:id="2156" w:name="_Toc64725959"/>
      <w:bookmarkStart w:id="2157" w:name="_Toc916498485"/>
      <w:bookmarkStart w:id="2158" w:name="_Toc1456573185"/>
      <w:bookmarkStart w:id="2159" w:name="_Toc1504298554"/>
      <w:bookmarkStart w:id="2160" w:name="_Toc787793468"/>
      <w:bookmarkStart w:id="2161" w:name="_Toc1062394972"/>
      <w:bookmarkStart w:id="2162" w:name="_Toc686172436"/>
      <w:bookmarkStart w:id="2163" w:name="_Toc756261637"/>
      <w:bookmarkStart w:id="2164" w:name="_Toc1513458870"/>
      <w:bookmarkStart w:id="2165" w:name="_Toc568709649"/>
      <w:bookmarkStart w:id="2166" w:name="_Toc578578094"/>
      <w:bookmarkStart w:id="2167" w:name="_Toc39916697"/>
      <w:bookmarkStart w:id="2168" w:name="_Toc59191169"/>
      <w:r>
        <w:rPr>
          <w:rFonts w:hint="eastAsia" w:ascii="宋体" w:hAnsi="宋体" w:cs="宋体"/>
          <w:b/>
          <w:bCs/>
          <w:color w:val="auto"/>
          <w:highlight w:val="none"/>
          <w:lang w:val="en-US" w:eastAsia="zh-CN"/>
        </w:rPr>
        <w:t>8</w:t>
      </w:r>
      <w:r>
        <w:rPr>
          <w:rFonts w:hint="eastAsia" w:ascii="宋体" w:hAnsi="宋体" w:eastAsia="宋体" w:cs="宋体"/>
          <w:b/>
          <w:bCs/>
          <w:color w:val="auto"/>
          <w:highlight w:val="none"/>
          <w:lang w:val="en-US" w:eastAsia="zh-CN"/>
        </w:rPr>
        <w:t>.2关于评标中途更换评标委员会成员</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p>
    <w:p w14:paraId="5DE67F1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除非发生下列情况之一，评标委员会成员不得在评标中途更换：</w:t>
      </w:r>
    </w:p>
    <w:p w14:paraId="0A7B09B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（1）因不可抗拒的客观原因，不能到场或需在评标中途退出评标活动。</w:t>
      </w:r>
    </w:p>
    <w:p w14:paraId="3D92547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（2）根据法律法规规定，某个或某几个评标委员会成员需要回避。</w:t>
      </w:r>
    </w:p>
    <w:p w14:paraId="37D516D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退出评标的评标委员会成员，其已完成的评标行为无效。由招标人根据本招标文件规定的评标委员会成员产生方式另行确定替代者进行评标。</w:t>
      </w:r>
    </w:p>
    <w:p w14:paraId="4E910195">
      <w:pPr>
        <w:pStyle w:val="4"/>
        <w:bidi w:val="0"/>
        <w:rPr>
          <w:rFonts w:hint="eastAsia" w:ascii="宋体" w:hAnsi="宋体" w:eastAsia="宋体" w:cs="宋体"/>
          <w:b/>
          <w:bCs/>
          <w:color w:val="auto"/>
          <w:highlight w:val="none"/>
          <w:lang w:val="en-US" w:eastAsia="zh-CN"/>
        </w:rPr>
      </w:pPr>
      <w:bookmarkStart w:id="2169" w:name="_Toc274115440"/>
      <w:bookmarkStart w:id="2170" w:name="_Toc901033137"/>
      <w:bookmarkStart w:id="2171" w:name="_Toc1955644285"/>
      <w:bookmarkStart w:id="2172" w:name="_Toc1002119305"/>
      <w:bookmarkStart w:id="2173" w:name="_Toc1582418801"/>
      <w:bookmarkStart w:id="2174" w:name="_Toc1107760294"/>
      <w:bookmarkStart w:id="2175" w:name="_Toc1874462056"/>
      <w:bookmarkStart w:id="2176" w:name="_Toc434546653"/>
      <w:bookmarkStart w:id="2177" w:name="_Toc545499446"/>
      <w:bookmarkStart w:id="2178" w:name="_Toc2030644144"/>
      <w:bookmarkStart w:id="2179" w:name="_Toc1058304465"/>
      <w:bookmarkStart w:id="2180" w:name="_Toc201307860"/>
      <w:bookmarkStart w:id="2181" w:name="_Toc129471579"/>
      <w:bookmarkStart w:id="2182" w:name="_Toc919934978"/>
      <w:bookmarkStart w:id="2183" w:name="_Toc1500886790"/>
      <w:bookmarkStart w:id="2184" w:name="_Toc1907112907"/>
      <w:bookmarkStart w:id="2185" w:name="_Toc338961393"/>
      <w:r>
        <w:rPr>
          <w:rFonts w:hint="eastAsia" w:ascii="宋体" w:hAnsi="宋体" w:cs="宋体"/>
          <w:b/>
          <w:bCs/>
          <w:color w:val="auto"/>
          <w:highlight w:val="none"/>
          <w:lang w:val="en-US" w:eastAsia="zh-CN"/>
        </w:rPr>
        <w:t>8</w:t>
      </w:r>
      <w:r>
        <w:rPr>
          <w:rFonts w:hint="eastAsia" w:ascii="宋体" w:hAnsi="宋体" w:eastAsia="宋体" w:cs="宋体"/>
          <w:b/>
          <w:bCs/>
          <w:color w:val="auto"/>
          <w:highlight w:val="none"/>
          <w:lang w:val="en-US" w:eastAsia="zh-CN"/>
        </w:rPr>
        <w:t>.3记名投票</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14:paraId="3B1AE71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在任何评标环节中，需评标委员会就某项定性的评审结论</w:t>
      </w:r>
      <w:r>
        <w:rPr>
          <w:rFonts w:hint="eastAsia" w:ascii="宋体" w:hAnsi="宋体" w:eastAsia="宋体" w:cs="宋体"/>
          <w:color w:val="auto"/>
          <w:highlight w:val="none"/>
          <w:lang w:eastAsia="zh-CN"/>
        </w:rPr>
        <w:t>作</w:t>
      </w:r>
      <w:r>
        <w:rPr>
          <w:rFonts w:hint="eastAsia" w:ascii="宋体" w:hAnsi="宋体" w:eastAsia="宋体" w:cs="宋体"/>
          <w:color w:val="auto"/>
          <w:highlight w:val="none"/>
        </w:rPr>
        <w:t>出表决的，由评标委员会全体成员按照少数服从多数的原则，以记名投票方式表决。</w:t>
      </w:r>
    </w:p>
    <w:p w14:paraId="10B18C04">
      <w:pPr>
        <w:pStyle w:val="3"/>
        <w:bidi w:val="0"/>
        <w:jc w:val="center"/>
        <w:rPr>
          <w:rFonts w:hint="eastAsia" w:ascii="宋体" w:hAnsi="宋体" w:eastAsia="宋体" w:cs="宋体"/>
          <w:color w:val="auto"/>
          <w:highlight w:val="none"/>
          <w:lang w:val="en-US" w:eastAsia="zh-CN"/>
        </w:rPr>
      </w:pPr>
      <w:bookmarkStart w:id="2186" w:name="_Toc656614591"/>
      <w:bookmarkStart w:id="2187" w:name="_Toc2133914772"/>
      <w:bookmarkStart w:id="2188" w:name="_Toc1348578990"/>
      <w:bookmarkStart w:id="2189" w:name="_Toc852994344"/>
      <w:bookmarkStart w:id="2190" w:name="_Toc1712669420"/>
      <w:bookmarkStart w:id="2191" w:name="_Toc226985615"/>
      <w:bookmarkStart w:id="2192" w:name="_Toc988498548"/>
      <w:bookmarkStart w:id="2193" w:name="_Toc1185354894"/>
      <w:bookmarkStart w:id="2194" w:name="_Toc50449344"/>
      <w:bookmarkStart w:id="2195" w:name="_Toc2122476927"/>
      <w:bookmarkStart w:id="2196" w:name="_Toc915797842"/>
      <w:bookmarkStart w:id="2197" w:name="_Toc579638132"/>
      <w:bookmarkStart w:id="2198" w:name="_Toc960333691"/>
      <w:bookmarkStart w:id="2199" w:name="_Toc720611802"/>
      <w:bookmarkStart w:id="2200" w:name="_Toc884626184"/>
      <w:bookmarkStart w:id="2201" w:name="_Toc1582556882"/>
      <w:bookmarkStart w:id="2202" w:name="_Toc1356415756"/>
      <w:bookmarkStart w:id="2203" w:name="_Toc1230666578"/>
      <w:bookmarkStart w:id="2204" w:name="_Toc9428"/>
      <w:bookmarkStart w:id="2205" w:name="_Toc528034352"/>
      <w:bookmarkStart w:id="2206" w:name="_Toc283383531"/>
      <w:bookmarkStart w:id="2207" w:name="_Toc926735577"/>
      <w:bookmarkStart w:id="2208" w:name="_Toc76884589"/>
      <w:bookmarkStart w:id="2209" w:name="_Toc2060056698"/>
      <w:bookmarkStart w:id="2210" w:name="_Toc1124494670"/>
      <w:bookmarkStart w:id="2211" w:name="_Toc217308086"/>
      <w:bookmarkStart w:id="2212" w:name="_Toc1549232893"/>
      <w:bookmarkStart w:id="2213" w:name="_Toc1194849198"/>
      <w:bookmarkStart w:id="2214" w:name="_Toc1218515953"/>
      <w:bookmarkStart w:id="2215" w:name="_Toc1711944770"/>
      <w:bookmarkStart w:id="2216" w:name="_Toc1354854130"/>
      <w:bookmarkStart w:id="2217" w:name="_Toc605483813"/>
      <w:bookmarkStart w:id="2218" w:name="_Toc1429188342"/>
      <w:bookmarkStart w:id="2219" w:name="_Toc1383702965"/>
      <w:bookmarkStart w:id="2220" w:name="_Toc737226915"/>
      <w:r>
        <w:rPr>
          <w:rFonts w:hint="eastAsia" w:ascii="宋体" w:hAnsi="宋体" w:eastAsia="宋体" w:cs="宋体"/>
          <w:color w:val="auto"/>
          <w:highlight w:val="none"/>
          <w:lang w:val="en-US" w:eastAsia="zh-CN"/>
        </w:rPr>
        <w:t>第二部分 定标</w:t>
      </w:r>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r>
        <w:rPr>
          <w:rFonts w:hint="eastAsia" w:ascii="宋体" w:hAnsi="宋体" w:cs="宋体"/>
          <w:color w:val="auto"/>
          <w:highlight w:val="none"/>
          <w:lang w:val="en-US" w:eastAsia="zh-CN"/>
        </w:rPr>
        <w:t>规则</w:t>
      </w:r>
      <w:bookmarkEnd w:id="2217"/>
      <w:bookmarkEnd w:id="2218"/>
      <w:bookmarkEnd w:id="2219"/>
      <w:bookmarkEnd w:id="2220"/>
    </w:p>
    <w:p w14:paraId="0E3E40ED">
      <w:pPr>
        <w:pStyle w:val="3"/>
        <w:bidi w:val="0"/>
        <w:rPr>
          <w:rFonts w:hint="eastAsia" w:ascii="宋体" w:hAnsi="宋体" w:eastAsia="宋体" w:cs="宋体"/>
          <w:color w:val="auto"/>
          <w:highlight w:val="none"/>
          <w:lang w:val="en-US" w:eastAsia="zh-CN"/>
        </w:rPr>
      </w:pPr>
      <w:bookmarkStart w:id="2221" w:name="_Toc1137964409"/>
      <w:bookmarkStart w:id="2222" w:name="_Toc1537963757"/>
      <w:bookmarkStart w:id="2223" w:name="_Toc1928994743"/>
      <w:bookmarkStart w:id="2224" w:name="_Toc1166464054"/>
      <w:bookmarkStart w:id="2225" w:name="_Toc1853819672"/>
      <w:bookmarkStart w:id="2226" w:name="_Toc1256042557"/>
      <w:bookmarkStart w:id="2227" w:name="_Toc42018451"/>
      <w:bookmarkStart w:id="2228" w:name="_Toc240109895"/>
      <w:bookmarkStart w:id="2229" w:name="_Toc426939438"/>
      <w:bookmarkStart w:id="2230" w:name="_Toc1044427039"/>
      <w:bookmarkStart w:id="2231" w:name="_Toc1965088572"/>
      <w:bookmarkStart w:id="2232" w:name="_Toc674023003"/>
      <w:bookmarkStart w:id="2233" w:name="_Toc1193981068"/>
      <w:bookmarkStart w:id="2234" w:name="_Toc398386095"/>
      <w:bookmarkStart w:id="2235" w:name="_Toc218989584"/>
      <w:bookmarkStart w:id="2236" w:name="_Toc133350786"/>
      <w:bookmarkStart w:id="2237" w:name="_Toc695500845"/>
      <w:bookmarkStart w:id="2238" w:name="_Toc376788657"/>
      <w:bookmarkStart w:id="2239" w:name="_Toc1846622341"/>
      <w:bookmarkStart w:id="2240" w:name="_Toc1077713253"/>
      <w:bookmarkStart w:id="2241" w:name="_Toc1831465786"/>
      <w:bookmarkStart w:id="2242" w:name="_Toc1890464078"/>
      <w:bookmarkStart w:id="2243" w:name="_Toc729028189"/>
      <w:bookmarkStart w:id="2244" w:name="_Toc1860493941"/>
      <w:bookmarkStart w:id="2245" w:name="_Toc1959015107"/>
      <w:bookmarkStart w:id="2246" w:name="_Toc2245"/>
      <w:bookmarkStart w:id="2247" w:name="_Toc1020353266"/>
      <w:bookmarkStart w:id="2248" w:name="_Toc1140779010"/>
      <w:bookmarkStart w:id="2249" w:name="_Toc146501118"/>
      <w:bookmarkStart w:id="2250" w:name="_Toc978533998"/>
      <w:bookmarkStart w:id="2251" w:name="_Toc1167155537"/>
      <w:bookmarkStart w:id="2252" w:name="_Toc300432821"/>
      <w:bookmarkStart w:id="2253" w:name="_Toc1952843733"/>
      <w:bookmarkStart w:id="2254" w:name="_Toc2093583690"/>
      <w:bookmarkStart w:id="2255" w:name="_Toc1210517418"/>
      <w:r>
        <w:rPr>
          <w:rFonts w:hint="eastAsia" w:ascii="宋体" w:hAnsi="宋体" w:eastAsia="宋体" w:cs="宋体"/>
          <w:color w:val="auto"/>
          <w:highlight w:val="none"/>
          <w:lang w:val="en-US" w:eastAsia="zh-CN"/>
        </w:rPr>
        <w:t>1. 定标办法</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p>
    <w:p w14:paraId="3F4AFFB6">
      <w:pPr>
        <w:pStyle w:val="4"/>
        <w:rPr>
          <w:rFonts w:hint="eastAsia" w:ascii="宋体" w:hAnsi="宋体" w:cs="宋体"/>
          <w:color w:val="auto"/>
          <w:highlight w:val="none"/>
          <w:lang w:val="en-US" w:eastAsia="zh-CN"/>
        </w:rPr>
      </w:pPr>
      <w:r>
        <w:rPr>
          <w:rFonts w:hint="eastAsia" w:ascii="宋体" w:hAnsi="宋体" w:cs="宋体"/>
          <w:color w:val="auto"/>
          <w:highlight w:val="none"/>
          <w:lang w:val="en-US" w:eastAsia="zh-CN"/>
        </w:rPr>
        <w:t>1.1 票决定标法</w:t>
      </w:r>
    </w:p>
    <w:p w14:paraId="57794B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1.1.1 票决计分法</w:t>
      </w:r>
    </w:p>
    <w:p w14:paraId="41F991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定标委员会各成员根据定标因素对所有进入定标程序的投标人进行评审比较后，在各自的选票上选取3名不同的投标人并进行排序，排名第一的投标人得5分，排名第二的投标人得3分，排名第三的投标人得1分。统计各投标人的得分总数，按投标人得分总数从高到低排序推荐中标候选人。投票结果出现并列排序的，在不影响中标候选人推荐的情况下无需再次投票；投票结果出现并列排序且影响到中标候选人推荐的，由定标委员会成员按照一人一票原则对并列的投标人再次进行投票并统计得票总数，按投标人得票数从高到低的顺序确定其先后排序。</w:t>
      </w:r>
    </w:p>
    <w:p w14:paraId="0014D6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1.1.2 简单多数计票法</w:t>
      </w:r>
    </w:p>
    <w:p w14:paraId="59D378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ascii="宋体" w:hAnsi="宋体" w:eastAsia="宋体" w:cs="宋体"/>
          <w:color w:val="auto"/>
          <w:highlight w:val="none"/>
          <w:lang w:val="en-US" w:eastAsia="zh-CN"/>
        </w:rPr>
        <w:t>定标委员会各成员根据定标因素对所有进入定标程序的投标人进行评审比较后，在各自的选票上选取3名不同的投标人。统计各投标人的得票总数，按投标人得票总数从高到低排序推荐中标候选人。投票结果出现并列排序的，在不影响中标候选人推荐的情况下无需再次投票；投票结果出现并列排序且影响到中标候选人推荐的，由定标委员会成员按照一人一票原则对并列的投标人再次进行投票并统计得票总数，按投标人得票数从高到低的顺序确定其先后排序。</w:t>
      </w:r>
    </w:p>
    <w:p w14:paraId="408117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1.1.3 逐轮票决法</w:t>
      </w:r>
    </w:p>
    <w:p w14:paraId="0C3E0D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定标委员会各成员根据定标因素对所有进入定标程序的投标人进行评审比较后，采取多轮投票且每轮每人投1个淘汰单位的形式，逐轮淘汰1名得票数最多的投标人，直至确定中标候选人。逐轮票决过程中，单轮出现得票数最多的投标人不止1名但不影响中标候选人确定的，一并加以淘汰，否则由定标委员会在得票最多的几个投标人中以投标人须知前附表规定的方式确定该轮淘汰的投标人。</w:t>
      </w:r>
    </w:p>
    <w:p w14:paraId="1BFAE60F">
      <w:pPr>
        <w:pStyle w:val="4"/>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1.2 集体议事定标法</w:t>
      </w:r>
    </w:p>
    <w:p w14:paraId="45AB818B">
      <w:pPr>
        <w:spacing w:line="360" w:lineRule="auto"/>
        <w:ind w:firstLine="420" w:firstLineChars="200"/>
        <w:rPr>
          <w:rFonts w:hint="eastAsia" w:ascii="Times New Roman" w:hAnsi="Times New Roman" w:eastAsia="宋体" w:cs="Times New Roman"/>
          <w:bCs w:val="0"/>
          <w:color w:val="auto"/>
          <w:sz w:val="21"/>
          <w:szCs w:val="24"/>
          <w:highlight w:val="none"/>
        </w:rPr>
      </w:pPr>
      <w:r>
        <w:rPr>
          <w:rFonts w:hint="eastAsia" w:ascii="宋体" w:hAnsi="宋体" w:eastAsia="宋体" w:cs="宋体"/>
          <w:color w:val="auto"/>
          <w:kern w:val="0"/>
          <w:highlight w:val="none"/>
        </w:rPr>
        <w:t>定标委员会</w:t>
      </w:r>
      <w:r>
        <w:rPr>
          <w:rFonts w:hint="eastAsia" w:ascii="宋体" w:hAnsi="宋体" w:eastAsia="宋体" w:cs="宋体"/>
          <w:color w:val="auto"/>
          <w:kern w:val="0"/>
          <w:highlight w:val="none"/>
          <w:lang w:eastAsia="zh-CN"/>
        </w:rPr>
        <w:t>各</w:t>
      </w:r>
      <w:r>
        <w:rPr>
          <w:rFonts w:hint="eastAsia" w:ascii="宋体" w:hAnsi="宋体" w:eastAsia="宋体" w:cs="宋体"/>
          <w:color w:val="auto"/>
          <w:kern w:val="0"/>
          <w:highlight w:val="none"/>
        </w:rPr>
        <w:t>成员</w:t>
      </w:r>
      <w:r>
        <w:rPr>
          <w:rFonts w:hint="eastAsia" w:ascii="宋体" w:hAnsi="宋体" w:eastAsia="宋体" w:cs="宋体"/>
          <w:color w:val="auto"/>
          <w:kern w:val="0"/>
          <w:highlight w:val="none"/>
          <w:lang w:val="en-US" w:eastAsia="zh-CN"/>
        </w:rPr>
        <w:t>根据定标因素</w:t>
      </w:r>
      <w:r>
        <w:rPr>
          <w:rFonts w:hint="eastAsia" w:ascii="宋体" w:hAnsi="宋体" w:eastAsia="宋体" w:cs="宋体"/>
          <w:color w:val="auto"/>
          <w:kern w:val="0"/>
          <w:highlight w:val="none"/>
        </w:rPr>
        <w:t>对所有进入定标程序的投标人</w:t>
      </w:r>
      <w:r>
        <w:rPr>
          <w:rFonts w:hint="eastAsia" w:ascii="宋体" w:hAnsi="宋体" w:eastAsia="宋体" w:cs="宋体"/>
          <w:color w:val="auto"/>
          <w:kern w:val="0"/>
          <w:highlight w:val="none"/>
          <w:lang w:val="en-US" w:eastAsia="zh-CN"/>
        </w:rPr>
        <w:t>进行评审比较后，</w:t>
      </w:r>
      <w:r>
        <w:rPr>
          <w:rFonts w:hint="eastAsia" w:ascii="Times New Roman" w:hAnsi="Times New Roman" w:eastAsia="宋体" w:cs="Times New Roman"/>
          <w:bCs w:val="0"/>
          <w:color w:val="auto"/>
          <w:sz w:val="21"/>
          <w:szCs w:val="24"/>
          <w:highlight w:val="none"/>
        </w:rPr>
        <w:t>进行集体商议，定标委员会成员各自发表意见，由定标委员会</w:t>
      </w:r>
      <w:r>
        <w:rPr>
          <w:rFonts w:hint="eastAsia" w:ascii="Times New Roman" w:hAnsi="Times New Roman" w:eastAsia="宋体" w:cs="Times New Roman"/>
          <w:bCs w:val="0"/>
          <w:color w:val="auto"/>
          <w:sz w:val="21"/>
          <w:szCs w:val="24"/>
          <w:highlight w:val="none"/>
          <w:lang w:eastAsia="zh-CN"/>
        </w:rPr>
        <w:t>主任</w:t>
      </w:r>
      <w:r>
        <w:rPr>
          <w:rFonts w:hint="eastAsia" w:ascii="Times New Roman" w:hAnsi="Times New Roman" w:eastAsia="宋体" w:cs="Times New Roman"/>
          <w:bCs w:val="0"/>
          <w:color w:val="auto"/>
          <w:sz w:val="21"/>
          <w:szCs w:val="24"/>
          <w:highlight w:val="none"/>
        </w:rPr>
        <w:t>最终确定中标人。所有参加会议的定标委员会成员的意见应当作书面记录，并由定标委员会成员签字确认。</w:t>
      </w:r>
    </w:p>
    <w:p w14:paraId="2FE1A141">
      <w:pPr>
        <w:pStyle w:val="3"/>
        <w:numPr>
          <w:ilvl w:val="0"/>
          <w:numId w:val="0"/>
        </w:numPr>
        <w:bidi w:val="0"/>
        <w:rPr>
          <w:rFonts w:hint="eastAsia" w:ascii="宋体" w:hAnsi="宋体" w:eastAsia="宋体" w:cs="宋体"/>
          <w:b/>
          <w:bCs/>
          <w:color w:val="auto"/>
          <w:highlight w:val="none"/>
          <w:lang w:val="en-US" w:eastAsia="zh-CN"/>
        </w:rPr>
      </w:pPr>
      <w:bookmarkStart w:id="2256" w:name="_Toc76180492"/>
      <w:bookmarkStart w:id="2257" w:name="_Toc1159730568"/>
      <w:bookmarkStart w:id="2258" w:name="_Toc1666052566"/>
      <w:bookmarkStart w:id="2259" w:name="_Toc1563050389"/>
      <w:bookmarkStart w:id="2260" w:name="_Toc445988264"/>
      <w:bookmarkStart w:id="2261" w:name="_Toc255725373"/>
      <w:bookmarkStart w:id="2262" w:name="_Toc1634971638"/>
      <w:bookmarkStart w:id="2263" w:name="_Toc1835495849"/>
      <w:bookmarkStart w:id="2264" w:name="_Toc1980578845"/>
      <w:bookmarkStart w:id="2265" w:name="_Toc1965861443"/>
      <w:bookmarkStart w:id="2266" w:name="_Toc582846010"/>
      <w:bookmarkStart w:id="2267" w:name="_Toc21963204"/>
      <w:bookmarkStart w:id="2268" w:name="_Toc637466392"/>
      <w:bookmarkStart w:id="2269" w:name="_Toc1776761527"/>
      <w:bookmarkStart w:id="2270" w:name="_Toc104005342"/>
      <w:bookmarkStart w:id="2271" w:name="_Toc501630908"/>
      <w:bookmarkStart w:id="2272" w:name="_Toc1000246763"/>
      <w:bookmarkStart w:id="2273" w:name="_Toc581770029"/>
      <w:bookmarkStart w:id="2274" w:name="_Toc1373176287"/>
      <w:bookmarkStart w:id="2275" w:name="_Toc845566034"/>
      <w:bookmarkStart w:id="2276" w:name="_Toc862201494"/>
      <w:bookmarkStart w:id="2277" w:name="_Toc752132837"/>
      <w:bookmarkStart w:id="2278" w:name="_Toc631964177"/>
      <w:bookmarkStart w:id="2279" w:name="_Toc314409387"/>
      <w:bookmarkStart w:id="2280" w:name="_Toc1446479880"/>
      <w:bookmarkStart w:id="2281" w:name="_Toc10532"/>
      <w:bookmarkStart w:id="2282" w:name="_Toc1670752096"/>
      <w:bookmarkStart w:id="2283" w:name="_Toc7279054"/>
      <w:bookmarkStart w:id="2284" w:name="_Toc44324624"/>
      <w:bookmarkStart w:id="2285" w:name="_Toc1893748480"/>
      <w:bookmarkStart w:id="2286" w:name="_Toc1879376054"/>
      <w:bookmarkStart w:id="2287" w:name="_Toc1200460676"/>
      <w:bookmarkStart w:id="2288" w:name="_Toc269996536"/>
      <w:bookmarkStart w:id="2289" w:name="_Toc151800609"/>
      <w:bookmarkStart w:id="2290" w:name="_Toc905153575"/>
      <w:r>
        <w:rPr>
          <w:rFonts w:hint="eastAsia" w:ascii="宋体" w:hAnsi="宋体" w:eastAsia="宋体" w:cs="宋体"/>
          <w:b/>
          <w:bCs/>
          <w:color w:val="auto"/>
          <w:highlight w:val="none"/>
          <w:lang w:val="en-US" w:eastAsia="zh-CN"/>
        </w:rPr>
        <w:t>2. 定标因素</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14:paraId="549FA1A1">
      <w:pPr>
        <w:adjustRightInd w:val="0"/>
        <w:snapToGrid w:val="0"/>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除价格因素外，</w:t>
      </w:r>
      <w:r>
        <w:rPr>
          <w:rFonts w:hint="eastAsia" w:ascii="宋体" w:hAnsi="宋体" w:eastAsia="宋体" w:cs="宋体"/>
          <w:color w:val="auto"/>
          <w:szCs w:val="21"/>
          <w:highlight w:val="none"/>
          <w:lang w:val="en-US" w:eastAsia="zh-CN"/>
        </w:rPr>
        <w:t>定标环节的</w:t>
      </w:r>
      <w:r>
        <w:rPr>
          <w:rFonts w:hint="eastAsia" w:ascii="宋体" w:hAnsi="宋体" w:eastAsia="宋体" w:cs="宋体"/>
          <w:color w:val="auto"/>
          <w:szCs w:val="21"/>
          <w:highlight w:val="none"/>
        </w:rPr>
        <w:t>择优因素包括</w:t>
      </w:r>
      <w:r>
        <w:rPr>
          <w:rFonts w:hint="eastAsia" w:ascii="宋体" w:hAnsi="宋体" w:cs="宋体"/>
          <w:color w:val="auto"/>
          <w:szCs w:val="21"/>
          <w:highlight w:val="none"/>
          <w:lang w:eastAsia="zh-CN"/>
        </w:rPr>
        <w:t>：</w:t>
      </w:r>
      <w:permStart w:id="157" w:edGrp="everyone"/>
      <w:r>
        <w:rPr>
          <w:rFonts w:hint="eastAsia" w:ascii="宋体" w:hAnsi="宋体" w:cs="宋体"/>
          <w:color w:val="auto"/>
          <w:sz w:val="21"/>
          <w:szCs w:val="21"/>
          <w:highlight w:val="none"/>
          <w:lang w:val="en-US" w:eastAsia="zh-CN"/>
        </w:rPr>
        <w:t>投标人企</w:t>
      </w:r>
      <w:r>
        <w:rPr>
          <w:rFonts w:hint="eastAsia" w:ascii="宋体" w:hAnsi="宋体" w:eastAsia="宋体" w:cs="宋体"/>
          <w:color w:val="auto"/>
          <w:sz w:val="21"/>
          <w:szCs w:val="21"/>
          <w:highlight w:val="none"/>
          <w:lang w:eastAsia="zh-CN"/>
        </w:rPr>
        <w:t>业</w:t>
      </w:r>
      <w:r>
        <w:rPr>
          <w:rFonts w:hint="eastAsia" w:ascii="宋体" w:hAnsi="宋体" w:cs="宋体"/>
          <w:color w:val="auto"/>
          <w:sz w:val="21"/>
          <w:szCs w:val="21"/>
          <w:highlight w:val="none"/>
          <w:lang w:val="en-US" w:eastAsia="zh-CN"/>
        </w:rPr>
        <w:t>资质</w:t>
      </w:r>
      <w:r>
        <w:rPr>
          <w:rFonts w:hint="eastAsia" w:ascii="宋体" w:hAnsi="宋体" w:eastAsia="宋体" w:cs="宋体"/>
          <w:color w:val="auto"/>
          <w:sz w:val="21"/>
          <w:szCs w:val="21"/>
          <w:highlight w:val="none"/>
          <w:lang w:eastAsia="zh-CN"/>
        </w:rPr>
        <w:t>、投标报价</w:t>
      </w:r>
      <w:r>
        <w:rPr>
          <w:rFonts w:hint="eastAsia" w:ascii="宋体" w:hAnsi="宋体" w:eastAsia="宋体" w:cs="宋体"/>
          <w:color w:val="auto"/>
          <w:szCs w:val="21"/>
          <w:highlight w:val="none"/>
          <w:u w:val="none"/>
        </w:rPr>
        <w:t>、</w:t>
      </w:r>
      <w:r>
        <w:rPr>
          <w:rFonts w:hint="eastAsia" w:ascii="宋体" w:hAnsi="宋体" w:cs="宋体"/>
          <w:color w:val="auto"/>
          <w:szCs w:val="21"/>
          <w:highlight w:val="none"/>
          <w:u w:val="none"/>
          <w:lang w:val="en-US" w:eastAsia="zh-CN"/>
        </w:rPr>
        <w:t>拟派项目管理团队人员水平</w:t>
      </w:r>
      <w:r>
        <w:rPr>
          <w:rFonts w:hint="eastAsia" w:ascii="宋体" w:hAnsi="宋体" w:eastAsia="宋体" w:cs="宋体"/>
          <w:color w:val="auto"/>
          <w:szCs w:val="21"/>
          <w:highlight w:val="none"/>
          <w:u w:val="none"/>
        </w:rPr>
        <w:t>、同类工程经验（业绩）</w:t>
      </w:r>
      <w:r>
        <w:rPr>
          <w:rFonts w:hint="eastAsia" w:ascii="宋体" w:hAnsi="宋体" w:cs="宋体"/>
          <w:color w:val="auto"/>
          <w:szCs w:val="21"/>
          <w:highlight w:val="none"/>
          <w:u w:val="none"/>
          <w:lang w:val="en-US" w:eastAsia="zh-CN"/>
        </w:rPr>
        <w:t>情况及获奖情况</w:t>
      </w:r>
      <w:r>
        <w:rPr>
          <w:rFonts w:hint="eastAsia" w:ascii="宋体" w:hAnsi="宋体" w:eastAsia="宋体" w:cs="宋体"/>
          <w:color w:val="auto"/>
          <w:szCs w:val="21"/>
          <w:highlight w:val="none"/>
          <w:u w:val="none"/>
        </w:rPr>
        <w:t>、</w:t>
      </w:r>
      <w:r>
        <w:rPr>
          <w:rFonts w:hint="eastAsia" w:ascii="宋体" w:hAnsi="宋体" w:cs="宋体"/>
          <w:color w:val="auto"/>
          <w:szCs w:val="21"/>
          <w:highlight w:val="none"/>
          <w:u w:val="none"/>
          <w:lang w:val="en-US" w:eastAsia="zh-CN"/>
        </w:rPr>
        <w:t>工期及施工保障方案、</w:t>
      </w:r>
      <w:r>
        <w:rPr>
          <w:rFonts w:hint="eastAsia" w:ascii="宋体" w:hAnsi="宋体" w:cs="Times New Roman"/>
          <w:color w:val="auto"/>
          <w:szCs w:val="21"/>
          <w:highlight w:val="none"/>
          <w:lang w:val="en-US" w:eastAsia="zh-CN"/>
        </w:rPr>
        <w:t>项目业主履约评价</w:t>
      </w:r>
      <w:r>
        <w:rPr>
          <w:rFonts w:hint="eastAsia" w:ascii="宋体" w:hAnsi="宋体" w:eastAsia="宋体" w:cs="宋体"/>
          <w:color w:val="auto"/>
          <w:szCs w:val="21"/>
          <w:highlight w:val="none"/>
          <w:u w:val="none"/>
          <w:lang w:val="en-US" w:eastAsia="zh-CN"/>
        </w:rPr>
        <w:t>等</w:t>
      </w:r>
      <w:permEnd w:id="157"/>
      <w:r>
        <w:rPr>
          <w:rFonts w:hint="eastAsia" w:ascii="宋体" w:hAnsi="宋体" w:eastAsia="宋体" w:cs="宋体"/>
          <w:color w:val="auto"/>
          <w:szCs w:val="21"/>
          <w:highlight w:val="none"/>
        </w:rPr>
        <w:t>。</w:t>
      </w:r>
    </w:p>
    <w:p w14:paraId="52D69395">
      <w:pPr>
        <w:adjustRightInd w:val="0"/>
        <w:snapToGrid w:val="0"/>
        <w:spacing w:line="360" w:lineRule="auto"/>
        <w:ind w:firstLine="420"/>
        <w:jc w:val="left"/>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投标人</w:t>
      </w:r>
      <w:r>
        <w:rPr>
          <w:rFonts w:hint="eastAsia" w:ascii="宋体" w:hAnsi="宋体" w:eastAsia="宋体" w:cs="宋体"/>
          <w:color w:val="auto"/>
          <w:kern w:val="0"/>
          <w:szCs w:val="21"/>
          <w:highlight w:val="none"/>
          <w:lang w:eastAsia="zh-CN"/>
        </w:rPr>
        <w:t>的以下</w:t>
      </w:r>
      <w:r>
        <w:rPr>
          <w:rFonts w:hint="eastAsia" w:ascii="宋体" w:hAnsi="宋体" w:eastAsia="宋体" w:cs="宋体"/>
          <w:color w:val="auto"/>
          <w:kern w:val="0"/>
          <w:szCs w:val="21"/>
          <w:highlight w:val="none"/>
        </w:rPr>
        <w:t>资信</w:t>
      </w:r>
      <w:r>
        <w:rPr>
          <w:rFonts w:hint="eastAsia" w:ascii="宋体" w:hAnsi="宋体" w:eastAsia="宋体" w:cs="宋体"/>
          <w:color w:val="auto"/>
          <w:kern w:val="0"/>
          <w:szCs w:val="21"/>
          <w:highlight w:val="none"/>
          <w:lang w:eastAsia="zh-CN"/>
        </w:rPr>
        <w:t>情况将作为</w:t>
      </w:r>
      <w:r>
        <w:rPr>
          <w:rFonts w:hint="eastAsia" w:ascii="宋体" w:hAnsi="宋体" w:cs="宋体"/>
          <w:color w:val="auto"/>
          <w:kern w:val="0"/>
          <w:szCs w:val="21"/>
          <w:highlight w:val="none"/>
          <w:lang w:eastAsia="zh-CN"/>
        </w:rPr>
        <w:t>本项目</w:t>
      </w:r>
      <w:r>
        <w:rPr>
          <w:rFonts w:hint="eastAsia" w:ascii="宋体" w:hAnsi="宋体" w:eastAsia="宋体" w:cs="宋体"/>
          <w:color w:val="auto"/>
          <w:kern w:val="0"/>
          <w:szCs w:val="21"/>
          <w:highlight w:val="none"/>
          <w:lang w:eastAsia="zh-CN"/>
        </w:rPr>
        <w:t>定标委员会的参考因素：</w:t>
      </w:r>
    </w:p>
    <w:p w14:paraId="7BC35515">
      <w:pPr>
        <w:tabs>
          <w:tab w:val="left" w:pos="1986"/>
        </w:tabs>
        <w:autoSpaceDE w:val="0"/>
        <w:autoSpaceDN w:val="0"/>
        <w:spacing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资信要素一览表</w:t>
      </w:r>
    </w:p>
    <w:tbl>
      <w:tblPr>
        <w:tblStyle w:val="26"/>
        <w:tblW w:w="92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2531"/>
        <w:gridCol w:w="5999"/>
      </w:tblGrid>
      <w:tr w14:paraId="58E0C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1" w:hRule="atLeast"/>
          <w:jc w:val="center"/>
        </w:trPr>
        <w:tc>
          <w:tcPr>
            <w:tcW w:w="754" w:type="dxa"/>
            <w:tcBorders>
              <w:top w:val="single" w:color="auto" w:sz="4" w:space="0"/>
              <w:left w:val="single" w:color="auto" w:sz="4" w:space="0"/>
              <w:bottom w:val="single" w:color="auto" w:sz="4" w:space="0"/>
              <w:right w:val="single" w:color="auto" w:sz="4" w:space="0"/>
            </w:tcBorders>
            <w:noWrap w:val="0"/>
            <w:vAlign w:val="center"/>
          </w:tcPr>
          <w:p w14:paraId="417F9729">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bCs/>
                <w:color w:val="auto"/>
                <w:kern w:val="0"/>
                <w:szCs w:val="21"/>
                <w:highlight w:val="none"/>
              </w:rPr>
            </w:pPr>
            <w:permStart w:id="158" w:edGrp="everyone"/>
            <w:r>
              <w:rPr>
                <w:rFonts w:hint="eastAsia" w:ascii="宋体" w:hAnsi="宋体" w:eastAsia="宋体" w:cs="宋体"/>
                <w:b/>
                <w:bCs/>
                <w:color w:val="auto"/>
                <w:kern w:val="0"/>
                <w:szCs w:val="21"/>
                <w:highlight w:val="none"/>
                <w:lang w:bidi="ar"/>
              </w:rPr>
              <w:t>序号</w:t>
            </w:r>
          </w:p>
        </w:tc>
        <w:tc>
          <w:tcPr>
            <w:tcW w:w="2531" w:type="dxa"/>
            <w:tcBorders>
              <w:top w:val="single" w:color="auto" w:sz="4" w:space="0"/>
              <w:left w:val="single" w:color="auto" w:sz="4" w:space="0"/>
              <w:bottom w:val="single" w:color="auto" w:sz="4" w:space="0"/>
              <w:right w:val="single" w:color="auto" w:sz="4" w:space="0"/>
            </w:tcBorders>
            <w:noWrap w:val="0"/>
            <w:vAlign w:val="center"/>
          </w:tcPr>
          <w:p w14:paraId="6A0F56FC">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bidi="ar"/>
              </w:rPr>
              <w:t>资信要素名称</w:t>
            </w:r>
          </w:p>
        </w:tc>
        <w:tc>
          <w:tcPr>
            <w:tcW w:w="5999" w:type="dxa"/>
            <w:tcBorders>
              <w:top w:val="single" w:color="auto" w:sz="4" w:space="0"/>
              <w:left w:val="single" w:color="auto" w:sz="4" w:space="0"/>
              <w:bottom w:val="single" w:color="auto" w:sz="4" w:space="0"/>
              <w:right w:val="single" w:color="auto" w:sz="4" w:space="0"/>
            </w:tcBorders>
            <w:noWrap w:val="0"/>
            <w:vAlign w:val="center"/>
          </w:tcPr>
          <w:p w14:paraId="0043939A">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bidi="ar"/>
              </w:rPr>
              <w:t>有关要求或说明</w:t>
            </w:r>
          </w:p>
        </w:tc>
      </w:tr>
      <w:tr w14:paraId="5C371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54" w:type="dxa"/>
            <w:tcBorders>
              <w:top w:val="single" w:color="auto" w:sz="4" w:space="0"/>
              <w:left w:val="single" w:color="auto" w:sz="4" w:space="0"/>
              <w:bottom w:val="single" w:color="auto" w:sz="4" w:space="0"/>
              <w:right w:val="single" w:color="auto" w:sz="4" w:space="0"/>
            </w:tcBorders>
            <w:noWrap w:val="0"/>
            <w:vAlign w:val="center"/>
          </w:tcPr>
          <w:p w14:paraId="1832E6C0">
            <w:pPr>
              <w:keepNext w:val="0"/>
              <w:keepLines w:val="0"/>
              <w:suppressLineNumbers w:val="0"/>
              <w:adjustRightInd w:val="0"/>
              <w:snapToGrid w:val="0"/>
              <w:spacing w:before="0" w:beforeAutospacing="0" w:after="0" w:afterAutospacing="0" w:line="360" w:lineRule="auto"/>
              <w:ind w:left="0" w:leftChars="0" w:right="0" w:rightChars="0"/>
              <w:jc w:val="center"/>
              <w:rPr>
                <w:rFonts w:hint="eastAsia" w:ascii="宋体" w:hAnsi="宋体" w:eastAsia="宋体" w:cs="宋体"/>
                <w:b w:val="0"/>
                <w:bCs w:val="0"/>
                <w:color w:val="auto"/>
                <w:kern w:val="0"/>
                <w:szCs w:val="21"/>
                <w:highlight w:val="none"/>
                <w:lang w:val="en-US" w:eastAsia="zh-CN" w:bidi="ar"/>
              </w:rPr>
            </w:pPr>
            <w:r>
              <w:rPr>
                <w:rFonts w:hint="eastAsia" w:ascii="宋体" w:hAnsi="宋体" w:eastAsia="宋体" w:cs="宋体"/>
                <w:b w:val="0"/>
                <w:bCs w:val="0"/>
                <w:color w:val="auto"/>
                <w:kern w:val="0"/>
                <w:szCs w:val="21"/>
                <w:highlight w:val="none"/>
                <w:lang w:val="en-US" w:eastAsia="zh-CN" w:bidi="ar"/>
              </w:rPr>
              <w:t>1</w:t>
            </w:r>
          </w:p>
        </w:tc>
        <w:tc>
          <w:tcPr>
            <w:tcW w:w="2531" w:type="dxa"/>
            <w:tcBorders>
              <w:top w:val="single" w:color="auto" w:sz="4" w:space="0"/>
              <w:left w:val="single" w:color="auto" w:sz="4" w:space="0"/>
              <w:bottom w:val="single" w:color="auto" w:sz="4" w:space="0"/>
              <w:right w:val="single" w:color="auto" w:sz="4" w:space="0"/>
            </w:tcBorders>
            <w:noWrap w:val="0"/>
            <w:vAlign w:val="center"/>
          </w:tcPr>
          <w:p w14:paraId="7191BC74">
            <w:pPr>
              <w:adjustRightInd w:val="0"/>
              <w:snapToGrid w:val="0"/>
              <w:jc w:val="center"/>
              <w:rPr>
                <w:rFonts w:hint="eastAsia" w:ascii="宋体" w:hAnsi="宋体" w:eastAsia="宋体" w:cs="宋体"/>
                <w:b/>
                <w:bCs/>
                <w:color w:val="auto"/>
                <w:kern w:val="0"/>
                <w:szCs w:val="21"/>
                <w:highlight w:val="none"/>
                <w:lang w:bidi="ar"/>
              </w:rPr>
            </w:pPr>
            <w:r>
              <w:rPr>
                <w:rFonts w:hint="eastAsia" w:ascii="宋体" w:hAnsi="宋体" w:cs="宋体"/>
                <w:color w:val="auto"/>
                <w:sz w:val="21"/>
                <w:szCs w:val="21"/>
                <w:highlight w:val="none"/>
                <w:lang w:val="en-US" w:eastAsia="zh-CN"/>
              </w:rPr>
              <w:t>投标人企</w:t>
            </w:r>
            <w:r>
              <w:rPr>
                <w:rFonts w:hint="eastAsia" w:ascii="宋体" w:hAnsi="宋体" w:eastAsia="宋体" w:cs="宋体"/>
                <w:color w:val="auto"/>
                <w:sz w:val="21"/>
                <w:szCs w:val="21"/>
                <w:highlight w:val="none"/>
                <w:lang w:eastAsia="zh-CN"/>
              </w:rPr>
              <w:t>业</w:t>
            </w:r>
            <w:r>
              <w:rPr>
                <w:rFonts w:hint="eastAsia" w:ascii="宋体" w:hAnsi="宋体" w:cs="宋体"/>
                <w:color w:val="auto"/>
                <w:sz w:val="21"/>
                <w:szCs w:val="21"/>
                <w:highlight w:val="none"/>
                <w:lang w:val="en-US" w:eastAsia="zh-CN"/>
              </w:rPr>
              <w:t>资质</w:t>
            </w:r>
          </w:p>
        </w:tc>
        <w:tc>
          <w:tcPr>
            <w:tcW w:w="5999" w:type="dxa"/>
            <w:tcBorders>
              <w:top w:val="single" w:color="auto" w:sz="4" w:space="0"/>
              <w:left w:val="single" w:color="auto" w:sz="4" w:space="0"/>
              <w:bottom w:val="single" w:color="auto" w:sz="4" w:space="0"/>
              <w:right w:val="single" w:color="auto" w:sz="4" w:space="0"/>
            </w:tcBorders>
            <w:noWrap w:val="0"/>
            <w:vAlign w:val="center"/>
          </w:tcPr>
          <w:p w14:paraId="5FAD16AA">
            <w:pPr>
              <w:adjustRightInd w:val="0"/>
              <w:snapToGrid w:val="0"/>
              <w:jc w:val="left"/>
              <w:rPr>
                <w:rFonts w:hint="eastAsia" w:ascii="宋体" w:hAnsi="宋体" w:eastAsia="宋体" w:cs="宋体"/>
                <w:b/>
                <w:bCs/>
                <w:color w:val="auto"/>
                <w:kern w:val="0"/>
                <w:szCs w:val="21"/>
                <w:highlight w:val="none"/>
                <w:lang w:bidi="ar"/>
              </w:rPr>
            </w:pPr>
            <w:r>
              <w:rPr>
                <w:rFonts w:hint="eastAsia" w:ascii="宋体" w:hAnsi="宋体" w:eastAsia="宋体" w:cs="宋体"/>
                <w:color w:val="auto"/>
                <w:sz w:val="21"/>
                <w:szCs w:val="21"/>
                <w:highlight w:val="none"/>
              </w:rPr>
              <w:t>以投标人资质证书为准</w:t>
            </w:r>
            <w:r>
              <w:rPr>
                <w:rFonts w:hAnsi="宋体" w:cs="宋体"/>
                <w:color w:val="auto"/>
                <w:szCs w:val="21"/>
                <w:highlight w:val="none"/>
              </w:rPr>
              <w:t>。</w:t>
            </w:r>
          </w:p>
        </w:tc>
      </w:tr>
      <w:tr w14:paraId="5C887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54" w:type="dxa"/>
            <w:tcBorders>
              <w:top w:val="single" w:color="auto" w:sz="4" w:space="0"/>
              <w:left w:val="single" w:color="auto" w:sz="4" w:space="0"/>
              <w:bottom w:val="single" w:color="auto" w:sz="4" w:space="0"/>
              <w:right w:val="single" w:color="auto" w:sz="4" w:space="0"/>
            </w:tcBorders>
            <w:noWrap w:val="0"/>
            <w:vAlign w:val="center"/>
          </w:tcPr>
          <w:p w14:paraId="3281CBF3">
            <w:pPr>
              <w:keepNext w:val="0"/>
              <w:keepLines w:val="0"/>
              <w:suppressLineNumbers w:val="0"/>
              <w:adjustRightInd w:val="0"/>
              <w:snapToGrid w:val="0"/>
              <w:spacing w:before="0" w:beforeAutospacing="0" w:after="0" w:afterAutospacing="0" w:line="360" w:lineRule="auto"/>
              <w:ind w:left="0" w:leftChars="0" w:right="0" w:rightChars="0"/>
              <w:jc w:val="center"/>
              <w:rPr>
                <w:rFonts w:hint="eastAsia" w:ascii="宋体" w:hAnsi="宋体" w:eastAsia="宋体" w:cs="宋体"/>
                <w:b w:val="0"/>
                <w:bCs w:val="0"/>
                <w:color w:val="auto"/>
                <w:kern w:val="0"/>
                <w:szCs w:val="21"/>
                <w:highlight w:val="none"/>
                <w:lang w:val="en-US" w:eastAsia="zh-CN" w:bidi="ar"/>
              </w:rPr>
            </w:pPr>
            <w:r>
              <w:rPr>
                <w:rFonts w:hint="eastAsia" w:ascii="宋体" w:hAnsi="宋体" w:eastAsia="宋体" w:cs="宋体"/>
                <w:b w:val="0"/>
                <w:bCs w:val="0"/>
                <w:color w:val="auto"/>
                <w:kern w:val="0"/>
                <w:szCs w:val="21"/>
                <w:highlight w:val="none"/>
                <w:lang w:val="en-US" w:eastAsia="zh-CN" w:bidi="ar"/>
              </w:rPr>
              <w:t>2</w:t>
            </w:r>
          </w:p>
        </w:tc>
        <w:tc>
          <w:tcPr>
            <w:tcW w:w="2531" w:type="dxa"/>
            <w:tcBorders>
              <w:top w:val="single" w:color="auto" w:sz="4" w:space="0"/>
              <w:left w:val="single" w:color="auto" w:sz="4" w:space="0"/>
              <w:bottom w:val="single" w:color="auto" w:sz="4" w:space="0"/>
              <w:right w:val="single" w:color="auto" w:sz="4" w:space="0"/>
            </w:tcBorders>
            <w:noWrap w:val="0"/>
            <w:vAlign w:val="center"/>
          </w:tcPr>
          <w:p w14:paraId="6C06E030">
            <w:pPr>
              <w:adjustRightInd w:val="0"/>
              <w:snapToGrid w:val="0"/>
              <w:jc w:val="center"/>
              <w:rPr>
                <w:rFonts w:hint="eastAsia" w:ascii="宋体" w:hAnsi="宋体" w:eastAsia="宋体" w:cs="宋体"/>
                <w:b/>
                <w:bCs/>
                <w:color w:val="auto"/>
                <w:kern w:val="0"/>
                <w:szCs w:val="21"/>
                <w:highlight w:val="none"/>
                <w:lang w:bidi="ar"/>
              </w:rPr>
            </w:pPr>
            <w:r>
              <w:rPr>
                <w:rFonts w:hint="eastAsia" w:ascii="宋体" w:hAnsi="宋体" w:cs="宋体"/>
                <w:color w:val="auto"/>
                <w:szCs w:val="21"/>
                <w:highlight w:val="none"/>
              </w:rPr>
              <w:t>投标报价</w:t>
            </w:r>
          </w:p>
        </w:tc>
        <w:tc>
          <w:tcPr>
            <w:tcW w:w="5999" w:type="dxa"/>
            <w:tcBorders>
              <w:top w:val="single" w:color="auto" w:sz="4" w:space="0"/>
              <w:left w:val="single" w:color="auto" w:sz="4" w:space="0"/>
              <w:bottom w:val="single" w:color="auto" w:sz="4" w:space="0"/>
              <w:right w:val="single" w:color="auto" w:sz="4" w:space="0"/>
            </w:tcBorders>
            <w:noWrap w:val="0"/>
            <w:vAlign w:val="center"/>
          </w:tcPr>
          <w:p w14:paraId="5F9C09B0">
            <w:pPr>
              <w:adjustRightInd w:val="0"/>
              <w:snapToGrid w:val="0"/>
              <w:jc w:val="left"/>
              <w:rPr>
                <w:rFonts w:hint="eastAsia" w:ascii="宋体" w:hAnsi="宋体" w:eastAsia="宋体" w:cs="宋体"/>
                <w:b/>
                <w:bCs/>
                <w:color w:val="auto"/>
                <w:kern w:val="0"/>
                <w:szCs w:val="21"/>
                <w:highlight w:val="none"/>
                <w:lang w:bidi="ar"/>
              </w:rPr>
            </w:pPr>
            <w:r>
              <w:rPr>
                <w:rFonts w:hint="eastAsia" w:ascii="宋体" w:hAnsi="宋体" w:cs="宋体"/>
                <w:color w:val="auto"/>
                <w:kern w:val="0"/>
                <w:sz w:val="21"/>
                <w:szCs w:val="21"/>
                <w:highlight w:val="none"/>
                <w:lang w:val="en-US" w:eastAsia="zh-CN" w:bidi="ar"/>
              </w:rPr>
              <w:t>有效投标人投标报价情况</w:t>
            </w:r>
            <w:r>
              <w:rPr>
                <w:rFonts w:hint="eastAsia" w:ascii="宋体" w:hAnsi="宋体" w:cs="仿宋_GB2312"/>
                <w:color w:val="auto"/>
                <w:spacing w:val="-2"/>
                <w:szCs w:val="21"/>
                <w:highlight w:val="none"/>
              </w:rPr>
              <w:t>。</w:t>
            </w:r>
          </w:p>
        </w:tc>
      </w:tr>
      <w:tr w14:paraId="35D5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54" w:type="dxa"/>
            <w:tcBorders>
              <w:top w:val="single" w:color="auto" w:sz="4" w:space="0"/>
              <w:left w:val="single" w:color="auto" w:sz="4" w:space="0"/>
              <w:bottom w:val="single" w:color="auto" w:sz="4" w:space="0"/>
              <w:right w:val="single" w:color="auto" w:sz="4" w:space="0"/>
            </w:tcBorders>
            <w:noWrap w:val="0"/>
            <w:vAlign w:val="center"/>
          </w:tcPr>
          <w:p w14:paraId="3B8FC767">
            <w:pPr>
              <w:keepNext w:val="0"/>
              <w:keepLines w:val="0"/>
              <w:suppressLineNumbers w:val="0"/>
              <w:adjustRightInd w:val="0"/>
              <w:snapToGrid w:val="0"/>
              <w:spacing w:before="0" w:beforeAutospacing="0" w:after="0" w:afterAutospacing="0" w:line="360" w:lineRule="auto"/>
              <w:ind w:left="0" w:leftChars="0" w:right="0" w:rightChars="0"/>
              <w:jc w:val="center"/>
              <w:rPr>
                <w:rFonts w:hint="eastAsia" w:ascii="宋体" w:hAnsi="宋体" w:eastAsia="宋体" w:cs="宋体"/>
                <w:b w:val="0"/>
                <w:bCs w:val="0"/>
                <w:color w:val="auto"/>
                <w:kern w:val="0"/>
                <w:szCs w:val="21"/>
                <w:highlight w:val="none"/>
                <w:lang w:eastAsia="zh-CN" w:bidi="ar"/>
              </w:rPr>
            </w:pPr>
            <w:bookmarkStart w:id="2291" w:name="_Toc2012469341"/>
            <w:bookmarkStart w:id="2292" w:name="_Toc1549769873"/>
            <w:bookmarkStart w:id="2293" w:name="_Toc137136786"/>
            <w:bookmarkStart w:id="2294" w:name="_Toc1534471025"/>
            <w:bookmarkStart w:id="2295" w:name="_Toc588442800"/>
            <w:bookmarkStart w:id="2296" w:name="_Toc2051536451"/>
            <w:bookmarkStart w:id="2297" w:name="_Toc5640662"/>
            <w:bookmarkStart w:id="2298" w:name="_Toc586484476"/>
            <w:bookmarkStart w:id="2299" w:name="_Toc593641927"/>
            <w:bookmarkStart w:id="2300" w:name="_Toc1245622245"/>
            <w:bookmarkStart w:id="2301" w:name="_Toc289212985"/>
            <w:bookmarkStart w:id="2302" w:name="_Toc339038332"/>
            <w:bookmarkStart w:id="2303" w:name="_Toc350714135"/>
            <w:bookmarkStart w:id="2304" w:name="_Toc1105898014"/>
            <w:bookmarkStart w:id="2305" w:name="_Toc1426727897"/>
            <w:bookmarkStart w:id="2306" w:name="_Toc1988180658"/>
            <w:bookmarkStart w:id="2307" w:name="_Toc1294800536"/>
            <w:bookmarkStart w:id="2308" w:name="_Toc1866467327"/>
            <w:bookmarkStart w:id="2309" w:name="_Toc25826"/>
            <w:bookmarkStart w:id="2310" w:name="_Toc381383255"/>
            <w:bookmarkStart w:id="2311" w:name="_Toc2001502293"/>
            <w:bookmarkStart w:id="2312" w:name="_Toc940300107"/>
            <w:bookmarkStart w:id="2313" w:name="_Toc728089238"/>
            <w:bookmarkStart w:id="2314" w:name="_Toc555273567"/>
            <w:bookmarkStart w:id="2315" w:name="_Toc1809011440"/>
            <w:bookmarkStart w:id="2316" w:name="_Toc1532578047"/>
            <w:bookmarkStart w:id="2317" w:name="_Toc120250141"/>
            <w:bookmarkStart w:id="2318" w:name="_Toc380775716"/>
            <w:bookmarkStart w:id="2319" w:name="_Toc1005056518"/>
            <w:bookmarkStart w:id="2320" w:name="_Toc1775986839"/>
            <w:bookmarkStart w:id="2321" w:name="_Toc1977814991"/>
            <w:r>
              <w:rPr>
                <w:rFonts w:hint="eastAsia" w:ascii="宋体" w:hAnsi="宋体" w:cs="宋体"/>
                <w:b w:val="0"/>
                <w:bCs w:val="0"/>
                <w:color w:val="auto"/>
                <w:kern w:val="0"/>
                <w:szCs w:val="21"/>
                <w:highlight w:val="none"/>
                <w:lang w:val="en-US" w:eastAsia="zh-CN" w:bidi="ar"/>
              </w:rPr>
              <w:t>3</w:t>
            </w:r>
          </w:p>
        </w:tc>
        <w:tc>
          <w:tcPr>
            <w:tcW w:w="2531" w:type="dxa"/>
            <w:tcBorders>
              <w:top w:val="single" w:color="auto" w:sz="4" w:space="0"/>
              <w:left w:val="single" w:color="auto" w:sz="4" w:space="0"/>
              <w:bottom w:val="single" w:color="auto" w:sz="4" w:space="0"/>
              <w:right w:val="single" w:color="auto" w:sz="4" w:space="0"/>
            </w:tcBorders>
            <w:noWrap w:val="0"/>
            <w:vAlign w:val="center"/>
          </w:tcPr>
          <w:p w14:paraId="3AA6B0E7">
            <w:pPr>
              <w:adjustRightInd w:val="0"/>
              <w:snapToGrid w:val="0"/>
              <w:jc w:val="left"/>
              <w:rPr>
                <w:rFonts w:hint="eastAsia" w:ascii="宋体" w:hAnsi="宋体" w:eastAsia="宋体" w:cs="宋体"/>
                <w:b/>
                <w:bCs/>
                <w:color w:val="auto"/>
                <w:kern w:val="0"/>
                <w:szCs w:val="21"/>
                <w:highlight w:val="none"/>
                <w:lang w:bidi="ar"/>
              </w:rPr>
            </w:pPr>
            <w:r>
              <w:rPr>
                <w:rFonts w:hint="eastAsia" w:ascii="宋体" w:hAnsi="宋体" w:cs="宋体"/>
                <w:color w:val="auto"/>
                <w:szCs w:val="21"/>
                <w:highlight w:val="none"/>
                <w:u w:val="none"/>
                <w:lang w:val="en-US" w:eastAsia="zh-CN"/>
              </w:rPr>
              <w:t>拟派项目管理团队人员水平</w:t>
            </w:r>
          </w:p>
        </w:tc>
        <w:tc>
          <w:tcPr>
            <w:tcW w:w="5999" w:type="dxa"/>
            <w:tcBorders>
              <w:top w:val="single" w:color="auto" w:sz="4" w:space="0"/>
              <w:left w:val="single" w:color="auto" w:sz="4" w:space="0"/>
              <w:bottom w:val="single" w:color="auto" w:sz="4" w:space="0"/>
              <w:right w:val="single" w:color="auto" w:sz="4" w:space="0"/>
            </w:tcBorders>
            <w:noWrap w:val="0"/>
            <w:vAlign w:val="center"/>
          </w:tcPr>
          <w:p w14:paraId="1E686ADE">
            <w:pPr>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评审以拟投入项目管理团队人员资质、业绩作为评判依据；拟投入项目管理团队人员水平高（注册证书、职称及人员业绩等方面）的投标人优于人员水平低的投标人。</w:t>
            </w:r>
          </w:p>
          <w:p w14:paraId="5943E5A9">
            <w:pPr>
              <w:adjustRightInd w:val="0"/>
              <w:snapToGrid w:val="0"/>
              <w:jc w:val="left"/>
              <w:rPr>
                <w:rFonts w:hint="eastAsia" w:ascii="宋体" w:hAnsi="宋体" w:eastAsia="宋体" w:cs="宋体"/>
                <w:b/>
                <w:bCs/>
                <w:color w:val="auto"/>
                <w:kern w:val="0"/>
                <w:szCs w:val="21"/>
                <w:highlight w:val="none"/>
                <w:lang w:bidi="ar"/>
              </w:rPr>
            </w:pPr>
            <w:r>
              <w:rPr>
                <w:rFonts w:hint="eastAsia" w:ascii="宋体" w:hAnsi="宋体" w:cs="宋体"/>
                <w:color w:val="auto"/>
                <w:szCs w:val="21"/>
                <w:highlight w:val="none"/>
              </w:rPr>
              <w:t>注：相关人员注册证、职称证、业绩证明、社保证明等材料复印件须加盖公章</w:t>
            </w:r>
            <w:r>
              <w:rPr>
                <w:rFonts w:hint="eastAsia" w:ascii="宋体" w:hAnsi="宋体" w:cs="宋体"/>
                <w:color w:val="auto"/>
                <w:szCs w:val="21"/>
                <w:highlight w:val="none"/>
                <w:lang w:eastAsia="zh-CN"/>
              </w:rPr>
              <w:t>。</w:t>
            </w:r>
          </w:p>
        </w:tc>
      </w:tr>
      <w:tr w14:paraId="00A3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54" w:type="dxa"/>
            <w:tcBorders>
              <w:top w:val="single" w:color="auto" w:sz="4" w:space="0"/>
              <w:left w:val="single" w:color="auto" w:sz="4" w:space="0"/>
              <w:bottom w:val="single" w:color="auto" w:sz="4" w:space="0"/>
              <w:right w:val="single" w:color="auto" w:sz="4" w:space="0"/>
            </w:tcBorders>
            <w:noWrap w:val="0"/>
            <w:vAlign w:val="center"/>
          </w:tcPr>
          <w:p w14:paraId="01856AAA">
            <w:pPr>
              <w:keepNext w:val="0"/>
              <w:keepLines w:val="0"/>
              <w:suppressLineNumbers w:val="0"/>
              <w:adjustRightInd w:val="0"/>
              <w:snapToGrid w:val="0"/>
              <w:spacing w:before="0" w:beforeAutospacing="0" w:after="0" w:afterAutospacing="0" w:line="360" w:lineRule="auto"/>
              <w:ind w:left="0" w:leftChars="0" w:right="0" w:rightChars="0"/>
              <w:jc w:val="center"/>
              <w:rPr>
                <w:rFonts w:hint="eastAsia" w:ascii="宋体" w:hAnsi="宋体" w:eastAsia="宋体" w:cs="宋体"/>
                <w:b w:val="0"/>
                <w:bCs w:val="0"/>
                <w:color w:val="auto"/>
                <w:kern w:val="0"/>
                <w:szCs w:val="21"/>
                <w:highlight w:val="none"/>
                <w:lang w:eastAsia="zh-CN" w:bidi="ar"/>
              </w:rPr>
            </w:pPr>
            <w:r>
              <w:rPr>
                <w:rFonts w:hint="eastAsia" w:ascii="宋体" w:hAnsi="宋体" w:cs="宋体"/>
                <w:b w:val="0"/>
                <w:bCs w:val="0"/>
                <w:color w:val="auto"/>
                <w:kern w:val="0"/>
                <w:szCs w:val="21"/>
                <w:highlight w:val="none"/>
                <w:lang w:val="en-US" w:eastAsia="zh-CN" w:bidi="ar"/>
              </w:rPr>
              <w:t>4</w:t>
            </w:r>
          </w:p>
        </w:tc>
        <w:tc>
          <w:tcPr>
            <w:tcW w:w="2531" w:type="dxa"/>
            <w:tcBorders>
              <w:top w:val="single" w:color="auto" w:sz="4" w:space="0"/>
              <w:left w:val="single" w:color="auto" w:sz="4" w:space="0"/>
              <w:bottom w:val="single" w:color="auto" w:sz="4" w:space="0"/>
              <w:right w:val="single" w:color="auto" w:sz="4" w:space="0"/>
            </w:tcBorders>
            <w:noWrap w:val="0"/>
            <w:vAlign w:val="center"/>
          </w:tcPr>
          <w:p w14:paraId="0445C805">
            <w:pPr>
              <w:adjustRightInd w:val="0"/>
              <w:snapToGrid w:val="0"/>
              <w:jc w:val="left"/>
              <w:rPr>
                <w:rFonts w:hint="eastAsia" w:ascii="宋体" w:hAnsi="宋体" w:eastAsia="宋体" w:cs="宋体"/>
                <w:b/>
                <w:bCs/>
                <w:color w:val="auto"/>
                <w:kern w:val="0"/>
                <w:szCs w:val="21"/>
                <w:highlight w:val="none"/>
                <w:lang w:bidi="ar"/>
              </w:rPr>
            </w:pPr>
            <w:r>
              <w:rPr>
                <w:rFonts w:hint="eastAsia" w:ascii="宋体" w:hAnsi="宋体" w:eastAsia="宋体" w:cs="宋体"/>
                <w:color w:val="auto"/>
                <w:szCs w:val="21"/>
                <w:highlight w:val="none"/>
                <w:u w:val="none"/>
              </w:rPr>
              <w:t>同类工程经验（业绩）</w:t>
            </w:r>
            <w:r>
              <w:rPr>
                <w:rFonts w:hint="eastAsia" w:ascii="宋体" w:hAnsi="宋体" w:eastAsia="宋体" w:cs="宋体"/>
                <w:color w:val="auto"/>
                <w:szCs w:val="21"/>
                <w:highlight w:val="none"/>
                <w:u w:val="none"/>
                <w:lang w:val="en-US" w:eastAsia="zh-CN"/>
              </w:rPr>
              <w:t>及获奖情况</w:t>
            </w:r>
          </w:p>
        </w:tc>
        <w:tc>
          <w:tcPr>
            <w:tcW w:w="5999" w:type="dxa"/>
            <w:tcBorders>
              <w:top w:val="single" w:color="auto" w:sz="4" w:space="0"/>
              <w:left w:val="single" w:color="auto" w:sz="4" w:space="0"/>
              <w:bottom w:val="single" w:color="auto" w:sz="4" w:space="0"/>
              <w:right w:val="single" w:color="auto" w:sz="4" w:space="0"/>
            </w:tcBorders>
            <w:noWrap w:val="0"/>
            <w:vAlign w:val="center"/>
          </w:tcPr>
          <w:p w14:paraId="292D30F2">
            <w:pPr>
              <w:adjustRightInd w:val="0"/>
              <w:snapToGrid w:val="0"/>
              <w:jc w:val="left"/>
              <w:rPr>
                <w:rFonts w:hint="eastAsia" w:ascii="宋体" w:hAnsi="宋体" w:eastAsia="宋体" w:cs="宋体"/>
                <w:b/>
                <w:bCs/>
                <w:color w:val="auto"/>
                <w:kern w:val="0"/>
                <w:szCs w:val="21"/>
                <w:highlight w:val="none"/>
                <w:lang w:bidi="ar"/>
              </w:rPr>
            </w:pPr>
            <w:r>
              <w:rPr>
                <w:rFonts w:hint="eastAsia" w:ascii="宋体" w:hAnsi="宋体" w:eastAsia="宋体" w:cs="宋体"/>
                <w:color w:val="auto"/>
                <w:highlight w:val="none"/>
                <w:u w:val="none"/>
              </w:rPr>
              <w:t>近三年</w:t>
            </w:r>
            <w:r>
              <w:rPr>
                <w:rFonts w:hint="eastAsia" w:ascii="宋体" w:hAnsi="宋体" w:cs="宋体"/>
                <w:color w:val="auto"/>
                <w:highlight w:val="none"/>
                <w:u w:val="none"/>
                <w:lang w:val="en-US" w:eastAsia="zh-CN"/>
              </w:rPr>
              <w:t>最能体现</w:t>
            </w:r>
            <w:r>
              <w:rPr>
                <w:rFonts w:hint="eastAsia" w:ascii="宋体" w:hAnsi="宋体" w:eastAsia="宋体" w:cs="宋体"/>
                <w:color w:val="auto"/>
                <w:highlight w:val="none"/>
                <w:u w:val="none"/>
              </w:rPr>
              <w:t>技术复杂、实施难度、合同金额规模的房屋建筑施工</w:t>
            </w:r>
            <w:r>
              <w:rPr>
                <w:rFonts w:hint="eastAsia" w:ascii="宋体" w:hAnsi="宋体" w:eastAsia="宋体" w:cs="宋体"/>
                <w:color w:val="auto"/>
                <w:highlight w:val="none"/>
                <w:u w:val="none"/>
              </w:rPr>
              <w:t>业绩</w:t>
            </w:r>
            <w:r>
              <w:rPr>
                <w:rFonts w:hint="eastAsia" w:ascii="Calibri" w:hAnsi="Calibri"/>
                <w:color w:val="auto"/>
                <w:highlight w:val="none"/>
                <w:lang w:eastAsia="zh-CN"/>
              </w:rPr>
              <w:t>。投标人</w:t>
            </w:r>
            <w:r>
              <w:rPr>
                <w:rFonts w:hint="eastAsia" w:ascii="Calibri" w:hAnsi="Calibri"/>
                <w:color w:val="auto"/>
                <w:highlight w:val="none"/>
                <w:lang w:val="en-US" w:eastAsia="zh-CN"/>
              </w:rPr>
              <w:t>须</w:t>
            </w:r>
            <w:r>
              <w:rPr>
                <w:rFonts w:hint="eastAsia" w:ascii="Calibri" w:hAnsi="Calibri"/>
                <w:color w:val="auto"/>
                <w:highlight w:val="none"/>
                <w:lang w:eastAsia="zh-CN"/>
              </w:rPr>
              <w:t>提供</w:t>
            </w:r>
            <w:r>
              <w:rPr>
                <w:rFonts w:hint="eastAsia" w:ascii="Calibri" w:hAnsi="Calibri"/>
                <w:color w:val="auto"/>
                <w:highlight w:val="none"/>
                <w:lang w:val="en-US" w:eastAsia="zh-CN"/>
              </w:rPr>
              <w:t>2023</w:t>
            </w:r>
            <w:r>
              <w:rPr>
                <w:rFonts w:hint="eastAsia" w:ascii="Calibri" w:hAnsi="Calibri"/>
                <w:color w:val="auto"/>
                <w:highlight w:val="none"/>
                <w:lang w:eastAsia="zh-CN"/>
              </w:rPr>
              <w:t>年</w:t>
            </w:r>
            <w:r>
              <w:rPr>
                <w:rFonts w:hint="eastAsia" w:ascii="Calibri" w:hAnsi="Calibri"/>
                <w:color w:val="auto"/>
                <w:highlight w:val="none"/>
                <w:lang w:val="en-US" w:eastAsia="zh-CN"/>
              </w:rPr>
              <w:t>10</w:t>
            </w:r>
            <w:r>
              <w:rPr>
                <w:rFonts w:hint="eastAsia" w:ascii="Calibri" w:hAnsi="Calibri"/>
                <w:color w:val="auto"/>
                <w:highlight w:val="none"/>
                <w:lang w:eastAsia="zh-CN"/>
              </w:rPr>
              <w:t>月</w:t>
            </w:r>
            <w:r>
              <w:rPr>
                <w:rFonts w:hint="eastAsia" w:ascii="Calibri" w:hAnsi="Calibri"/>
                <w:color w:val="auto"/>
                <w:highlight w:val="none"/>
                <w:lang w:val="en-US" w:eastAsia="zh-CN"/>
              </w:rPr>
              <w:t>1</w:t>
            </w:r>
            <w:r>
              <w:rPr>
                <w:rFonts w:hint="eastAsia" w:ascii="Calibri" w:hAnsi="Calibri"/>
                <w:color w:val="auto"/>
                <w:highlight w:val="none"/>
                <w:lang w:eastAsia="zh-CN"/>
              </w:rPr>
              <w:t>日至投标截止之日自认为最具代表性、与本项目同类的</w:t>
            </w:r>
            <w:r>
              <w:rPr>
                <w:rFonts w:hint="eastAsia" w:ascii="Calibri" w:hAnsi="Calibri"/>
                <w:color w:val="auto"/>
                <w:highlight w:val="none"/>
                <w:lang w:val="en-US" w:eastAsia="zh-CN"/>
              </w:rPr>
              <w:t>建筑工程</w:t>
            </w:r>
            <w:r>
              <w:rPr>
                <w:rFonts w:hint="eastAsia" w:ascii="Calibri" w:hAnsi="Calibri"/>
                <w:color w:val="auto"/>
                <w:highlight w:val="none"/>
                <w:lang w:eastAsia="zh-CN"/>
              </w:rPr>
              <w:t>施工项目作为评审参考</w:t>
            </w:r>
            <w:r>
              <w:rPr>
                <w:rFonts w:hint="eastAsia" w:ascii="宋体" w:hAnsi="宋体" w:eastAsia="宋体" w:cs="宋体"/>
                <w:color w:val="auto"/>
                <w:kern w:val="0"/>
                <w:sz w:val="21"/>
                <w:szCs w:val="21"/>
                <w:highlight w:val="none"/>
              </w:rPr>
              <w:t>（不超过</w:t>
            </w:r>
            <w:r>
              <w:rPr>
                <w:rFonts w:hint="eastAsia" w:ascii="宋体" w:hAnsi="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项，超过</w:t>
            </w:r>
            <w:r>
              <w:rPr>
                <w:rFonts w:hint="eastAsia" w:ascii="宋体" w:hAnsi="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项的按顺序选择前</w:t>
            </w:r>
            <w:r>
              <w:rPr>
                <w:rFonts w:hint="eastAsia" w:ascii="宋体" w:hAnsi="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项作为</w:t>
            </w:r>
            <w:r>
              <w:rPr>
                <w:rFonts w:hint="eastAsia" w:ascii="宋体" w:hAnsi="宋体" w:eastAsia="宋体" w:cs="宋体"/>
                <w:color w:val="auto"/>
                <w:kern w:val="0"/>
                <w:sz w:val="21"/>
                <w:szCs w:val="21"/>
                <w:highlight w:val="none"/>
                <w:lang w:bidi="ar"/>
              </w:rPr>
              <w:t>清标汇总分析及</w:t>
            </w:r>
            <w:r>
              <w:rPr>
                <w:rFonts w:hint="eastAsia" w:ascii="宋体" w:hAnsi="宋体" w:eastAsia="宋体" w:cs="宋体"/>
                <w:color w:val="auto"/>
                <w:kern w:val="0"/>
                <w:sz w:val="21"/>
                <w:szCs w:val="21"/>
                <w:highlight w:val="none"/>
              </w:rPr>
              <w:t>定标参考依据）</w:t>
            </w:r>
            <w:r>
              <w:rPr>
                <w:rFonts w:hint="eastAsia" w:ascii="Calibri" w:hAnsi="Calibri"/>
                <w:color w:val="auto"/>
                <w:highlight w:val="none"/>
                <w:lang w:eastAsia="zh-CN"/>
              </w:rPr>
              <w:t>。注：业绩证明材料需提供合同关键页及中标通知书，能体现项目类型、合同金额、实施规模等核心信息；奖项证明材料须提供获奖证书等有效证明文件</w:t>
            </w:r>
          </w:p>
        </w:tc>
      </w:tr>
      <w:tr w14:paraId="14583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54" w:type="dxa"/>
            <w:tcBorders>
              <w:top w:val="single" w:color="auto" w:sz="4" w:space="0"/>
              <w:left w:val="single" w:color="auto" w:sz="4" w:space="0"/>
              <w:bottom w:val="single" w:color="auto" w:sz="4" w:space="0"/>
              <w:right w:val="single" w:color="auto" w:sz="4" w:space="0"/>
            </w:tcBorders>
            <w:noWrap w:val="0"/>
            <w:vAlign w:val="center"/>
          </w:tcPr>
          <w:p w14:paraId="2A9C8494">
            <w:pPr>
              <w:keepNext w:val="0"/>
              <w:keepLines w:val="0"/>
              <w:suppressLineNumbers w:val="0"/>
              <w:adjustRightInd w:val="0"/>
              <w:snapToGrid w:val="0"/>
              <w:spacing w:before="0" w:beforeAutospacing="0" w:after="0" w:afterAutospacing="0" w:line="360" w:lineRule="auto"/>
              <w:ind w:left="0" w:leftChars="0" w:right="0" w:rightChars="0"/>
              <w:jc w:val="center"/>
              <w:rPr>
                <w:rFonts w:hint="eastAsia" w:ascii="宋体" w:hAnsi="宋体" w:eastAsia="宋体" w:cs="宋体"/>
                <w:b w:val="0"/>
                <w:bCs w:val="0"/>
                <w:color w:val="auto"/>
                <w:kern w:val="0"/>
                <w:szCs w:val="21"/>
                <w:highlight w:val="none"/>
                <w:lang w:eastAsia="zh-CN" w:bidi="ar"/>
              </w:rPr>
            </w:pPr>
            <w:r>
              <w:rPr>
                <w:rFonts w:hint="eastAsia" w:ascii="宋体" w:hAnsi="宋体" w:cs="宋体"/>
                <w:b w:val="0"/>
                <w:bCs w:val="0"/>
                <w:color w:val="auto"/>
                <w:kern w:val="0"/>
                <w:szCs w:val="21"/>
                <w:highlight w:val="none"/>
                <w:lang w:val="en-US" w:eastAsia="zh-CN" w:bidi="ar"/>
              </w:rPr>
              <w:t>5</w:t>
            </w:r>
          </w:p>
        </w:tc>
        <w:tc>
          <w:tcPr>
            <w:tcW w:w="2531" w:type="dxa"/>
            <w:tcBorders>
              <w:top w:val="single" w:color="auto" w:sz="4" w:space="0"/>
              <w:left w:val="single" w:color="auto" w:sz="4" w:space="0"/>
              <w:bottom w:val="single" w:color="auto" w:sz="4" w:space="0"/>
              <w:right w:val="single" w:color="auto" w:sz="4" w:space="0"/>
            </w:tcBorders>
            <w:noWrap w:val="0"/>
            <w:vAlign w:val="center"/>
          </w:tcPr>
          <w:p w14:paraId="1B6B25A0">
            <w:pPr>
              <w:adjustRightInd w:val="0"/>
              <w:snapToGrid w:val="0"/>
              <w:jc w:val="left"/>
              <w:rPr>
                <w:rFonts w:hint="eastAsia" w:ascii="宋体" w:hAnsi="宋体" w:eastAsia="宋体" w:cs="宋体"/>
                <w:b/>
                <w:bCs/>
                <w:color w:val="auto"/>
                <w:kern w:val="0"/>
                <w:szCs w:val="21"/>
                <w:highlight w:val="none"/>
                <w:lang w:bidi="ar"/>
              </w:rPr>
            </w:pPr>
            <w:r>
              <w:rPr>
                <w:rFonts w:hint="default" w:ascii="宋体" w:hAnsi="宋体" w:cs="仿宋_GB2312"/>
                <w:color w:val="auto"/>
                <w:spacing w:val="-2"/>
                <w:szCs w:val="21"/>
                <w:highlight w:val="none"/>
              </w:rPr>
              <w:t>工期及施工保障方案</w:t>
            </w:r>
          </w:p>
        </w:tc>
        <w:tc>
          <w:tcPr>
            <w:tcW w:w="5999" w:type="dxa"/>
            <w:tcBorders>
              <w:top w:val="single" w:color="auto" w:sz="4" w:space="0"/>
              <w:left w:val="single" w:color="auto" w:sz="4" w:space="0"/>
              <w:bottom w:val="single" w:color="auto" w:sz="4" w:space="0"/>
              <w:right w:val="single" w:color="auto" w:sz="4" w:space="0"/>
            </w:tcBorders>
            <w:noWrap w:val="0"/>
            <w:vAlign w:val="center"/>
          </w:tcPr>
          <w:p w14:paraId="0A87CA83">
            <w:pPr>
              <w:adjustRightInd w:val="0"/>
              <w:snapToGrid w:val="0"/>
              <w:jc w:val="left"/>
              <w:rPr>
                <w:rFonts w:hint="eastAsia" w:ascii="宋体" w:hAnsi="宋体" w:cs="仿宋_GB2312"/>
                <w:color w:val="auto"/>
                <w:spacing w:val="-2"/>
                <w:szCs w:val="21"/>
                <w:highlight w:val="none"/>
              </w:rPr>
            </w:pPr>
            <w:r>
              <w:rPr>
                <w:rFonts w:hint="eastAsia" w:ascii="宋体" w:hAnsi="宋体" w:cs="仿宋_GB2312"/>
                <w:color w:val="auto"/>
                <w:spacing w:val="-2"/>
                <w:szCs w:val="21"/>
                <w:highlight w:val="none"/>
                <w:lang w:eastAsia="zh-CN"/>
              </w:rPr>
              <w:t>（</w:t>
            </w:r>
            <w:r>
              <w:rPr>
                <w:rFonts w:hint="eastAsia" w:ascii="宋体" w:hAnsi="宋体" w:cs="仿宋_GB2312"/>
                <w:color w:val="auto"/>
                <w:spacing w:val="-2"/>
                <w:szCs w:val="21"/>
                <w:highlight w:val="none"/>
                <w:lang w:val="en-US" w:eastAsia="zh-CN"/>
              </w:rPr>
              <w:t>1）</w:t>
            </w:r>
            <w:r>
              <w:rPr>
                <w:rFonts w:hint="eastAsia" w:ascii="宋体" w:hAnsi="宋体" w:cs="仿宋_GB2312"/>
                <w:color w:val="auto"/>
                <w:spacing w:val="-2"/>
                <w:szCs w:val="21"/>
                <w:highlight w:val="none"/>
              </w:rPr>
              <w:t>以投标文件载明的施工工期计划、施工工艺、劳动力配置、工期赶工预案作为评审依据；</w:t>
            </w:r>
          </w:p>
          <w:p w14:paraId="76942A18">
            <w:pPr>
              <w:adjustRightInd w:val="0"/>
              <w:snapToGrid w:val="0"/>
              <w:jc w:val="left"/>
              <w:rPr>
                <w:rFonts w:hint="eastAsia" w:ascii="宋体" w:hAnsi="宋体" w:eastAsia="宋体" w:cs="宋体"/>
                <w:b/>
                <w:bCs/>
                <w:color w:val="auto"/>
                <w:kern w:val="0"/>
                <w:szCs w:val="21"/>
                <w:highlight w:val="none"/>
                <w:lang w:bidi="ar"/>
              </w:rPr>
            </w:pPr>
            <w:r>
              <w:rPr>
                <w:rFonts w:hint="eastAsia" w:ascii="宋体" w:hAnsi="宋体" w:cs="仿宋_GB2312"/>
                <w:color w:val="auto"/>
                <w:spacing w:val="-2"/>
                <w:szCs w:val="21"/>
                <w:highlight w:val="none"/>
                <w:lang w:eastAsia="zh-CN"/>
              </w:rPr>
              <w:t>（</w:t>
            </w:r>
            <w:r>
              <w:rPr>
                <w:rFonts w:hint="eastAsia" w:ascii="宋体" w:hAnsi="宋体" w:cs="仿宋_GB2312"/>
                <w:color w:val="auto"/>
                <w:spacing w:val="-2"/>
                <w:szCs w:val="21"/>
                <w:highlight w:val="none"/>
                <w:lang w:val="en-US" w:eastAsia="zh-CN"/>
              </w:rPr>
              <w:t>2）</w:t>
            </w:r>
            <w:r>
              <w:rPr>
                <w:rFonts w:hint="eastAsia" w:ascii="宋体" w:hAnsi="宋体" w:cs="仿宋_GB2312"/>
                <w:color w:val="auto"/>
                <w:spacing w:val="-2"/>
                <w:szCs w:val="21"/>
                <w:highlight w:val="none"/>
              </w:rPr>
              <w:t>投标人须在保障工程安全与施工质量可控的前提下统筹工期安排，同步配套完备的材料供应、机械设备调度及人力组织方案，投标文件载明的计划施工起止日期优于招标文件既定原计划工期，采用适配本项目成熟高效、工序衔接紧凑的施工工艺，分阶段劳动力配置量化清晰、自有作业班组储备充足、人力增补与工期赶工预案完善的投标人，优于工期计划不优于原计划、施工工艺老旧粗放、劳动力排布简略、无工期保障应急措施的投标人。</w:t>
            </w:r>
          </w:p>
        </w:tc>
      </w:tr>
      <w:tr w14:paraId="183A7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54" w:type="dxa"/>
            <w:tcBorders>
              <w:top w:val="single" w:color="auto" w:sz="4" w:space="0"/>
              <w:left w:val="single" w:color="auto" w:sz="4" w:space="0"/>
              <w:bottom w:val="single" w:color="auto" w:sz="4" w:space="0"/>
              <w:right w:val="single" w:color="auto" w:sz="4" w:space="0"/>
            </w:tcBorders>
            <w:noWrap w:val="0"/>
            <w:vAlign w:val="center"/>
          </w:tcPr>
          <w:p w14:paraId="099D8DA5">
            <w:pPr>
              <w:keepNext w:val="0"/>
              <w:keepLines w:val="0"/>
              <w:suppressLineNumbers w:val="0"/>
              <w:adjustRightInd w:val="0"/>
              <w:snapToGrid w:val="0"/>
              <w:spacing w:before="0" w:beforeAutospacing="0" w:after="0" w:afterAutospacing="0" w:line="360" w:lineRule="auto"/>
              <w:ind w:left="0" w:leftChars="0" w:right="0" w:rightChars="0"/>
              <w:jc w:val="center"/>
              <w:rPr>
                <w:rFonts w:hint="eastAsia" w:ascii="宋体" w:hAnsi="宋体" w:eastAsia="宋体" w:cs="宋体"/>
                <w:b w:val="0"/>
                <w:bCs w:val="0"/>
                <w:color w:val="auto"/>
                <w:kern w:val="0"/>
                <w:szCs w:val="21"/>
                <w:highlight w:val="none"/>
                <w:lang w:eastAsia="zh-CN" w:bidi="ar"/>
              </w:rPr>
            </w:pPr>
            <w:r>
              <w:rPr>
                <w:rFonts w:hint="eastAsia" w:ascii="宋体" w:hAnsi="宋体" w:cs="宋体"/>
                <w:b w:val="0"/>
                <w:bCs w:val="0"/>
                <w:color w:val="auto"/>
                <w:kern w:val="0"/>
                <w:szCs w:val="21"/>
                <w:highlight w:val="none"/>
                <w:lang w:val="en-US" w:eastAsia="zh-CN" w:bidi="ar"/>
              </w:rPr>
              <w:t>6</w:t>
            </w:r>
          </w:p>
        </w:tc>
        <w:tc>
          <w:tcPr>
            <w:tcW w:w="2531" w:type="dxa"/>
            <w:tcBorders>
              <w:top w:val="single" w:color="auto" w:sz="4" w:space="0"/>
              <w:left w:val="single" w:color="auto" w:sz="4" w:space="0"/>
              <w:bottom w:val="single" w:color="auto" w:sz="4" w:space="0"/>
              <w:right w:val="single" w:color="auto" w:sz="4" w:space="0"/>
            </w:tcBorders>
            <w:noWrap w:val="0"/>
            <w:vAlign w:val="center"/>
          </w:tcPr>
          <w:p w14:paraId="649E9CD7">
            <w:pPr>
              <w:ind w:firstLine="210" w:firstLineChars="100"/>
              <w:rPr>
                <w:rFonts w:hint="eastAsia" w:ascii="宋体" w:hAnsi="宋体" w:eastAsia="宋体" w:cs="宋体"/>
                <w:b/>
                <w:bCs/>
                <w:color w:val="auto"/>
                <w:kern w:val="0"/>
                <w:szCs w:val="21"/>
                <w:highlight w:val="none"/>
                <w:lang w:bidi="ar"/>
              </w:rPr>
            </w:pPr>
            <w:r>
              <w:rPr>
                <w:rFonts w:hint="eastAsia" w:ascii="宋体" w:hAnsi="宋体" w:cs="Times New Roman"/>
                <w:color w:val="auto"/>
                <w:szCs w:val="21"/>
                <w:highlight w:val="none"/>
                <w:lang w:val="en-US" w:eastAsia="zh-CN"/>
              </w:rPr>
              <w:t>项目业主履约评价</w:t>
            </w:r>
          </w:p>
        </w:tc>
        <w:tc>
          <w:tcPr>
            <w:tcW w:w="5999" w:type="dxa"/>
            <w:tcBorders>
              <w:top w:val="single" w:color="auto" w:sz="4" w:space="0"/>
              <w:left w:val="single" w:color="auto" w:sz="4" w:space="0"/>
              <w:bottom w:val="single" w:color="auto" w:sz="4" w:space="0"/>
              <w:right w:val="single" w:color="auto" w:sz="4" w:space="0"/>
            </w:tcBorders>
            <w:noWrap w:val="0"/>
            <w:vAlign w:val="center"/>
          </w:tcPr>
          <w:p w14:paraId="61284369">
            <w:pPr>
              <w:rPr>
                <w:rFonts w:hint="eastAsia" w:ascii="宋体" w:hAnsi="宋体" w:eastAsia="宋体" w:cs="宋体"/>
                <w:b/>
                <w:bCs/>
                <w:color w:val="auto"/>
                <w:kern w:val="0"/>
                <w:szCs w:val="21"/>
                <w:highlight w:val="none"/>
                <w:lang w:bidi="ar"/>
              </w:rPr>
            </w:pPr>
            <w:r>
              <w:rPr>
                <w:rFonts w:hint="eastAsia" w:ascii="宋体" w:hAnsi="宋体" w:cs="Times New Roman"/>
                <w:color w:val="auto"/>
                <w:szCs w:val="21"/>
                <w:highlight w:val="none"/>
                <w:lang w:val="en-US" w:eastAsia="zh-CN"/>
              </w:rPr>
              <w:t>以投标人近三年(投标人提供2023年10月1日至投标截止之日)中标同类所有项目的业主履约评价作为评审依据：近三年中标同类项目业主同等履约评价条件下，综合得分高的投标人优于得分低的投标人（</w:t>
            </w:r>
            <w:r>
              <w:rPr>
                <w:rFonts w:hint="eastAsia" w:ascii="宋体" w:hAnsi="宋体" w:eastAsia="宋体" w:cs="宋体"/>
                <w:b w:val="0"/>
                <w:bCs w:val="0"/>
                <w:color w:val="000000"/>
                <w:highlight w:val="none"/>
              </w:rPr>
              <w:t>须按本表“备注”中“（</w:t>
            </w:r>
            <w:r>
              <w:rPr>
                <w:rFonts w:hint="eastAsia" w:ascii="宋体" w:hAnsi="宋体" w:eastAsia="宋体" w:cs="宋体"/>
                <w:b w:val="0"/>
                <w:bCs w:val="0"/>
                <w:color w:val="000000"/>
                <w:highlight w:val="none"/>
                <w:lang w:val="en-US" w:eastAsia="zh-CN"/>
              </w:rPr>
              <w:t>3</w:t>
            </w:r>
            <w:r>
              <w:rPr>
                <w:rFonts w:hint="eastAsia" w:ascii="宋体" w:hAnsi="宋体" w:eastAsia="宋体" w:cs="宋体"/>
                <w:b w:val="0"/>
                <w:bCs w:val="0"/>
                <w:color w:val="000000"/>
                <w:highlight w:val="none"/>
              </w:rPr>
              <w:t>）</w:t>
            </w:r>
            <w:r>
              <w:rPr>
                <w:rFonts w:hint="eastAsia"/>
                <w:color w:val="auto"/>
                <w:highlight w:val="none"/>
              </w:rPr>
              <w:t>项目业主履约评价表</w:t>
            </w:r>
            <w:r>
              <w:rPr>
                <w:rFonts w:hint="eastAsia" w:ascii="宋体" w:hAnsi="宋体" w:eastAsia="宋体" w:cs="宋体"/>
                <w:b w:val="0"/>
                <w:bCs w:val="0"/>
                <w:color w:val="000000"/>
                <w:highlight w:val="none"/>
              </w:rPr>
              <w:t>”提供</w:t>
            </w:r>
            <w:r>
              <w:rPr>
                <w:rFonts w:hint="eastAsia"/>
                <w:color w:val="auto"/>
                <w:highlight w:val="none"/>
              </w:rPr>
              <w:t>项目业主履约评价表</w:t>
            </w:r>
            <w:r>
              <w:rPr>
                <w:rFonts w:hint="eastAsia"/>
                <w:color w:val="auto"/>
                <w:highlight w:val="none"/>
                <w:lang w:eastAsia="zh-CN"/>
              </w:rPr>
              <w:t>。</w:t>
            </w:r>
            <w:r>
              <w:rPr>
                <w:rFonts w:hint="eastAsia" w:ascii="宋体" w:hAnsi="宋体" w:cs="Times New Roman"/>
                <w:color w:val="auto"/>
                <w:szCs w:val="21"/>
                <w:highlight w:val="none"/>
                <w:lang w:val="en-US" w:eastAsia="zh-CN"/>
              </w:rPr>
              <w:t>），存在履约评价不合格记录的投标人予以审慎考量。</w:t>
            </w:r>
          </w:p>
        </w:tc>
      </w:tr>
    </w:tbl>
    <w:p w14:paraId="7D25E740">
      <w:pPr>
        <w:adjustRightInd w:val="0"/>
        <w:snapToGrid w:val="0"/>
        <w:spacing w:line="360" w:lineRule="auto"/>
        <w:ind w:firstLine="420"/>
        <w:jc w:val="left"/>
        <w:rPr>
          <w:rFonts w:hint="eastAsia" w:ascii="宋体" w:hAnsi="宋体" w:cs="宋体"/>
        </w:rPr>
      </w:pPr>
      <w:r>
        <w:rPr>
          <w:rFonts w:hint="eastAsia"/>
          <w:color w:val="auto"/>
          <w:highlight w:val="none"/>
          <w:lang w:val="en-US" w:eastAsia="zh-CN"/>
        </w:rPr>
        <w:t xml:space="preserve">  </w:t>
      </w:r>
      <w:r>
        <w:rPr>
          <w:rFonts w:hint="eastAsia" w:ascii="宋体" w:hAnsi="宋体" w:cs="宋体"/>
        </w:rPr>
        <w:t>备注：</w:t>
      </w:r>
    </w:p>
    <w:p w14:paraId="45977F43">
      <w:pPr>
        <w:adjustRightInd w:val="0"/>
        <w:snapToGrid w:val="0"/>
        <w:spacing w:line="360" w:lineRule="auto"/>
        <w:ind w:firstLine="420"/>
        <w:jc w:val="left"/>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（1）资信要素不进行评审。</w:t>
      </w:r>
    </w:p>
    <w:p w14:paraId="708521EB">
      <w:pPr>
        <w:adjustRightInd w:val="0"/>
        <w:snapToGrid w:val="0"/>
        <w:spacing w:line="360" w:lineRule="auto"/>
        <w:ind w:firstLine="420"/>
        <w:jc w:val="left"/>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（2）同类工程（</w:t>
      </w:r>
      <w:r>
        <w:rPr>
          <w:rFonts w:hint="eastAsia" w:ascii="宋体" w:hAnsi="宋体" w:eastAsia="宋体" w:cs="宋体"/>
          <w:color w:val="auto"/>
          <w:highlight w:val="none"/>
          <w:u w:val="none"/>
        </w:rPr>
        <w:t>房屋建筑施工</w:t>
      </w:r>
      <w:r>
        <w:rPr>
          <w:rFonts w:hint="eastAsia" w:ascii="宋体" w:hAnsi="宋体" w:eastAsia="宋体" w:cs="宋体"/>
          <w:color w:val="auto"/>
          <w:kern w:val="0"/>
          <w:szCs w:val="21"/>
          <w:highlight w:val="none"/>
          <w:lang w:val="en-US" w:eastAsia="zh-CN"/>
        </w:rPr>
        <w:t>）业绩的证明材料具体要求：</w:t>
      </w:r>
    </w:p>
    <w:p w14:paraId="7DA365DA">
      <w:pPr>
        <w:spacing w:line="360" w:lineRule="auto"/>
        <w:ind w:firstLine="420" w:firstLineChars="200"/>
        <w:rPr>
          <w:rFonts w:hint="eastAsia"/>
          <w:color w:val="auto"/>
          <w:highlight w:val="none"/>
          <w:lang w:val="en-US" w:eastAsia="zh-CN"/>
        </w:rPr>
      </w:pPr>
      <w:r>
        <w:rPr>
          <w:rFonts w:hint="eastAsia" w:ascii="微软雅黑" w:hAnsi="微软雅黑" w:eastAsia="微软雅黑" w:cs="微软雅黑"/>
          <w:color w:val="auto"/>
          <w:highlight w:val="none"/>
          <w:lang w:val="en-US" w:eastAsia="zh-CN"/>
        </w:rPr>
        <w:t>①</w:t>
      </w:r>
      <w:r>
        <w:rPr>
          <w:rFonts w:hint="eastAsia"/>
          <w:color w:val="auto"/>
          <w:highlight w:val="none"/>
          <w:lang w:val="en-US" w:eastAsia="zh-CN"/>
        </w:rPr>
        <w:t>投标人须在本表后附上能反映业绩符合招标文件要求的有效的中标通知书（或施工许可证）、施工合同和竣工验收合格证明材料复印件，否则业绩不予认可。中标通知书须经行政监督部门或当地交易中心备案（加盖行政监督部门或当地交易中心公章或者备案章）。若中标通知书上无行政监督部门或当地交易中心盖章，可以提供：1.行政监督部门或当地交易中心备案的证明文件（加盖单位公章）；或2.中标通知书及当地交易中心官网的查询结果截图、查询网址（加盖单位公章）；或3.有二维码的中标通知书及当地交易中心官网的查询结果截图（加盖单位公章）。</w:t>
      </w:r>
    </w:p>
    <w:p w14:paraId="0C828E6C">
      <w:pPr>
        <w:spacing w:line="360" w:lineRule="auto"/>
        <w:ind w:firstLine="420" w:firstLineChars="200"/>
        <w:rPr>
          <w:rFonts w:hint="eastAsia"/>
          <w:color w:val="auto"/>
          <w:highlight w:val="none"/>
          <w:lang w:val="en-US" w:eastAsia="zh-CN"/>
        </w:rPr>
      </w:pPr>
      <w:r>
        <w:rPr>
          <w:rFonts w:hint="eastAsia" w:ascii="微软雅黑" w:hAnsi="微软雅黑" w:eastAsia="微软雅黑" w:cs="微软雅黑"/>
          <w:color w:val="auto"/>
          <w:highlight w:val="none"/>
          <w:lang w:val="en-US" w:eastAsia="zh-CN"/>
        </w:rPr>
        <w:t>②</w:t>
      </w:r>
      <w:r>
        <w:rPr>
          <w:rFonts w:hint="eastAsia"/>
          <w:color w:val="auto"/>
          <w:highlight w:val="none"/>
          <w:lang w:val="en-US" w:eastAsia="zh-CN"/>
        </w:rPr>
        <w:t>施工合同可只复印盖章页及含有项目名称、签约主体、合同价款、规模等技术指标的关键页，施工合同复印件须能反映合同签约双方已盖章签字。其他资料需提供完整内容的复印件。</w:t>
      </w:r>
    </w:p>
    <w:p w14:paraId="70080B10">
      <w:pPr>
        <w:spacing w:line="360" w:lineRule="auto"/>
        <w:ind w:firstLine="420" w:firstLineChars="200"/>
        <w:rPr>
          <w:rFonts w:hint="eastAsia"/>
          <w:color w:val="auto"/>
          <w:highlight w:val="none"/>
          <w:lang w:val="en-US" w:eastAsia="zh-CN"/>
        </w:rPr>
      </w:pPr>
      <w:r>
        <w:rPr>
          <w:rFonts w:hint="eastAsia" w:ascii="微软雅黑" w:hAnsi="微软雅黑" w:eastAsia="微软雅黑" w:cs="微软雅黑"/>
          <w:color w:val="auto"/>
          <w:highlight w:val="none"/>
          <w:lang w:val="en-US" w:eastAsia="zh-CN"/>
        </w:rPr>
        <w:t>③</w:t>
      </w:r>
      <w:r>
        <w:rPr>
          <w:rFonts w:hint="eastAsia"/>
          <w:color w:val="auto"/>
          <w:highlight w:val="none"/>
          <w:lang w:val="en-US" w:eastAsia="zh-CN"/>
        </w:rPr>
        <w:t>相关竣工验收合格证明材料复印件须能反映工程已竣工验收，并已注明签发日期，竣工验收合格证明材料的签发日期在业绩要求规定的时间范围内的方为有效业绩。</w:t>
      </w:r>
    </w:p>
    <w:p w14:paraId="23B54110">
      <w:pPr>
        <w:spacing w:line="360" w:lineRule="auto"/>
        <w:ind w:firstLine="420" w:firstLineChars="200"/>
        <w:rPr>
          <w:rFonts w:hint="eastAsia"/>
          <w:color w:val="auto"/>
          <w:highlight w:val="none"/>
          <w:lang w:val="en-US" w:eastAsia="zh-CN"/>
        </w:rPr>
      </w:pPr>
      <w:r>
        <w:rPr>
          <w:rFonts w:hint="eastAsia" w:ascii="微软雅黑" w:hAnsi="微软雅黑" w:eastAsia="微软雅黑" w:cs="微软雅黑"/>
          <w:color w:val="auto"/>
          <w:highlight w:val="none"/>
          <w:lang w:val="en-US" w:eastAsia="zh-CN"/>
        </w:rPr>
        <w:t>④</w:t>
      </w:r>
      <w:r>
        <w:rPr>
          <w:rFonts w:hint="eastAsia"/>
          <w:color w:val="auto"/>
          <w:highlight w:val="none"/>
          <w:lang w:val="en-US" w:eastAsia="zh-CN"/>
        </w:rPr>
        <w:t>竣工验收合格证明材料包括：由行政部门盖章签发的竣工验收合格证明材料或有建设单位（代建单位）、监理单位、设计单位、施工单位公章的竣工验收合格证明材料。</w:t>
      </w:r>
    </w:p>
    <w:p w14:paraId="38CCF550">
      <w:pPr>
        <w:spacing w:line="360" w:lineRule="auto"/>
        <w:ind w:firstLine="420" w:firstLineChars="200"/>
        <w:rPr>
          <w:rFonts w:hint="eastAsia"/>
          <w:color w:val="auto"/>
          <w:highlight w:val="none"/>
          <w:lang w:val="en-US" w:eastAsia="zh-CN"/>
        </w:rPr>
      </w:pPr>
      <w:r>
        <w:rPr>
          <w:rFonts w:hint="eastAsia" w:ascii="微软雅黑" w:hAnsi="微软雅黑" w:eastAsia="微软雅黑" w:cs="微软雅黑"/>
          <w:color w:val="auto"/>
          <w:highlight w:val="none"/>
          <w:lang w:val="en-US" w:eastAsia="zh-CN"/>
        </w:rPr>
        <w:t>⑤</w:t>
      </w:r>
      <w:r>
        <w:rPr>
          <w:rFonts w:hint="eastAsia"/>
          <w:color w:val="auto"/>
          <w:highlight w:val="none"/>
          <w:lang w:val="en-US" w:eastAsia="zh-CN"/>
        </w:rPr>
        <w:t>合同金额以施工合同中的数据为准。施工承包合同未载明合同总价的，以工程结算资料复印件（工程结算资料须能反映结算双方已盖章确认的结算金额，提交的工程结算资料复印件须加盖投标人公章）为准。单项合同金额是指一个承包合同所载合同价，同一工程项目分期发包，签订多个施工合同的，不以累加的合同额作为代表工程业绩。</w:t>
      </w:r>
    </w:p>
    <w:p w14:paraId="5E237132">
      <w:pPr>
        <w:spacing w:line="360" w:lineRule="auto"/>
        <w:ind w:firstLine="420" w:firstLineChars="200"/>
        <w:rPr>
          <w:rFonts w:hint="eastAsia"/>
          <w:color w:val="auto"/>
          <w:highlight w:val="none"/>
          <w:lang w:val="en-US" w:eastAsia="zh-CN"/>
        </w:rPr>
      </w:pPr>
      <w:r>
        <w:rPr>
          <w:rFonts w:hint="eastAsia" w:ascii="微软雅黑" w:hAnsi="微软雅黑" w:eastAsia="微软雅黑" w:cs="微软雅黑"/>
          <w:color w:val="auto"/>
          <w:highlight w:val="none"/>
          <w:lang w:val="en-US" w:eastAsia="zh-CN"/>
        </w:rPr>
        <w:t>⑥</w:t>
      </w:r>
      <w:r>
        <w:rPr>
          <w:rFonts w:hint="eastAsia"/>
          <w:color w:val="auto"/>
          <w:highlight w:val="none"/>
          <w:lang w:val="en-US" w:eastAsia="zh-CN"/>
        </w:rPr>
        <w:t>若业绩是有多个施工单位联合承担的，面积或金额按施工单位家数均分；合同中有约定的，按合同约定为准。</w:t>
      </w:r>
    </w:p>
    <w:p w14:paraId="42AE68F7">
      <w:pPr>
        <w:adjustRightInd w:val="0"/>
        <w:snapToGrid w:val="0"/>
        <w:spacing w:line="360" w:lineRule="auto"/>
        <w:ind w:firstLine="420" w:firstLineChars="200"/>
        <w:jc w:val="left"/>
        <w:rPr>
          <w:rFonts w:hint="eastAsia" w:ascii="宋体" w:hAnsi="宋体" w:eastAsia="宋体" w:cs="宋体"/>
          <w:color w:val="auto"/>
          <w:kern w:val="0"/>
          <w:szCs w:val="21"/>
          <w:highlight w:val="none"/>
          <w:lang w:val="en-US" w:eastAsia="zh-CN"/>
        </w:rPr>
      </w:pPr>
      <w:r>
        <w:rPr>
          <w:rFonts w:hint="eastAsia" w:ascii="微软雅黑" w:hAnsi="微软雅黑" w:eastAsia="微软雅黑" w:cs="微软雅黑"/>
          <w:color w:val="auto"/>
          <w:highlight w:val="none"/>
          <w:lang w:val="en-US" w:eastAsia="zh-CN"/>
        </w:rPr>
        <w:t>⑦</w:t>
      </w:r>
      <w:r>
        <w:rPr>
          <w:rFonts w:hint="eastAsia"/>
          <w:color w:val="auto"/>
          <w:highlight w:val="none"/>
          <w:lang w:val="en-US" w:eastAsia="zh-CN"/>
        </w:rPr>
        <w:t>投标人法人机构发生合法变更或重组或法人名称变更时，应提供相关部门的合法批件或其他相关证明材料来证明其所附业绩的继承性；未提供相关证明材料或所提供的证明材料无法证实其所附业绩的继承性的，其业绩不予认定</w:t>
      </w:r>
    </w:p>
    <w:p w14:paraId="1FFDC53E">
      <w:pPr>
        <w:adjustRightInd w:val="0"/>
        <w:snapToGrid w:val="0"/>
        <w:spacing w:line="360" w:lineRule="auto"/>
        <w:ind w:firstLine="420"/>
        <w:jc w:val="left"/>
        <w:rPr>
          <w:rFonts w:hint="eastAsia" w:ascii="宋体" w:hAnsi="宋体" w:eastAsia="宋体" w:cs="宋体"/>
          <w:color w:val="auto"/>
          <w:kern w:val="0"/>
          <w:szCs w:val="21"/>
          <w:highlight w:val="none"/>
          <w:lang w:val="en-US" w:eastAsia="zh-CN"/>
        </w:rPr>
      </w:pPr>
      <w:r>
        <w:rPr>
          <w:rFonts w:hint="eastAsia" w:ascii="微软雅黑" w:hAnsi="微软雅黑" w:eastAsia="微软雅黑" w:cs="微软雅黑"/>
          <w:color w:val="auto"/>
          <w:highlight w:val="none"/>
          <w:lang w:val="en-US" w:eastAsia="zh-CN"/>
        </w:rPr>
        <w:t>⑧</w:t>
      </w:r>
      <w:r>
        <w:rPr>
          <w:rFonts w:hint="eastAsia"/>
          <w:color w:val="auto"/>
          <w:highlight w:val="none"/>
          <w:lang w:val="en-US" w:eastAsia="zh-CN"/>
        </w:rPr>
        <w:t>投标人提供不超过3个</w:t>
      </w:r>
      <w:r>
        <w:rPr>
          <w:rFonts w:hint="eastAsia" w:ascii="宋体" w:hAnsi="宋体" w:eastAsia="宋体" w:cs="宋体"/>
          <w:b/>
          <w:bCs/>
          <w:color w:val="auto"/>
          <w:highlight w:val="none"/>
          <w:u w:val="none"/>
        </w:rPr>
        <w:t>房屋建筑施工业绩</w:t>
      </w:r>
      <w:r>
        <w:rPr>
          <w:rFonts w:hint="eastAsia"/>
          <w:color w:val="auto"/>
          <w:highlight w:val="none"/>
          <w:lang w:val="en-US" w:eastAsia="zh-CN"/>
        </w:rPr>
        <w:t>（如提供超过3个业绩的，则按上表所列顺序前3个业绩为准）</w:t>
      </w:r>
    </w:p>
    <w:p w14:paraId="2361785B">
      <w:pPr>
        <w:adjustRightInd w:val="0"/>
        <w:snapToGrid w:val="0"/>
        <w:spacing w:line="360" w:lineRule="auto"/>
        <w:ind w:firstLine="420"/>
        <w:jc w:val="left"/>
        <w:rPr>
          <w:rFonts w:hint="eastAsia"/>
          <w:color w:val="auto"/>
        </w:rPr>
      </w:pPr>
      <w:r>
        <w:rPr>
          <w:rFonts w:hint="eastAsia" w:ascii="宋体" w:hAnsi="宋体" w:eastAsia="宋体" w:cs="宋体"/>
          <w:b w:val="0"/>
          <w:bCs w:val="0"/>
          <w:color w:val="000000"/>
        </w:rPr>
        <w:t>（</w:t>
      </w:r>
      <w:r>
        <w:rPr>
          <w:rFonts w:hint="eastAsia" w:ascii="宋体" w:hAnsi="宋体" w:eastAsia="宋体" w:cs="宋体"/>
          <w:b w:val="0"/>
          <w:bCs w:val="0"/>
          <w:color w:val="000000"/>
          <w:lang w:val="en-US" w:eastAsia="zh-CN"/>
        </w:rPr>
        <w:t>3</w:t>
      </w:r>
      <w:r>
        <w:rPr>
          <w:rFonts w:hint="eastAsia" w:ascii="宋体" w:hAnsi="宋体" w:eastAsia="宋体" w:cs="宋体"/>
          <w:b w:val="0"/>
          <w:bCs w:val="0"/>
          <w:color w:val="000000"/>
        </w:rPr>
        <w:t>）</w:t>
      </w:r>
      <w:r>
        <w:rPr>
          <w:rFonts w:hint="eastAsia"/>
          <w:color w:val="auto"/>
        </w:rPr>
        <w:t>项目业主履约评价表</w:t>
      </w:r>
    </w:p>
    <w:p w14:paraId="17A06917">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bCs/>
          <w:color w:val="000000"/>
          <w:sz w:val="21"/>
          <w:szCs w:val="21"/>
          <w:lang w:val="en-US" w:eastAsia="zh-CN"/>
        </w:rPr>
      </w:pPr>
      <w:r>
        <w:rPr>
          <w:rFonts w:hint="eastAsia" w:ascii="宋体" w:hAnsi="宋体" w:eastAsia="宋体" w:cs="宋体"/>
          <w:b/>
          <w:bCs/>
          <w:color w:val="000000"/>
          <w:sz w:val="21"/>
          <w:szCs w:val="21"/>
          <w:lang w:val="en-US" w:eastAsia="zh-CN"/>
        </w:rPr>
        <w:t>项目业主履约评价表</w:t>
      </w:r>
    </w:p>
    <w:tbl>
      <w:tblPr>
        <w:tblStyle w:val="26"/>
        <w:tblW w:w="99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134"/>
        <w:gridCol w:w="3621"/>
        <w:gridCol w:w="2391"/>
        <w:gridCol w:w="1029"/>
        <w:gridCol w:w="1079"/>
      </w:tblGrid>
      <w:tr w14:paraId="6842E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58" w:type="dxa"/>
            <w:gridSpan w:val="2"/>
            <w:noWrap/>
            <w:vAlign w:val="center"/>
          </w:tcPr>
          <w:p w14:paraId="727D42CD">
            <w:pPr>
              <w:keepNext w:val="0"/>
              <w:keepLines w:val="0"/>
              <w:pageBreakBefore w:val="0"/>
              <w:widowControl/>
              <w:kinsoku/>
              <w:wordWrap/>
              <w:overflowPunct/>
              <w:topLinePunct w:val="0"/>
              <w:autoSpaceDE/>
              <w:autoSpaceDN/>
              <w:bidi w:val="0"/>
              <w:adjustRightInd/>
              <w:snapToGrid/>
              <w:spacing w:line="240" w:lineRule="auto"/>
              <w:ind w:right="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单位</w:t>
            </w:r>
            <w:r>
              <w:rPr>
                <w:rFonts w:hint="eastAsia" w:ascii="宋体" w:hAnsi="宋体" w:eastAsia="宋体" w:cs="宋体"/>
                <w:color w:val="000000"/>
                <w:kern w:val="0"/>
                <w:sz w:val="21"/>
                <w:szCs w:val="21"/>
              </w:rPr>
              <w:t>名称</w:t>
            </w:r>
          </w:p>
        </w:tc>
        <w:tc>
          <w:tcPr>
            <w:tcW w:w="3621" w:type="dxa"/>
            <w:noWrap/>
            <w:vAlign w:val="center"/>
          </w:tcPr>
          <w:p w14:paraId="27D07890">
            <w:pPr>
              <w:keepNext w:val="0"/>
              <w:keepLines w:val="0"/>
              <w:pageBreakBefore w:val="0"/>
              <w:kinsoku/>
              <w:wordWrap/>
              <w:overflowPunct/>
              <w:topLinePunct w:val="0"/>
              <w:autoSpaceDE/>
              <w:autoSpaceDN/>
              <w:bidi w:val="0"/>
              <w:adjustRightInd/>
              <w:snapToGrid/>
              <w:spacing w:line="240" w:lineRule="auto"/>
              <w:ind w:right="0"/>
              <w:jc w:val="center"/>
              <w:textAlignment w:val="auto"/>
              <w:rPr>
                <w:rFonts w:hint="eastAsia" w:ascii="宋体" w:hAnsi="宋体" w:eastAsia="宋体" w:cs="宋体"/>
                <w:color w:val="000000"/>
                <w:kern w:val="0"/>
                <w:sz w:val="21"/>
                <w:szCs w:val="21"/>
              </w:rPr>
            </w:pPr>
          </w:p>
        </w:tc>
        <w:tc>
          <w:tcPr>
            <w:tcW w:w="2391" w:type="dxa"/>
            <w:noWrap w:val="0"/>
            <w:vAlign w:val="center"/>
          </w:tcPr>
          <w:p w14:paraId="40F63F95">
            <w:pPr>
              <w:keepNext w:val="0"/>
              <w:keepLines w:val="0"/>
              <w:pageBreakBefore w:val="0"/>
              <w:kinsoku/>
              <w:wordWrap/>
              <w:overflowPunct/>
              <w:topLinePunct w:val="0"/>
              <w:autoSpaceDE/>
              <w:autoSpaceDN/>
              <w:bidi w:val="0"/>
              <w:adjustRightInd/>
              <w:snapToGrid/>
              <w:spacing w:line="240" w:lineRule="auto"/>
              <w:ind w:right="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项目</w:t>
            </w:r>
            <w:r>
              <w:rPr>
                <w:rFonts w:hint="eastAsia" w:ascii="宋体" w:hAnsi="宋体" w:eastAsia="宋体" w:cs="宋体"/>
                <w:color w:val="000000"/>
                <w:kern w:val="0"/>
                <w:sz w:val="21"/>
                <w:szCs w:val="21"/>
              </w:rPr>
              <w:t>名称</w:t>
            </w:r>
          </w:p>
        </w:tc>
        <w:tc>
          <w:tcPr>
            <w:tcW w:w="2108" w:type="dxa"/>
            <w:gridSpan w:val="2"/>
            <w:noWrap/>
            <w:vAlign w:val="center"/>
          </w:tcPr>
          <w:p w14:paraId="7FF29303">
            <w:pPr>
              <w:keepNext w:val="0"/>
              <w:keepLines w:val="0"/>
              <w:pageBreakBefore w:val="0"/>
              <w:widowControl/>
              <w:kinsoku/>
              <w:wordWrap/>
              <w:overflowPunct/>
              <w:topLinePunct w:val="0"/>
              <w:autoSpaceDE/>
              <w:autoSpaceDN/>
              <w:bidi w:val="0"/>
              <w:adjustRightInd/>
              <w:snapToGrid/>
              <w:spacing w:line="240" w:lineRule="auto"/>
              <w:ind w:right="0"/>
              <w:jc w:val="center"/>
              <w:textAlignment w:val="auto"/>
              <w:rPr>
                <w:rFonts w:hint="eastAsia" w:ascii="宋体" w:hAnsi="宋体" w:eastAsia="宋体" w:cs="宋体"/>
                <w:color w:val="000000"/>
                <w:kern w:val="0"/>
                <w:sz w:val="21"/>
                <w:szCs w:val="21"/>
              </w:rPr>
            </w:pPr>
          </w:p>
        </w:tc>
      </w:tr>
      <w:tr w14:paraId="39226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58" w:type="dxa"/>
            <w:gridSpan w:val="2"/>
            <w:noWrap/>
            <w:vAlign w:val="center"/>
          </w:tcPr>
          <w:p w14:paraId="39C99B97">
            <w:pPr>
              <w:keepNext w:val="0"/>
              <w:keepLines w:val="0"/>
              <w:pageBreakBefore w:val="0"/>
              <w:kinsoku/>
              <w:wordWrap/>
              <w:overflowPunct/>
              <w:topLinePunct w:val="0"/>
              <w:autoSpaceDE/>
              <w:autoSpaceDN/>
              <w:bidi w:val="0"/>
              <w:adjustRightInd/>
              <w:snapToGrid/>
              <w:spacing w:line="240" w:lineRule="auto"/>
              <w:ind w:right="0" w:firstLine="420" w:firstLineChars="200"/>
              <w:jc w:val="both"/>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项目</w:t>
            </w:r>
            <w:r>
              <w:rPr>
                <w:rFonts w:hint="eastAsia" w:ascii="宋体" w:hAnsi="宋体" w:eastAsia="宋体" w:cs="宋体"/>
                <w:color w:val="000000"/>
                <w:kern w:val="0"/>
                <w:sz w:val="21"/>
                <w:szCs w:val="21"/>
              </w:rPr>
              <w:t>类别</w:t>
            </w:r>
          </w:p>
        </w:tc>
        <w:tc>
          <w:tcPr>
            <w:tcW w:w="3621" w:type="dxa"/>
            <w:noWrap/>
            <w:vAlign w:val="center"/>
          </w:tcPr>
          <w:p w14:paraId="271BA260">
            <w:pPr>
              <w:keepNext w:val="0"/>
              <w:keepLines w:val="0"/>
              <w:pageBreakBefore w:val="0"/>
              <w:kinsoku/>
              <w:wordWrap/>
              <w:overflowPunct/>
              <w:topLinePunct w:val="0"/>
              <w:autoSpaceDE/>
              <w:autoSpaceDN/>
              <w:bidi w:val="0"/>
              <w:adjustRightInd/>
              <w:snapToGrid/>
              <w:spacing w:line="240" w:lineRule="auto"/>
              <w:ind w:right="0"/>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施工工程</w:t>
            </w:r>
            <w:r>
              <w:rPr>
                <w:rFonts w:hint="eastAsia" w:ascii="宋体" w:hAnsi="宋体" w:eastAsia="宋体" w:cs="宋体"/>
                <w:color w:val="000000"/>
                <w:kern w:val="0"/>
                <w:sz w:val="21"/>
                <w:szCs w:val="21"/>
              </w:rPr>
              <w:sym w:font="Wingdings 2" w:char="0052"/>
            </w:r>
            <w:r>
              <w:rPr>
                <w:rFonts w:hint="eastAsia" w:ascii="宋体" w:hAnsi="宋体" w:cs="宋体"/>
                <w:color w:val="000000"/>
                <w:kern w:val="0"/>
                <w:sz w:val="21"/>
                <w:szCs w:val="21"/>
                <w:lang w:val="en-US" w:eastAsia="zh-CN"/>
              </w:rPr>
              <w:t xml:space="preserve"> </w:t>
            </w:r>
            <w:r>
              <w:rPr>
                <w:rFonts w:hint="eastAsia" w:ascii="宋体" w:hAnsi="宋体" w:eastAsia="宋体" w:cs="宋体"/>
                <w:color w:val="000000"/>
                <w:kern w:val="0"/>
                <w:sz w:val="21"/>
                <w:szCs w:val="21"/>
                <w:lang w:val="en-US" w:eastAsia="zh-CN"/>
              </w:rPr>
              <w:t>监理</w:t>
            </w:r>
            <w:r>
              <w:rPr>
                <w:rFonts w:hint="eastAsia" w:ascii="宋体" w:hAnsi="宋体" w:eastAsia="宋体" w:cs="宋体"/>
                <w:color w:val="000000"/>
                <w:kern w:val="0"/>
                <w:sz w:val="21"/>
                <w:szCs w:val="21"/>
              </w:rPr>
              <w:sym w:font="Wingdings 2" w:char="F02A"/>
            </w:r>
            <w:r>
              <w:rPr>
                <w:rFonts w:hint="eastAsia" w:ascii="宋体" w:hAnsi="宋体" w:cs="宋体"/>
                <w:color w:val="000000"/>
                <w:kern w:val="0"/>
                <w:sz w:val="21"/>
                <w:szCs w:val="21"/>
                <w:lang w:val="en-US" w:eastAsia="zh-CN"/>
              </w:rPr>
              <w:t xml:space="preserve"> </w:t>
            </w:r>
            <w:r>
              <w:rPr>
                <w:rFonts w:hint="eastAsia" w:ascii="宋体" w:hAnsi="宋体" w:eastAsia="宋体" w:cs="宋体"/>
                <w:color w:val="000000"/>
                <w:kern w:val="0"/>
                <w:sz w:val="21"/>
                <w:szCs w:val="21"/>
                <w:lang w:val="en-US" w:eastAsia="zh-CN"/>
              </w:rPr>
              <w:t>设计</w:t>
            </w:r>
            <w:r>
              <w:rPr>
                <w:rFonts w:hint="eastAsia" w:ascii="宋体" w:hAnsi="宋体" w:eastAsia="宋体" w:cs="宋体"/>
                <w:color w:val="000000"/>
                <w:kern w:val="0"/>
                <w:sz w:val="21"/>
                <w:szCs w:val="21"/>
              </w:rPr>
              <w:sym w:font="Wingdings 2" w:char="F02A"/>
            </w:r>
            <w:r>
              <w:rPr>
                <w:rFonts w:hint="eastAsia" w:ascii="宋体" w:hAnsi="宋体" w:cs="宋体"/>
                <w:color w:val="000000"/>
                <w:kern w:val="0"/>
                <w:sz w:val="21"/>
                <w:szCs w:val="21"/>
                <w:lang w:val="en-US" w:eastAsia="zh-CN"/>
              </w:rPr>
              <w:t xml:space="preserve"> </w:t>
            </w:r>
            <w:r>
              <w:rPr>
                <w:rFonts w:hint="eastAsia" w:ascii="宋体" w:hAnsi="宋体" w:eastAsia="宋体" w:cs="宋体"/>
                <w:color w:val="000000"/>
                <w:kern w:val="0"/>
                <w:sz w:val="21"/>
                <w:szCs w:val="21"/>
                <w:lang w:val="en-US" w:eastAsia="zh-CN"/>
              </w:rPr>
              <w:t>勘察</w:t>
            </w:r>
            <w:r>
              <w:rPr>
                <w:rFonts w:hint="eastAsia" w:ascii="宋体" w:hAnsi="宋体" w:eastAsia="宋体" w:cs="宋体"/>
                <w:color w:val="000000"/>
                <w:kern w:val="0"/>
                <w:sz w:val="21"/>
                <w:szCs w:val="21"/>
              </w:rPr>
              <w:sym w:font="Wingdings 2" w:char="F02A"/>
            </w:r>
          </w:p>
        </w:tc>
        <w:tc>
          <w:tcPr>
            <w:tcW w:w="2391" w:type="dxa"/>
            <w:noWrap w:val="0"/>
            <w:vAlign w:val="center"/>
          </w:tcPr>
          <w:p w14:paraId="65F4ECC5">
            <w:pPr>
              <w:keepNext w:val="0"/>
              <w:keepLines w:val="0"/>
              <w:pageBreakBefore w:val="0"/>
              <w:kinsoku/>
              <w:wordWrap/>
              <w:overflowPunct/>
              <w:topLinePunct w:val="0"/>
              <w:autoSpaceDE/>
              <w:autoSpaceDN/>
              <w:bidi w:val="0"/>
              <w:adjustRightInd/>
              <w:snapToGrid/>
              <w:spacing w:line="240" w:lineRule="auto"/>
              <w:ind w:right="0" w:firstLine="840" w:firstLineChars="400"/>
              <w:jc w:val="both"/>
              <w:textAlignment w:val="auto"/>
              <w:rPr>
                <w:rFonts w:hint="eastAsia" w:ascii="宋体" w:hAnsi="宋体" w:eastAsia="宋体" w:cs="宋体"/>
                <w:color w:val="000000"/>
                <w:kern w:val="0"/>
                <w:sz w:val="21"/>
                <w:szCs w:val="21"/>
              </w:rPr>
            </w:pPr>
            <w:r>
              <w:rPr>
                <w:rFonts w:hint="eastAsia" w:ascii="宋体" w:hAnsi="宋体" w:eastAsia="宋体" w:cs="宋体"/>
                <w:color w:val="000000"/>
                <w:sz w:val="21"/>
                <w:szCs w:val="21"/>
              </w:rPr>
              <w:t>时间</w:t>
            </w:r>
          </w:p>
        </w:tc>
        <w:tc>
          <w:tcPr>
            <w:tcW w:w="2108" w:type="dxa"/>
            <w:gridSpan w:val="2"/>
            <w:noWrap/>
            <w:vAlign w:val="center"/>
          </w:tcPr>
          <w:p w14:paraId="3EAF6B65">
            <w:pPr>
              <w:keepNext w:val="0"/>
              <w:keepLines w:val="0"/>
              <w:pageBreakBefore w:val="0"/>
              <w:widowControl/>
              <w:kinsoku/>
              <w:wordWrap/>
              <w:overflowPunct/>
              <w:topLinePunct w:val="0"/>
              <w:autoSpaceDE/>
              <w:autoSpaceDN/>
              <w:bidi w:val="0"/>
              <w:adjustRightInd/>
              <w:snapToGrid/>
              <w:spacing w:line="240" w:lineRule="auto"/>
              <w:ind w:right="0"/>
              <w:jc w:val="center"/>
              <w:textAlignment w:val="auto"/>
              <w:rPr>
                <w:rFonts w:hint="eastAsia" w:ascii="宋体" w:hAnsi="宋体" w:eastAsia="宋体" w:cs="宋体"/>
                <w:color w:val="000000"/>
                <w:kern w:val="0"/>
                <w:sz w:val="21"/>
                <w:szCs w:val="21"/>
              </w:rPr>
            </w:pPr>
          </w:p>
        </w:tc>
      </w:tr>
      <w:tr w14:paraId="12D5F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58" w:type="dxa"/>
            <w:gridSpan w:val="2"/>
            <w:noWrap/>
            <w:vAlign w:val="center"/>
          </w:tcPr>
          <w:p w14:paraId="11A1870A">
            <w:pPr>
              <w:keepNext w:val="0"/>
              <w:keepLines w:val="0"/>
              <w:pageBreakBefore w:val="0"/>
              <w:kinsoku/>
              <w:wordWrap/>
              <w:overflowPunct/>
              <w:topLinePunct w:val="0"/>
              <w:autoSpaceDE/>
              <w:autoSpaceDN/>
              <w:bidi w:val="0"/>
              <w:adjustRightInd/>
              <w:snapToGrid/>
              <w:spacing w:line="240" w:lineRule="auto"/>
              <w:ind w:right="0" w:firstLine="210" w:firstLineChars="100"/>
              <w:jc w:val="both"/>
              <w:textAlignment w:val="auto"/>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项目中标金额</w:t>
            </w:r>
          </w:p>
        </w:tc>
        <w:tc>
          <w:tcPr>
            <w:tcW w:w="8120" w:type="dxa"/>
            <w:gridSpan w:val="4"/>
            <w:noWrap/>
            <w:vAlign w:val="center"/>
          </w:tcPr>
          <w:p w14:paraId="7EE4B573">
            <w:pPr>
              <w:keepNext w:val="0"/>
              <w:keepLines w:val="0"/>
              <w:pageBreakBefore w:val="0"/>
              <w:widowControl/>
              <w:kinsoku/>
              <w:wordWrap/>
              <w:overflowPunct/>
              <w:topLinePunct w:val="0"/>
              <w:autoSpaceDE/>
              <w:autoSpaceDN/>
              <w:bidi w:val="0"/>
              <w:adjustRightInd/>
              <w:snapToGrid/>
              <w:spacing w:line="240" w:lineRule="auto"/>
              <w:ind w:right="0"/>
              <w:jc w:val="center"/>
              <w:textAlignment w:val="auto"/>
              <w:rPr>
                <w:rFonts w:hint="eastAsia" w:ascii="宋体" w:hAnsi="宋体" w:eastAsia="宋体" w:cs="宋体"/>
                <w:color w:val="000000"/>
                <w:kern w:val="0"/>
                <w:sz w:val="21"/>
                <w:szCs w:val="21"/>
              </w:rPr>
            </w:pPr>
          </w:p>
        </w:tc>
      </w:tr>
      <w:tr w14:paraId="3AC3B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8" w:hRule="atLeast"/>
          <w:jc w:val="center"/>
        </w:trPr>
        <w:tc>
          <w:tcPr>
            <w:tcW w:w="1858" w:type="dxa"/>
            <w:gridSpan w:val="2"/>
            <w:noWrap/>
            <w:vAlign w:val="center"/>
          </w:tcPr>
          <w:p w14:paraId="7CABB5E1">
            <w:pPr>
              <w:keepNext w:val="0"/>
              <w:keepLines w:val="0"/>
              <w:pageBreakBefore w:val="0"/>
              <w:kinsoku/>
              <w:wordWrap/>
              <w:overflowPunct/>
              <w:topLinePunct w:val="0"/>
              <w:autoSpaceDE/>
              <w:autoSpaceDN/>
              <w:bidi w:val="0"/>
              <w:adjustRightInd/>
              <w:snapToGrid/>
              <w:spacing w:line="240" w:lineRule="auto"/>
              <w:ind w:right="0" w:firstLine="210" w:firstLineChars="100"/>
              <w:jc w:val="both"/>
              <w:textAlignment w:val="auto"/>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项目工程内容</w:t>
            </w:r>
          </w:p>
        </w:tc>
        <w:tc>
          <w:tcPr>
            <w:tcW w:w="8120" w:type="dxa"/>
            <w:gridSpan w:val="4"/>
            <w:noWrap/>
            <w:vAlign w:val="center"/>
          </w:tcPr>
          <w:p w14:paraId="059D3312">
            <w:pPr>
              <w:keepNext w:val="0"/>
              <w:keepLines w:val="0"/>
              <w:pageBreakBefore w:val="0"/>
              <w:widowControl/>
              <w:kinsoku/>
              <w:wordWrap/>
              <w:overflowPunct/>
              <w:topLinePunct w:val="0"/>
              <w:autoSpaceDE/>
              <w:autoSpaceDN/>
              <w:bidi w:val="0"/>
              <w:adjustRightInd/>
              <w:snapToGrid/>
              <w:spacing w:line="240" w:lineRule="auto"/>
              <w:ind w:right="0"/>
              <w:jc w:val="center"/>
              <w:textAlignment w:val="auto"/>
              <w:rPr>
                <w:rFonts w:hint="eastAsia" w:ascii="宋体" w:hAnsi="宋体" w:eastAsia="宋体" w:cs="宋体"/>
                <w:color w:val="000000"/>
                <w:kern w:val="0"/>
                <w:sz w:val="21"/>
                <w:szCs w:val="21"/>
              </w:rPr>
            </w:pPr>
          </w:p>
        </w:tc>
      </w:tr>
      <w:tr w14:paraId="2C16C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noWrap w:val="0"/>
            <w:vAlign w:val="center"/>
          </w:tcPr>
          <w:p w14:paraId="11B748CD">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序号</w:t>
            </w:r>
          </w:p>
        </w:tc>
        <w:tc>
          <w:tcPr>
            <w:tcW w:w="1134" w:type="dxa"/>
            <w:noWrap w:val="0"/>
            <w:vAlign w:val="center"/>
          </w:tcPr>
          <w:p w14:paraId="5D85AE12">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评价项目</w:t>
            </w:r>
          </w:p>
        </w:tc>
        <w:tc>
          <w:tcPr>
            <w:tcW w:w="6012" w:type="dxa"/>
            <w:gridSpan w:val="2"/>
            <w:noWrap w:val="0"/>
            <w:vAlign w:val="center"/>
          </w:tcPr>
          <w:p w14:paraId="455C6962">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评分标准</w:t>
            </w:r>
          </w:p>
        </w:tc>
        <w:tc>
          <w:tcPr>
            <w:tcW w:w="1029" w:type="dxa"/>
            <w:noWrap w:val="0"/>
            <w:vAlign w:val="center"/>
          </w:tcPr>
          <w:p w14:paraId="41ED4357">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得分</w:t>
            </w:r>
          </w:p>
        </w:tc>
        <w:tc>
          <w:tcPr>
            <w:tcW w:w="1079" w:type="dxa"/>
            <w:noWrap w:val="0"/>
            <w:vAlign w:val="center"/>
          </w:tcPr>
          <w:p w14:paraId="7D05E913">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得分说明</w:t>
            </w:r>
          </w:p>
        </w:tc>
      </w:tr>
      <w:tr w14:paraId="57F66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dxa"/>
            <w:noWrap w:val="0"/>
            <w:vAlign w:val="center"/>
          </w:tcPr>
          <w:p w14:paraId="18FB9FDD">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1134" w:type="dxa"/>
            <w:noWrap w:val="0"/>
            <w:vAlign w:val="center"/>
          </w:tcPr>
          <w:p w14:paraId="58ACE653">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合同履行情况</w:t>
            </w: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10</w:t>
            </w:r>
            <w:r>
              <w:rPr>
                <w:rFonts w:hint="eastAsia" w:ascii="宋体" w:hAnsi="宋体" w:eastAsia="宋体" w:cs="宋体"/>
                <w:color w:val="000000"/>
                <w:kern w:val="0"/>
                <w:sz w:val="21"/>
                <w:szCs w:val="21"/>
              </w:rPr>
              <w:t>分）</w:t>
            </w:r>
          </w:p>
        </w:tc>
        <w:tc>
          <w:tcPr>
            <w:tcW w:w="6012" w:type="dxa"/>
            <w:gridSpan w:val="2"/>
            <w:noWrap w:val="0"/>
            <w:vAlign w:val="top"/>
          </w:tcPr>
          <w:p w14:paraId="7F20BDD6">
            <w:pPr>
              <w:spacing w:line="360" w:lineRule="auto"/>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10分：严格按合同全部条款履约，人员、设备、服务周期完全匹配合同约定，无违约事项，资料报送及时完整；</w:t>
            </w:r>
          </w:p>
          <w:p w14:paraId="7F67F0DC">
            <w:pPr>
              <w:spacing w:line="360" w:lineRule="auto"/>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7-9分：基本履约，少量条款小幅滞后，主动整改，无实质性违约；</w:t>
            </w:r>
          </w:p>
          <w:p w14:paraId="5A577EFC">
            <w:pPr>
              <w:spacing w:line="360" w:lineRule="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4-6分：存在人员派驻、服务时限等违约问题，经催告后整改；0-3分：多次违反合同核心条款，拒不整改，存在重大违约行为。</w:t>
            </w:r>
          </w:p>
          <w:p w14:paraId="058877CE">
            <w:pPr>
              <w:spacing w:line="360" w:lineRule="auto"/>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（备注：监理核查驻场人员；设计核查出图周期；勘察核查现场踏勘、报告交付时限。）</w:t>
            </w:r>
          </w:p>
        </w:tc>
        <w:tc>
          <w:tcPr>
            <w:tcW w:w="1029" w:type="dxa"/>
            <w:noWrap w:val="0"/>
            <w:vAlign w:val="top"/>
          </w:tcPr>
          <w:p w14:paraId="14296CF7">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1079" w:type="dxa"/>
            <w:noWrap w:val="0"/>
            <w:vAlign w:val="top"/>
          </w:tcPr>
          <w:p w14:paraId="731BBC4B">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r>
      <w:tr w14:paraId="62CEA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724" w:type="dxa"/>
            <w:noWrap w:val="0"/>
            <w:vAlign w:val="center"/>
          </w:tcPr>
          <w:p w14:paraId="612AD42F">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w:t>
            </w:r>
          </w:p>
        </w:tc>
        <w:tc>
          <w:tcPr>
            <w:tcW w:w="1134" w:type="dxa"/>
            <w:noWrap w:val="0"/>
            <w:vAlign w:val="center"/>
          </w:tcPr>
          <w:p w14:paraId="1A261103">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工程进度控制</w:t>
            </w:r>
            <w:r>
              <w:rPr>
                <w:rFonts w:hint="eastAsia" w:ascii="宋体" w:hAnsi="宋体" w:eastAsia="宋体" w:cs="宋体"/>
                <w:color w:val="000000"/>
                <w:kern w:val="0"/>
                <w:sz w:val="21"/>
                <w:szCs w:val="21"/>
              </w:rPr>
              <w:t>（10分）</w:t>
            </w:r>
          </w:p>
        </w:tc>
        <w:tc>
          <w:tcPr>
            <w:tcW w:w="6012" w:type="dxa"/>
            <w:gridSpan w:val="2"/>
            <w:noWrap w:val="0"/>
            <w:vAlign w:val="top"/>
          </w:tcPr>
          <w:p w14:paraId="26E43AE1">
            <w:pPr>
              <w:widowControl/>
              <w:spacing w:line="360" w:lineRule="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10分：严格匹配项目总控计划，各阶段交付节点提前/按期完成，进度预判、滞后预警到位；</w:t>
            </w:r>
          </w:p>
          <w:p w14:paraId="2E544F47">
            <w:pPr>
              <w:widowControl/>
              <w:spacing w:line="360" w:lineRule="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7-9分：个别节点轻微延期，主动制定追赶方案，未影响整体工期；</w:t>
            </w:r>
          </w:p>
          <w:p w14:paraId="44F7B00A">
            <w:pPr>
              <w:widowControl/>
              <w:spacing w:line="360" w:lineRule="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4-6分：多阶段交付滞后，需业主多次督促才推进，造成局部工期延误；</w:t>
            </w:r>
          </w:p>
          <w:p w14:paraId="5057947E">
            <w:pPr>
              <w:widowControl/>
              <w:spacing w:line="360" w:lineRule="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0-3分：严重拖期，无整改措施，制约项目整体推进。</w:t>
            </w:r>
          </w:p>
          <w:p w14:paraId="36C7D965">
            <w:pPr>
              <w:widowControl/>
              <w:spacing w:line="360" w:lineRule="auto"/>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备注：监理管控施工全流程进度；设计按时交付方案、施工图；勘察按期完成外业、勘察成果报告。</w:t>
            </w:r>
            <w:r>
              <w:rPr>
                <w:rFonts w:hint="eastAsia" w:ascii="宋体" w:hAnsi="宋体" w:eastAsia="宋体" w:cs="宋体"/>
                <w:color w:val="000000"/>
                <w:kern w:val="0"/>
                <w:sz w:val="21"/>
                <w:szCs w:val="21"/>
                <w:lang w:eastAsia="zh-CN"/>
              </w:rPr>
              <w:t>）</w:t>
            </w:r>
          </w:p>
        </w:tc>
        <w:tc>
          <w:tcPr>
            <w:tcW w:w="1029" w:type="dxa"/>
            <w:noWrap w:val="0"/>
            <w:vAlign w:val="top"/>
          </w:tcPr>
          <w:p w14:paraId="35AF28AC">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1079" w:type="dxa"/>
            <w:noWrap w:val="0"/>
            <w:vAlign w:val="top"/>
          </w:tcPr>
          <w:p w14:paraId="3E376A2B">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r>
      <w:tr w14:paraId="6B601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724" w:type="dxa"/>
            <w:noWrap w:val="0"/>
            <w:vAlign w:val="center"/>
          </w:tcPr>
          <w:p w14:paraId="22AA2461">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w:t>
            </w:r>
          </w:p>
        </w:tc>
        <w:tc>
          <w:tcPr>
            <w:tcW w:w="1134" w:type="dxa"/>
            <w:noWrap w:val="0"/>
            <w:vAlign w:val="center"/>
          </w:tcPr>
          <w:p w14:paraId="5B6CA106">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工程质量</w:t>
            </w: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10</w:t>
            </w:r>
            <w:r>
              <w:rPr>
                <w:rFonts w:hint="eastAsia" w:ascii="宋体" w:hAnsi="宋体" w:eastAsia="宋体" w:cs="宋体"/>
                <w:color w:val="000000"/>
                <w:kern w:val="0"/>
                <w:sz w:val="21"/>
                <w:szCs w:val="21"/>
              </w:rPr>
              <w:t>分）</w:t>
            </w:r>
          </w:p>
        </w:tc>
        <w:tc>
          <w:tcPr>
            <w:tcW w:w="6012" w:type="dxa"/>
            <w:gridSpan w:val="2"/>
            <w:noWrap w:val="0"/>
            <w:vAlign w:val="top"/>
          </w:tcPr>
          <w:p w14:paraId="5C0E08DB">
            <w:pPr>
              <w:widowControl/>
              <w:spacing w:line="360" w:lineRule="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10分：成果/管控质量高标准，无差错、无返工，质量管控体系完善，一次性通过审查/验收；</w:t>
            </w:r>
          </w:p>
          <w:p w14:paraId="11460146">
            <w:pPr>
              <w:widowControl/>
              <w:spacing w:line="360" w:lineRule="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7-9分：存在少量细微瑕疵，主动修正，不影响整体质量与验收；4-6分：出现明显质量缺陷，多次修改后方可通过，增加复核成本；</w:t>
            </w:r>
          </w:p>
          <w:p w14:paraId="04C435A1">
            <w:pPr>
              <w:widowControl/>
              <w:spacing w:line="360" w:lineRule="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0-3分：成果存在重大错漏，引发工程返工、安全隐患。</w:t>
            </w:r>
          </w:p>
          <w:p w14:paraId="5E664313">
            <w:pPr>
              <w:widowControl/>
              <w:spacing w:line="360" w:lineRule="auto"/>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（监理把控施工实体质量；设计图纸无错碰漏缺、方案合规；勘察地质数据真实准确，结论可靠。）</w:t>
            </w:r>
          </w:p>
        </w:tc>
        <w:tc>
          <w:tcPr>
            <w:tcW w:w="1029" w:type="dxa"/>
            <w:noWrap w:val="0"/>
            <w:vAlign w:val="top"/>
          </w:tcPr>
          <w:p w14:paraId="26A283EF">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1079" w:type="dxa"/>
            <w:noWrap w:val="0"/>
            <w:vAlign w:val="top"/>
          </w:tcPr>
          <w:p w14:paraId="7B8F7029">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r>
      <w:tr w14:paraId="49BDD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7" w:hRule="atLeast"/>
          <w:jc w:val="center"/>
        </w:trPr>
        <w:tc>
          <w:tcPr>
            <w:tcW w:w="724" w:type="dxa"/>
            <w:noWrap w:val="0"/>
            <w:vAlign w:val="center"/>
          </w:tcPr>
          <w:p w14:paraId="484AF62B">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w:t>
            </w:r>
          </w:p>
        </w:tc>
        <w:tc>
          <w:tcPr>
            <w:tcW w:w="1134" w:type="dxa"/>
            <w:noWrap w:val="0"/>
            <w:vAlign w:val="center"/>
          </w:tcPr>
          <w:p w14:paraId="7E4059E6">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安全生产管理</w:t>
            </w:r>
            <w:r>
              <w:rPr>
                <w:rFonts w:hint="eastAsia" w:ascii="宋体" w:hAnsi="宋体" w:eastAsia="宋体" w:cs="宋体"/>
                <w:color w:val="000000"/>
                <w:kern w:val="0"/>
                <w:sz w:val="21"/>
                <w:szCs w:val="21"/>
              </w:rPr>
              <w:t>（10分）</w:t>
            </w:r>
          </w:p>
        </w:tc>
        <w:tc>
          <w:tcPr>
            <w:tcW w:w="6012" w:type="dxa"/>
            <w:gridSpan w:val="2"/>
            <w:noWrap w:val="0"/>
            <w:vAlign w:val="top"/>
          </w:tcPr>
          <w:p w14:paraId="221EB317">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10分：安全管理体系健全，定期开展安全巡查/安全交底，无安全隐患、无事故；</w:t>
            </w:r>
          </w:p>
          <w:p w14:paraId="5EF3AE21">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7-9分：偶发轻微安全隐患，现场立即整改，未产生风险；</w:t>
            </w:r>
          </w:p>
          <w:p w14:paraId="61592A6A">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4-6分：安全管控缺位，多次出现隐患，需业主强制要求整改；</w:t>
            </w:r>
          </w:p>
          <w:p w14:paraId="41E42039">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0-3分：发生安全险情/安全责任事故，未落实安全管控责任。</w:t>
            </w:r>
          </w:p>
          <w:p w14:paraId="6D52E701">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备注：</w:t>
            </w:r>
            <w:r>
              <w:rPr>
                <w:rFonts w:hint="eastAsia" w:ascii="宋体" w:hAnsi="宋体" w:eastAsia="宋体" w:cs="宋体"/>
                <w:color w:val="000000"/>
                <w:sz w:val="21"/>
                <w:szCs w:val="21"/>
                <w:lang w:eastAsia="zh-CN"/>
              </w:rPr>
              <w:t>监理日常施工现场安全巡查；设计落实结构、消防安全规范；勘察现场外业作业安全规范到位。）</w:t>
            </w:r>
          </w:p>
        </w:tc>
        <w:tc>
          <w:tcPr>
            <w:tcW w:w="1029" w:type="dxa"/>
            <w:noWrap w:val="0"/>
            <w:vAlign w:val="top"/>
          </w:tcPr>
          <w:p w14:paraId="12530828">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1079" w:type="dxa"/>
            <w:noWrap w:val="0"/>
            <w:vAlign w:val="top"/>
          </w:tcPr>
          <w:p w14:paraId="2B55E5BA">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r>
      <w:tr w14:paraId="668F8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6" w:hRule="atLeast"/>
          <w:jc w:val="center"/>
        </w:trPr>
        <w:tc>
          <w:tcPr>
            <w:tcW w:w="724" w:type="dxa"/>
            <w:noWrap w:val="0"/>
            <w:vAlign w:val="center"/>
          </w:tcPr>
          <w:p w14:paraId="7C84CC23">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1134" w:type="dxa"/>
            <w:noWrap w:val="0"/>
            <w:vAlign w:val="center"/>
          </w:tcPr>
          <w:p w14:paraId="78D39AB1">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劳动纠纷</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与用工合规管理（10分</w:t>
            </w:r>
          </w:p>
        </w:tc>
        <w:tc>
          <w:tcPr>
            <w:tcW w:w="6012" w:type="dxa"/>
            <w:gridSpan w:val="2"/>
            <w:noWrap w:val="0"/>
            <w:vAlign w:val="top"/>
          </w:tcPr>
          <w:p w14:paraId="1F668860">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10分：落实实名制、工资专户、总包代发等制度，人员薪酬按月足额发放，用工台账完整规范，无工资咨询、投诉、劳动仲裁及上访事件；</w:t>
            </w:r>
          </w:p>
          <w:p w14:paraId="466CE050">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7-9分：工资发放偶有短期延迟，3日内足额结清，用工资料齐全，仅零星咨询，无正式投诉与劳动纠纷；</w:t>
            </w:r>
          </w:p>
          <w:p w14:paraId="151F3DF3">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4-6分：存在阶段性欠薪，引发多起劳资投诉，经业主协调督促后补发工资，未出现仲裁、上访；</w:t>
            </w:r>
          </w:p>
          <w:p w14:paraId="6F80491A">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0-3分：长期拖欠劳务/职工薪酬，引发劳动仲裁、信访上访、群体性讨薪事件，造成项目停工、舆情风险，用工管理制度未落实。</w:t>
            </w:r>
          </w:p>
          <w:p w14:paraId="783ED99F">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（备注：监理核查自有监理人员薪酬发放；设计、勘察管控技术人员、外业劳务薪资；施工单位落实农民工实名制、工资专户、分账管理，杜绝群体性劳动纠纷。）</w:t>
            </w:r>
          </w:p>
        </w:tc>
        <w:tc>
          <w:tcPr>
            <w:tcW w:w="1029" w:type="dxa"/>
            <w:noWrap w:val="0"/>
            <w:vAlign w:val="top"/>
          </w:tcPr>
          <w:p w14:paraId="25D0854F">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1079" w:type="dxa"/>
            <w:noWrap w:val="0"/>
            <w:vAlign w:val="top"/>
          </w:tcPr>
          <w:p w14:paraId="32F18E23">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r>
      <w:tr w14:paraId="78091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jc w:val="center"/>
        </w:trPr>
        <w:tc>
          <w:tcPr>
            <w:tcW w:w="724" w:type="dxa"/>
            <w:noWrap w:val="0"/>
            <w:vAlign w:val="center"/>
          </w:tcPr>
          <w:p w14:paraId="576840CF">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6</w:t>
            </w:r>
          </w:p>
        </w:tc>
        <w:tc>
          <w:tcPr>
            <w:tcW w:w="1134" w:type="dxa"/>
            <w:noWrap w:val="0"/>
            <w:vAlign w:val="center"/>
          </w:tcPr>
          <w:p w14:paraId="71F6969A">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服务态度和沟通能力</w:t>
            </w: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10</w:t>
            </w:r>
            <w:r>
              <w:rPr>
                <w:rFonts w:hint="eastAsia" w:ascii="宋体" w:hAnsi="宋体" w:eastAsia="宋体" w:cs="宋体"/>
                <w:color w:val="000000"/>
                <w:kern w:val="0"/>
                <w:sz w:val="21"/>
                <w:szCs w:val="21"/>
              </w:rPr>
              <w:t>分）</w:t>
            </w:r>
          </w:p>
        </w:tc>
        <w:tc>
          <w:tcPr>
            <w:tcW w:w="6012" w:type="dxa"/>
            <w:gridSpan w:val="2"/>
            <w:noWrap w:val="0"/>
            <w:vAlign w:val="top"/>
          </w:tcPr>
          <w:p w14:paraId="5B890616">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10分：响应及时，主动对接需求，沟通高效，积极配合业主及参建各方协调；</w:t>
            </w:r>
          </w:p>
          <w:p w14:paraId="3E5DCA90">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7-9分：诉求均可及时响应，沟通顺畅，少量问题需二次对接；</w:t>
            </w:r>
          </w:p>
          <w:p w14:paraId="06E4F0E4">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4-6分：响应滞后，沟通消极，需反复催促对接工作；</w:t>
            </w:r>
          </w:p>
          <w:p w14:paraId="32B33876">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0-3分：态度敷衍推诿，拒不配合协调，产生多方矛盾。</w:t>
            </w:r>
          </w:p>
          <w:p w14:paraId="798F275F">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备注：监理主动同步现场情况；设计耐心配合图纸答疑；勘察及时对接现场踏勘需求。</w:t>
            </w:r>
            <w:r>
              <w:rPr>
                <w:rFonts w:hint="eastAsia" w:ascii="宋体" w:hAnsi="宋体" w:eastAsia="宋体" w:cs="宋体"/>
                <w:color w:val="000000"/>
                <w:sz w:val="21"/>
                <w:szCs w:val="21"/>
                <w:lang w:eastAsia="zh-CN"/>
              </w:rPr>
              <w:t>）</w:t>
            </w:r>
          </w:p>
        </w:tc>
        <w:tc>
          <w:tcPr>
            <w:tcW w:w="1029" w:type="dxa"/>
            <w:noWrap w:val="0"/>
            <w:vAlign w:val="top"/>
          </w:tcPr>
          <w:p w14:paraId="21E527E5">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1079" w:type="dxa"/>
            <w:noWrap w:val="0"/>
            <w:vAlign w:val="top"/>
          </w:tcPr>
          <w:p w14:paraId="2459CDA9">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r>
      <w:tr w14:paraId="158BB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3" w:hRule="atLeast"/>
          <w:jc w:val="center"/>
        </w:trPr>
        <w:tc>
          <w:tcPr>
            <w:tcW w:w="724" w:type="dxa"/>
            <w:noWrap w:val="0"/>
            <w:vAlign w:val="center"/>
          </w:tcPr>
          <w:p w14:paraId="35290FDC">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7</w:t>
            </w:r>
          </w:p>
        </w:tc>
        <w:tc>
          <w:tcPr>
            <w:tcW w:w="1134" w:type="dxa"/>
            <w:noWrap w:val="0"/>
            <w:vAlign w:val="center"/>
          </w:tcPr>
          <w:p w14:paraId="5CF79284">
            <w:pPr>
              <w:widowControl/>
              <w:spacing w:line="360" w:lineRule="auto"/>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合同变更能力</w:t>
            </w:r>
          </w:p>
          <w:p w14:paraId="0B21736B">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（10分）</w:t>
            </w:r>
          </w:p>
        </w:tc>
        <w:tc>
          <w:tcPr>
            <w:tcW w:w="6012" w:type="dxa"/>
            <w:gridSpan w:val="2"/>
            <w:noWrap w:val="0"/>
            <w:vAlign w:val="top"/>
          </w:tcPr>
          <w:p w14:paraId="7218347C">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10分：变更需求响应迅速，方案/调整成果出具高效，变更计价、资料规范完整；</w:t>
            </w:r>
          </w:p>
          <w:p w14:paraId="3D0420BD">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7-9分：变更处理略有滞后，资料基本齐全，配合完成变更流程；</w:t>
            </w:r>
          </w:p>
          <w:p w14:paraId="73F53033">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4-6分：变更推进缓慢，资料缺漏，需反复补充完善；</w:t>
            </w:r>
          </w:p>
          <w:p w14:paraId="0B946247">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0-3分：抵触变更需求，拖延出具变更成果，阻碍变更落地。</w:t>
            </w:r>
          </w:p>
          <w:p w14:paraId="7BB7B853">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备注：监理高效完成现场签证、变更管控；设计快速出具变更图纸；勘察及时出具地质补勘变更资料。</w:t>
            </w:r>
            <w:r>
              <w:rPr>
                <w:rFonts w:hint="eastAsia" w:ascii="宋体" w:hAnsi="宋体" w:eastAsia="宋体" w:cs="宋体"/>
                <w:color w:val="000000"/>
                <w:sz w:val="21"/>
                <w:szCs w:val="21"/>
                <w:lang w:eastAsia="zh-CN"/>
              </w:rPr>
              <w:t>）</w:t>
            </w:r>
          </w:p>
        </w:tc>
        <w:tc>
          <w:tcPr>
            <w:tcW w:w="1029" w:type="dxa"/>
            <w:noWrap w:val="0"/>
            <w:vAlign w:val="top"/>
          </w:tcPr>
          <w:p w14:paraId="0625F1C9">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c>
          <w:tcPr>
            <w:tcW w:w="1079" w:type="dxa"/>
            <w:noWrap w:val="0"/>
            <w:vAlign w:val="top"/>
          </w:tcPr>
          <w:p w14:paraId="5888F050">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w:t>
            </w:r>
          </w:p>
        </w:tc>
      </w:tr>
      <w:tr w14:paraId="602F0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dxa"/>
            <w:noWrap w:val="0"/>
            <w:vAlign w:val="center"/>
          </w:tcPr>
          <w:p w14:paraId="30B8A9DC">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8</w:t>
            </w:r>
          </w:p>
        </w:tc>
        <w:tc>
          <w:tcPr>
            <w:tcW w:w="1134" w:type="dxa"/>
            <w:noWrap w:val="0"/>
            <w:vAlign w:val="center"/>
          </w:tcPr>
          <w:p w14:paraId="0E4843BC">
            <w:pPr>
              <w:widowControl/>
              <w:spacing w:line="360" w:lineRule="auto"/>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结算管理情况</w:t>
            </w:r>
          </w:p>
          <w:p w14:paraId="384B05B3">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（10分）</w:t>
            </w:r>
          </w:p>
        </w:tc>
        <w:tc>
          <w:tcPr>
            <w:tcW w:w="6012" w:type="dxa"/>
            <w:gridSpan w:val="2"/>
            <w:noWrap w:val="0"/>
            <w:vAlign w:val="top"/>
          </w:tcPr>
          <w:p w14:paraId="109898F6">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10分：严格按合同约定时限整理完整结算资料，结算计量精准、计价合规，主动配合核对，结算流程一次性办结，无争议事项；</w:t>
            </w:r>
          </w:p>
          <w:p w14:paraId="4E0ECAE9">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7-9分：结算资料齐全，少量数据轻微偏差，收到核对意见后快速修正，未延误整体结算进度，无重大价款争议；</w:t>
            </w:r>
          </w:p>
          <w:p w14:paraId="77158622">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4-6分：结算资料缺漏、计量存在多处偏差，经业主多次催告后补充整改，产生结算延期、价款分歧；</w:t>
            </w:r>
          </w:p>
          <w:p w14:paraId="6FF1E2DA">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0-3分：拖延提交结算资料，虚报工程量、恶意抬高结算价款，拒不配合核对，引发结算纠纷、项目尾款停滞。</w:t>
            </w:r>
          </w:p>
          <w:p w14:paraId="153197AB">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（备注：监理及时整理现场签证、工程量佐证资料配合结算；设计完整提供变更图纸、洽商记录支撑结算；勘察按时提交完整勘察成果及补勘资料作为结算依据。）</w:t>
            </w:r>
          </w:p>
        </w:tc>
        <w:tc>
          <w:tcPr>
            <w:tcW w:w="1029" w:type="dxa"/>
            <w:noWrap w:val="0"/>
            <w:vAlign w:val="top"/>
          </w:tcPr>
          <w:p w14:paraId="08A7B7C4">
            <w:pPr>
              <w:widowControl/>
              <w:rPr>
                <w:rFonts w:hint="eastAsia" w:ascii="宋体" w:hAnsi="宋体" w:eastAsia="宋体" w:cs="宋体"/>
                <w:color w:val="000000"/>
                <w:kern w:val="0"/>
                <w:sz w:val="21"/>
                <w:szCs w:val="21"/>
              </w:rPr>
            </w:pPr>
          </w:p>
        </w:tc>
        <w:tc>
          <w:tcPr>
            <w:tcW w:w="1079" w:type="dxa"/>
            <w:noWrap w:val="0"/>
            <w:vAlign w:val="top"/>
          </w:tcPr>
          <w:p w14:paraId="13414DCF">
            <w:pPr>
              <w:widowControl/>
              <w:rPr>
                <w:rFonts w:hint="eastAsia" w:ascii="宋体" w:hAnsi="宋体" w:eastAsia="宋体" w:cs="宋体"/>
                <w:color w:val="000000"/>
                <w:kern w:val="0"/>
                <w:sz w:val="21"/>
                <w:szCs w:val="21"/>
              </w:rPr>
            </w:pPr>
          </w:p>
        </w:tc>
      </w:tr>
      <w:tr w14:paraId="7D780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3" w:hRule="atLeast"/>
          <w:jc w:val="center"/>
        </w:trPr>
        <w:tc>
          <w:tcPr>
            <w:tcW w:w="724" w:type="dxa"/>
            <w:noWrap w:val="0"/>
            <w:vAlign w:val="center"/>
          </w:tcPr>
          <w:p w14:paraId="331126D2">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9</w:t>
            </w:r>
          </w:p>
        </w:tc>
        <w:tc>
          <w:tcPr>
            <w:tcW w:w="1134" w:type="dxa"/>
            <w:noWrap w:val="0"/>
            <w:vAlign w:val="center"/>
          </w:tcPr>
          <w:p w14:paraId="69A7D8BF">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工程款支付管理（10分）</w:t>
            </w:r>
          </w:p>
        </w:tc>
        <w:tc>
          <w:tcPr>
            <w:tcW w:w="6012" w:type="dxa"/>
            <w:gridSpan w:val="2"/>
            <w:noWrap w:val="0"/>
            <w:vAlign w:val="top"/>
          </w:tcPr>
          <w:p w14:paraId="65433C72">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10分：严格按合同约定节点、时限足额申报进度款、变更款、质保金相关支付资料，计量支付佐证材料完整规范，无虚报、错报，主动配合业主及财务完成付款审核，无工程款拨付阻滞问题；</w:t>
            </w:r>
          </w:p>
          <w:p w14:paraId="72E5E62A">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7-9分：进度款申报偶有资料轻微缺失，短期补齐，计量数据无虚报，仅小幅延后付款流程，未影响项目资金周转；</w:t>
            </w:r>
          </w:p>
          <w:p w14:paraId="6F8066F1">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4-6分：多次漏报、迟报工程款申报资料，计量存在多处错报，经多次督促才补正，造成阶段性付款延迟；</w:t>
            </w:r>
          </w:p>
          <w:p w14:paraId="3EFCBA99">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0-3分：恶意虚报工程量套取工程款、长期不提交支付资料、拒不配合工程款核对，引发资金纠纷、项目资金链紧张。</w:t>
            </w:r>
          </w:p>
          <w:p w14:paraId="3BD776E6">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（备注：施工单位按月完整报送进度计量、签证、发票等付款资料；监理同步出具工程款支付审核意见；设计、勘察及时提交服务费用结算支付全套资料。）</w:t>
            </w:r>
          </w:p>
        </w:tc>
        <w:tc>
          <w:tcPr>
            <w:tcW w:w="1029" w:type="dxa"/>
            <w:noWrap w:val="0"/>
            <w:vAlign w:val="top"/>
          </w:tcPr>
          <w:p w14:paraId="5BF4D869">
            <w:pPr>
              <w:widowControl/>
              <w:rPr>
                <w:rFonts w:hint="eastAsia" w:ascii="宋体" w:hAnsi="宋体" w:eastAsia="宋体" w:cs="宋体"/>
                <w:color w:val="000000"/>
                <w:kern w:val="0"/>
                <w:sz w:val="21"/>
                <w:szCs w:val="21"/>
              </w:rPr>
            </w:pPr>
          </w:p>
        </w:tc>
        <w:tc>
          <w:tcPr>
            <w:tcW w:w="1079" w:type="dxa"/>
            <w:noWrap w:val="0"/>
            <w:vAlign w:val="top"/>
          </w:tcPr>
          <w:p w14:paraId="2721F538">
            <w:pPr>
              <w:widowControl/>
              <w:rPr>
                <w:rFonts w:hint="eastAsia" w:ascii="宋体" w:hAnsi="宋体" w:eastAsia="宋体" w:cs="宋体"/>
                <w:color w:val="000000"/>
                <w:kern w:val="0"/>
                <w:sz w:val="21"/>
                <w:szCs w:val="21"/>
              </w:rPr>
            </w:pPr>
          </w:p>
        </w:tc>
      </w:tr>
      <w:tr w14:paraId="17F12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3" w:hRule="atLeast"/>
          <w:jc w:val="center"/>
        </w:trPr>
        <w:tc>
          <w:tcPr>
            <w:tcW w:w="724" w:type="dxa"/>
            <w:noWrap w:val="0"/>
            <w:vAlign w:val="center"/>
          </w:tcPr>
          <w:p w14:paraId="301CAC01">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10</w:t>
            </w:r>
          </w:p>
        </w:tc>
        <w:tc>
          <w:tcPr>
            <w:tcW w:w="1134" w:type="dxa"/>
            <w:noWrap w:val="0"/>
            <w:vAlign w:val="center"/>
          </w:tcPr>
          <w:p w14:paraId="5C2FEA27">
            <w:pPr>
              <w:widowControl/>
              <w:spacing w:line="360" w:lineRule="auto"/>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履约成本和成本控制</w:t>
            </w:r>
          </w:p>
          <w:p w14:paraId="26BEE6B5">
            <w:pPr>
              <w:widowControl/>
              <w:spacing w:line="36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（10分）</w:t>
            </w:r>
          </w:p>
        </w:tc>
        <w:tc>
          <w:tcPr>
            <w:tcW w:w="6012" w:type="dxa"/>
            <w:gridSpan w:val="2"/>
            <w:noWrap w:val="0"/>
            <w:vAlign w:val="top"/>
          </w:tcPr>
          <w:p w14:paraId="002BAF15">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10分：严格按合同价履约，无不合理增项，主动优化方案节约项目投资；</w:t>
            </w:r>
          </w:p>
          <w:p w14:paraId="33C97A8D">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7-9分：少量合理增项，报价公允，主动提出降本优化建议；</w:t>
            </w:r>
          </w:p>
          <w:p w14:paraId="3257808F">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4-6分：频繁产生不必要增项，报价偏高，未主动控本；0-3分：恶意抬高服务价格、虚报工作量，造成业主投资超支。</w:t>
            </w:r>
          </w:p>
          <w:p w14:paraId="12AA1DAB">
            <w:pPr>
              <w:widowControl/>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备注：监理严控现场签证造价；设计优化方案减少工程造价；勘察精准勘测避免重复勘察增加费用。</w:t>
            </w:r>
            <w:r>
              <w:rPr>
                <w:rFonts w:hint="eastAsia" w:ascii="宋体" w:hAnsi="宋体" w:eastAsia="宋体" w:cs="宋体"/>
                <w:color w:val="000000"/>
                <w:sz w:val="21"/>
                <w:szCs w:val="21"/>
                <w:lang w:eastAsia="zh-CN"/>
              </w:rPr>
              <w:t>）</w:t>
            </w:r>
          </w:p>
        </w:tc>
        <w:tc>
          <w:tcPr>
            <w:tcW w:w="1029" w:type="dxa"/>
            <w:noWrap w:val="0"/>
            <w:vAlign w:val="top"/>
          </w:tcPr>
          <w:p w14:paraId="144C3E56">
            <w:pPr>
              <w:widowControl/>
              <w:rPr>
                <w:rFonts w:hint="eastAsia" w:ascii="宋体" w:hAnsi="宋体" w:eastAsia="宋体" w:cs="宋体"/>
                <w:color w:val="000000"/>
                <w:kern w:val="0"/>
                <w:sz w:val="21"/>
                <w:szCs w:val="21"/>
              </w:rPr>
            </w:pPr>
          </w:p>
        </w:tc>
        <w:tc>
          <w:tcPr>
            <w:tcW w:w="1079" w:type="dxa"/>
            <w:noWrap w:val="0"/>
            <w:vAlign w:val="top"/>
          </w:tcPr>
          <w:p w14:paraId="64D7C1CD">
            <w:pPr>
              <w:widowControl/>
              <w:rPr>
                <w:rFonts w:hint="eastAsia" w:ascii="宋体" w:hAnsi="宋体" w:eastAsia="宋体" w:cs="宋体"/>
                <w:color w:val="000000"/>
                <w:kern w:val="0"/>
                <w:sz w:val="21"/>
                <w:szCs w:val="21"/>
              </w:rPr>
            </w:pPr>
          </w:p>
        </w:tc>
      </w:tr>
      <w:tr w14:paraId="3410B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858" w:type="dxa"/>
            <w:gridSpan w:val="2"/>
            <w:noWrap w:val="0"/>
            <w:vAlign w:val="center"/>
          </w:tcPr>
          <w:p w14:paraId="0D64CFE4">
            <w:pPr>
              <w:widowControl/>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总得分</w:t>
            </w:r>
          </w:p>
        </w:tc>
        <w:tc>
          <w:tcPr>
            <w:tcW w:w="8120" w:type="dxa"/>
            <w:gridSpan w:val="4"/>
            <w:noWrap w:val="0"/>
            <w:vAlign w:val="center"/>
          </w:tcPr>
          <w:p w14:paraId="5B6D387C">
            <w:pPr>
              <w:widowControl/>
              <w:jc w:val="center"/>
              <w:rPr>
                <w:rFonts w:hint="eastAsia" w:ascii="宋体" w:hAnsi="宋体" w:eastAsia="宋体" w:cs="宋体"/>
                <w:color w:val="000000"/>
                <w:kern w:val="0"/>
                <w:sz w:val="21"/>
                <w:szCs w:val="21"/>
              </w:rPr>
            </w:pPr>
          </w:p>
        </w:tc>
      </w:tr>
      <w:tr w14:paraId="53A0D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1858" w:type="dxa"/>
            <w:gridSpan w:val="2"/>
            <w:noWrap w:val="0"/>
            <w:vAlign w:val="center"/>
          </w:tcPr>
          <w:p w14:paraId="47464C9F">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备注</w:t>
            </w:r>
          </w:p>
        </w:tc>
        <w:tc>
          <w:tcPr>
            <w:tcW w:w="8120" w:type="dxa"/>
            <w:gridSpan w:val="4"/>
            <w:noWrap w:val="0"/>
            <w:vAlign w:val="center"/>
          </w:tcPr>
          <w:p w14:paraId="73EE2B16">
            <w:pPr>
              <w:widowControl/>
              <w:ind w:firstLine="420" w:firstLineChars="200"/>
              <w:jc w:val="left"/>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本次评价打分、情况描述均结合项目全过程实际开展，各项评价内容客观真实、有据可查，全部评价情况属实，不存在夸大、歪曲或不实记录</w:t>
            </w:r>
            <w:r>
              <w:rPr>
                <w:rFonts w:hint="eastAsia" w:ascii="宋体" w:hAnsi="宋体" w:eastAsia="宋体" w:cs="宋体"/>
                <w:color w:val="000000"/>
                <w:kern w:val="0"/>
                <w:sz w:val="21"/>
                <w:szCs w:val="21"/>
                <w:lang w:eastAsia="zh-CN"/>
              </w:rPr>
              <w:t>。</w:t>
            </w:r>
          </w:p>
        </w:tc>
      </w:tr>
      <w:tr w14:paraId="36943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jc w:val="center"/>
        </w:trPr>
        <w:tc>
          <w:tcPr>
            <w:tcW w:w="1858" w:type="dxa"/>
            <w:gridSpan w:val="2"/>
            <w:noWrap w:val="0"/>
            <w:vAlign w:val="center"/>
          </w:tcPr>
          <w:p w14:paraId="407B901E">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承诺单位（盖章）</w:t>
            </w:r>
          </w:p>
        </w:tc>
        <w:tc>
          <w:tcPr>
            <w:tcW w:w="8120" w:type="dxa"/>
            <w:gridSpan w:val="4"/>
            <w:noWrap w:val="0"/>
            <w:vAlign w:val="center"/>
          </w:tcPr>
          <w:p w14:paraId="00F4C265">
            <w:pPr>
              <w:widowControl/>
              <w:ind w:firstLine="420" w:firstLineChars="200"/>
              <w:jc w:val="left"/>
              <w:rPr>
                <w:rFonts w:hint="eastAsia" w:ascii="宋体" w:hAnsi="宋体" w:eastAsia="宋体" w:cs="宋体"/>
                <w:color w:val="000000"/>
                <w:kern w:val="0"/>
                <w:sz w:val="21"/>
                <w:szCs w:val="21"/>
              </w:rPr>
            </w:pPr>
          </w:p>
        </w:tc>
      </w:tr>
      <w:tr w14:paraId="2DD40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1858" w:type="dxa"/>
            <w:gridSpan w:val="2"/>
            <w:noWrap w:val="0"/>
            <w:vAlign w:val="center"/>
          </w:tcPr>
          <w:p w14:paraId="17879A7D">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法定代表人/项目经理</w:t>
            </w:r>
          </w:p>
          <w:p w14:paraId="759BFBD6">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（签字）</w:t>
            </w:r>
          </w:p>
        </w:tc>
        <w:tc>
          <w:tcPr>
            <w:tcW w:w="8120" w:type="dxa"/>
            <w:gridSpan w:val="4"/>
            <w:noWrap w:val="0"/>
            <w:vAlign w:val="center"/>
          </w:tcPr>
          <w:p w14:paraId="413FF9F3">
            <w:pPr>
              <w:widowControl/>
              <w:ind w:firstLine="420" w:firstLineChars="200"/>
              <w:jc w:val="left"/>
              <w:rPr>
                <w:rFonts w:hint="eastAsia" w:ascii="宋体" w:hAnsi="宋体" w:eastAsia="宋体" w:cs="宋体"/>
                <w:color w:val="000000"/>
                <w:kern w:val="0"/>
                <w:sz w:val="21"/>
                <w:szCs w:val="21"/>
              </w:rPr>
            </w:pPr>
          </w:p>
        </w:tc>
      </w:tr>
    </w:tbl>
    <w:p w14:paraId="4E5722C4">
      <w:pPr>
        <w:rPr>
          <w:rFonts w:ascii="宋体" w:hAnsi="宋体" w:cs="宋体"/>
          <w:szCs w:val="21"/>
        </w:rPr>
      </w:pPr>
    </w:p>
    <w:p w14:paraId="3FD53795">
      <w:pPr>
        <w:spacing w:line="360" w:lineRule="auto"/>
        <w:rPr>
          <w:rFonts w:hint="default"/>
          <w:color w:val="auto"/>
          <w:highlight w:val="none"/>
          <w:lang w:val="en-US" w:eastAsia="zh-CN"/>
        </w:rPr>
      </w:pPr>
    </w:p>
    <w:permEnd w:id="158"/>
    <w:p w14:paraId="36BE4557">
      <w:pPr>
        <w:tabs>
          <w:tab w:val="left" w:pos="1986"/>
        </w:tabs>
        <w:autoSpaceDE w:val="0"/>
        <w:autoSpaceDN w:val="0"/>
        <w:spacing w:line="360" w:lineRule="auto"/>
        <w:ind w:firstLine="0" w:firstLineChars="0"/>
        <w:jc w:val="left"/>
        <w:rPr>
          <w:rFonts w:hint="default"/>
          <w:color w:val="auto"/>
          <w:highlight w:val="none"/>
          <w:lang w:val="en-US" w:eastAsia="zh-CN"/>
        </w:rPr>
      </w:pPr>
      <w:r>
        <w:rPr>
          <w:rFonts w:hint="eastAsia" w:ascii="宋体" w:hAnsi="宋体"/>
          <w:color w:val="auto"/>
          <w:szCs w:val="21"/>
          <w:highlight w:val="none"/>
        </w:rPr>
        <w:t>【</w:t>
      </w:r>
      <w:r>
        <w:rPr>
          <w:rFonts w:hint="eastAsia" w:ascii="宋体" w:hAnsi="宋体" w:eastAsia="宋体" w:cs="宋体"/>
          <w:color w:val="auto"/>
          <w:szCs w:val="21"/>
          <w:highlight w:val="none"/>
          <w:lang w:val="en-US" w:eastAsia="zh-CN"/>
        </w:rPr>
        <w:t>备注：招标人应结合招标项目的实际情况设</w:t>
      </w:r>
      <w:r>
        <w:rPr>
          <w:rFonts w:hint="eastAsia" w:ascii="宋体" w:hAnsi="宋体" w:cs="宋体"/>
          <w:color w:val="auto"/>
          <w:szCs w:val="21"/>
          <w:highlight w:val="none"/>
          <w:lang w:val="en-US" w:eastAsia="zh-CN"/>
        </w:rPr>
        <w:t>定</w:t>
      </w:r>
      <w:r>
        <w:rPr>
          <w:rFonts w:hint="eastAsia" w:ascii="宋体" w:hAnsi="宋体" w:eastAsia="宋体" w:cs="宋体"/>
          <w:color w:val="auto"/>
          <w:szCs w:val="21"/>
          <w:highlight w:val="none"/>
          <w:lang w:val="en-US" w:eastAsia="zh-CN"/>
        </w:rPr>
        <w:t>资信要素，资信要素设</w:t>
      </w:r>
      <w:r>
        <w:rPr>
          <w:rFonts w:hint="eastAsia" w:ascii="宋体" w:hAnsi="宋体" w:cs="宋体"/>
          <w:color w:val="auto"/>
          <w:szCs w:val="21"/>
          <w:highlight w:val="none"/>
          <w:lang w:val="en-US" w:eastAsia="zh-CN"/>
        </w:rPr>
        <w:t>定</w:t>
      </w:r>
      <w:r>
        <w:rPr>
          <w:rFonts w:hint="eastAsia" w:ascii="宋体" w:hAnsi="宋体" w:eastAsia="宋体" w:cs="宋体"/>
          <w:color w:val="auto"/>
          <w:szCs w:val="21"/>
          <w:highlight w:val="none"/>
          <w:lang w:val="en-US" w:eastAsia="zh-CN"/>
        </w:rPr>
        <w:t>的注意事项详见《使用说明》</w:t>
      </w:r>
      <w:r>
        <w:rPr>
          <w:rFonts w:hint="eastAsia" w:ascii="宋体" w:hAnsi="宋体" w:cs="宋体"/>
          <w:color w:val="auto"/>
          <w:szCs w:val="21"/>
          <w:highlight w:val="none"/>
          <w:lang w:val="en-US" w:eastAsia="zh-CN"/>
        </w:rPr>
        <w:t>。</w:t>
      </w:r>
      <w:r>
        <w:rPr>
          <w:rFonts w:hint="eastAsia" w:ascii="宋体" w:hAnsi="宋体"/>
          <w:color w:val="auto"/>
          <w:szCs w:val="21"/>
          <w:highlight w:val="none"/>
        </w:rPr>
        <w:t>】</w:t>
      </w:r>
    </w:p>
    <w:p w14:paraId="086B3518">
      <w:pPr>
        <w:pStyle w:val="3"/>
        <w:numPr>
          <w:ilvl w:val="0"/>
          <w:numId w:val="0"/>
        </w:numPr>
        <w:bidi w:val="0"/>
        <w:rPr>
          <w:rFonts w:hint="eastAsia" w:ascii="宋体" w:hAnsi="宋体" w:eastAsia="宋体" w:cs="宋体"/>
          <w:color w:val="auto"/>
          <w:szCs w:val="21"/>
          <w:highlight w:val="none"/>
          <w:lang w:val="en-US" w:eastAsia="zh-CN"/>
        </w:rPr>
      </w:pPr>
      <w:bookmarkStart w:id="2322" w:name="_Toc2115094971"/>
      <w:bookmarkStart w:id="2323" w:name="_Toc1511743865"/>
      <w:bookmarkStart w:id="2324" w:name="_Toc111076803"/>
      <w:bookmarkStart w:id="2325" w:name="_Toc2089191897"/>
      <w:r>
        <w:rPr>
          <w:rFonts w:hint="eastAsia" w:ascii="宋体" w:hAnsi="宋体" w:eastAsia="宋体" w:cs="宋体"/>
          <w:b/>
          <w:bCs/>
          <w:color w:val="auto"/>
          <w:highlight w:val="none"/>
          <w:lang w:val="en-US" w:eastAsia="zh-CN"/>
        </w:rPr>
        <w:t>3. 定标程序</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14:paraId="4301F7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ascii="宋体" w:hAnsi="宋体" w:eastAsia="宋体" w:cs="宋体"/>
          <w:b w:val="0"/>
          <w:bCs w:val="0"/>
          <w:color w:val="auto"/>
          <w:kern w:val="0"/>
          <w:sz w:val="21"/>
          <w:szCs w:val="24"/>
          <w:highlight w:val="none"/>
          <w:lang w:val="en-US" w:eastAsia="zh-CN" w:bidi="ar-SA"/>
        </w:rPr>
      </w:pPr>
      <w:r>
        <w:rPr>
          <w:rFonts w:hint="eastAsia" w:ascii="宋体" w:hAnsi="宋体" w:eastAsia="宋体" w:cs="宋体"/>
          <w:b w:val="0"/>
          <w:bCs w:val="0"/>
          <w:color w:val="auto"/>
          <w:kern w:val="0"/>
          <w:sz w:val="21"/>
          <w:szCs w:val="24"/>
          <w:highlight w:val="none"/>
          <w:lang w:val="en-US" w:eastAsia="zh-CN" w:bidi="ar-SA"/>
        </w:rPr>
        <w:t>招标人在定标时间开始前2小时内在市公共资源交易中心见证下通过摇珠随机抽取招标文件规定人数的定标委员会成员。定标委员会成员凭身份证和授权委托书到市公共资源交易中心集中签到。定标委员会推荐或选举一名定标委员会成员担任定标委员会主任，由其主持当次定标会议并依据招标文件进行定标的各个议程。</w:t>
      </w:r>
      <w:r>
        <w:rPr>
          <w:rFonts w:hint="eastAsia" w:ascii="宋体" w:hAnsi="宋体" w:eastAsia="宋体" w:cs="宋体"/>
          <w:color w:val="auto"/>
          <w:kern w:val="0"/>
          <w:highlight w:val="none"/>
          <w:lang w:eastAsia="zh-CN"/>
        </w:rPr>
        <w:t>集体议事定标法的</w:t>
      </w:r>
      <w:r>
        <w:rPr>
          <w:rFonts w:hint="eastAsia" w:ascii="宋体" w:hAnsi="宋体" w:eastAsia="宋体" w:cs="宋体"/>
          <w:color w:val="auto"/>
          <w:kern w:val="0"/>
          <w:highlight w:val="none"/>
        </w:rPr>
        <w:t>定标委员会主任</w:t>
      </w:r>
      <w:r>
        <w:rPr>
          <w:rFonts w:hint="eastAsia" w:ascii="宋体" w:hAnsi="宋体" w:eastAsia="宋体" w:cs="宋体"/>
          <w:color w:val="auto"/>
          <w:kern w:val="0"/>
          <w:highlight w:val="none"/>
          <w:lang w:eastAsia="zh-CN"/>
        </w:rPr>
        <w:t>由</w:t>
      </w:r>
      <w:r>
        <w:rPr>
          <w:rFonts w:hint="eastAsia" w:ascii="宋体" w:hAnsi="宋体" w:eastAsia="宋体" w:cs="宋体"/>
          <w:color w:val="auto"/>
          <w:kern w:val="0"/>
          <w:highlight w:val="none"/>
        </w:rPr>
        <w:t>招标人的法定代表人或者主要负责人担任</w:t>
      </w:r>
      <w:r>
        <w:rPr>
          <w:rFonts w:hint="eastAsia" w:ascii="宋体" w:hAnsi="宋体" w:eastAsia="宋体" w:cs="宋体"/>
          <w:color w:val="auto"/>
          <w:kern w:val="0"/>
          <w:highlight w:val="none"/>
          <w:lang w:eastAsia="zh-CN"/>
        </w:rPr>
        <w:t>。</w:t>
      </w:r>
    </w:p>
    <w:p w14:paraId="1DAC61E4">
      <w:pPr>
        <w:bidi w:val="0"/>
        <w:ind w:firstLine="420" w:firstLineChars="200"/>
        <w:rPr>
          <w:rFonts w:hint="eastAsia"/>
          <w:color w:val="auto"/>
          <w:lang w:val="en-US" w:eastAsia="zh-CN"/>
        </w:rPr>
      </w:pPr>
      <w:r>
        <w:rPr>
          <w:rFonts w:hint="eastAsia"/>
          <w:color w:val="auto"/>
          <w:lang w:val="en-US" w:eastAsia="zh-CN"/>
        </w:rPr>
        <w:t>招标人或者招标代理机构在定标前可以介绍项目情况、招标情况、清标及对投标人或者项目负责人的考察、质询情况；招标人可以邀请评标专家代表介绍评标情况、专家评审意见及评标结论、提醒注意事项。定标委员会成员有疑问的，可以向招标人或者招标代理机构、评标专家提问。</w:t>
      </w:r>
    </w:p>
    <w:p w14:paraId="503B3A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ascii="宋体" w:hAnsi="宋体" w:eastAsia="宋体" w:cs="宋体"/>
          <w:b w:val="0"/>
          <w:bCs w:val="0"/>
          <w:color w:val="auto"/>
          <w:kern w:val="0"/>
          <w:sz w:val="21"/>
          <w:szCs w:val="24"/>
          <w:highlight w:val="none"/>
          <w:lang w:val="en-US" w:eastAsia="zh-CN" w:bidi="ar-SA"/>
        </w:rPr>
      </w:pPr>
      <w:r>
        <w:rPr>
          <w:rFonts w:hint="eastAsia" w:ascii="宋体" w:hAnsi="宋体" w:eastAsia="宋体" w:cs="宋体"/>
          <w:color w:val="auto"/>
          <w:kern w:val="0"/>
          <w:szCs w:val="24"/>
          <w:highlight w:val="none"/>
          <w:lang w:eastAsia="zh-CN"/>
        </w:rPr>
        <w:t>定标工作按</w:t>
      </w:r>
      <w:r>
        <w:rPr>
          <w:rFonts w:hint="eastAsia" w:ascii="宋体" w:hAnsi="宋体" w:eastAsia="宋体" w:cs="宋体"/>
          <w:color w:val="auto"/>
          <w:kern w:val="0"/>
          <w:szCs w:val="24"/>
          <w:highlight w:val="none"/>
          <w:lang w:val="en-US" w:eastAsia="zh-CN"/>
        </w:rPr>
        <w:t>下列程序进行：</w:t>
      </w:r>
    </w:p>
    <w:p w14:paraId="3C68F9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ascii="宋体" w:hAnsi="宋体" w:eastAsia="宋体" w:cs="宋体"/>
          <w:b w:val="0"/>
          <w:bCs w:val="0"/>
          <w:color w:val="auto"/>
          <w:kern w:val="0"/>
          <w:sz w:val="21"/>
          <w:szCs w:val="24"/>
          <w:highlight w:val="none"/>
          <w:lang w:val="en-US" w:eastAsia="zh-CN" w:bidi="ar-SA"/>
        </w:rPr>
      </w:pPr>
      <w:r>
        <w:rPr>
          <w:rFonts w:hint="eastAsia" w:ascii="宋体" w:hAnsi="宋体" w:eastAsia="宋体" w:cs="宋体"/>
          <w:b w:val="0"/>
          <w:bCs w:val="0"/>
          <w:color w:val="auto"/>
          <w:kern w:val="0"/>
          <w:sz w:val="21"/>
          <w:szCs w:val="24"/>
          <w:highlight w:val="none"/>
          <w:lang w:val="en-US" w:eastAsia="zh-CN" w:bidi="ar-SA"/>
        </w:rPr>
        <w:t>（1）主持人宣布定标会议开始，宣读定标会议的注意事项，定标委员会的组成情况，介绍项目概况、招标投标情况、评标情况、清标情况、定标规则等。定标委员会成员有疑问的，可以向招标人或者招标代理机构提问</w:t>
      </w:r>
      <w:r>
        <w:rPr>
          <w:rFonts w:hint="eastAsia" w:ascii="宋体" w:hAnsi="宋体" w:cs="宋体"/>
          <w:b w:val="0"/>
          <w:bCs w:val="0"/>
          <w:color w:val="auto"/>
          <w:kern w:val="0"/>
          <w:sz w:val="21"/>
          <w:szCs w:val="24"/>
          <w:highlight w:val="none"/>
          <w:lang w:val="en-US" w:eastAsia="zh-CN" w:bidi="ar-SA"/>
        </w:rPr>
        <w:t>；</w:t>
      </w:r>
    </w:p>
    <w:p w14:paraId="7A51FF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ascii="宋体" w:hAnsi="宋体" w:eastAsia="宋体" w:cs="宋体"/>
          <w:b w:val="0"/>
          <w:bCs w:val="0"/>
          <w:color w:val="auto"/>
          <w:kern w:val="0"/>
          <w:sz w:val="21"/>
          <w:szCs w:val="24"/>
          <w:highlight w:val="none"/>
          <w:lang w:val="en-US" w:eastAsia="zh-CN" w:bidi="ar-SA"/>
        </w:rPr>
      </w:pPr>
      <w:r>
        <w:rPr>
          <w:rFonts w:hint="eastAsia" w:ascii="宋体" w:hAnsi="宋体" w:eastAsia="宋体" w:cs="宋体"/>
          <w:b w:val="0"/>
          <w:bCs w:val="0"/>
          <w:color w:val="auto"/>
          <w:kern w:val="0"/>
          <w:sz w:val="21"/>
          <w:szCs w:val="24"/>
          <w:highlight w:val="none"/>
          <w:lang w:val="en-US" w:eastAsia="zh-CN" w:bidi="ar-SA"/>
        </w:rPr>
        <w:t>（2）定标委员会推荐或选举一名定标委员会成员担任定标委员会主任，由其主持当次定标会议并依据招标文件进行定标的各个议程。招标人的法定代表人或者主要负责人为定标委员会成员的，由其直接担任定标委员会主任</w:t>
      </w:r>
      <w:r>
        <w:rPr>
          <w:rFonts w:hint="eastAsia" w:ascii="宋体" w:hAnsi="宋体" w:cs="宋体"/>
          <w:b w:val="0"/>
          <w:bCs w:val="0"/>
          <w:color w:val="auto"/>
          <w:kern w:val="0"/>
          <w:sz w:val="21"/>
          <w:szCs w:val="24"/>
          <w:highlight w:val="none"/>
          <w:lang w:val="en-US" w:eastAsia="zh-CN" w:bidi="ar-SA"/>
        </w:rPr>
        <w:t>；</w:t>
      </w:r>
    </w:p>
    <w:p w14:paraId="1820BB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ascii="宋体" w:hAnsi="宋体" w:eastAsia="宋体" w:cs="宋体"/>
          <w:b w:val="0"/>
          <w:bCs w:val="0"/>
          <w:color w:val="auto"/>
          <w:kern w:val="0"/>
          <w:sz w:val="21"/>
          <w:szCs w:val="24"/>
          <w:highlight w:val="none"/>
          <w:lang w:val="en-US" w:eastAsia="zh-CN" w:bidi="ar-SA"/>
        </w:rPr>
      </w:pPr>
      <w:r>
        <w:rPr>
          <w:rFonts w:hint="eastAsia" w:ascii="宋体" w:hAnsi="宋体" w:eastAsia="宋体" w:cs="宋体"/>
          <w:b w:val="0"/>
          <w:bCs w:val="0"/>
          <w:color w:val="auto"/>
          <w:kern w:val="0"/>
          <w:sz w:val="21"/>
          <w:szCs w:val="24"/>
          <w:highlight w:val="none"/>
          <w:lang w:val="en-US" w:eastAsia="zh-CN" w:bidi="ar-SA"/>
        </w:rPr>
        <w:t>（3）定标委员会按照招标文件规定的定标方法和规则确定中标候选人</w:t>
      </w:r>
      <w:r>
        <w:rPr>
          <w:rFonts w:hint="eastAsia" w:ascii="宋体" w:hAnsi="宋体" w:cs="宋体"/>
          <w:b w:val="0"/>
          <w:bCs w:val="0"/>
          <w:color w:val="auto"/>
          <w:kern w:val="0"/>
          <w:sz w:val="21"/>
          <w:szCs w:val="24"/>
          <w:highlight w:val="none"/>
          <w:lang w:val="en-US" w:eastAsia="zh-CN" w:bidi="ar-SA"/>
        </w:rPr>
        <w:t>；</w:t>
      </w:r>
    </w:p>
    <w:p w14:paraId="0BD97E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ascii="宋体" w:hAnsi="宋体" w:eastAsia="宋体" w:cs="宋体"/>
          <w:b w:val="0"/>
          <w:bCs w:val="0"/>
          <w:color w:val="auto"/>
          <w:kern w:val="0"/>
          <w:sz w:val="21"/>
          <w:szCs w:val="24"/>
          <w:highlight w:val="none"/>
          <w:lang w:val="en-US" w:eastAsia="zh-CN" w:bidi="ar-SA"/>
        </w:rPr>
      </w:pPr>
      <w:r>
        <w:rPr>
          <w:rFonts w:hint="eastAsia" w:ascii="宋体" w:hAnsi="宋体" w:eastAsia="宋体" w:cs="宋体"/>
          <w:b w:val="0"/>
          <w:bCs w:val="0"/>
          <w:color w:val="auto"/>
          <w:kern w:val="0"/>
          <w:sz w:val="21"/>
          <w:szCs w:val="24"/>
          <w:highlight w:val="none"/>
          <w:lang w:val="en-US" w:eastAsia="zh-CN" w:bidi="ar-SA"/>
        </w:rPr>
        <w:t>（4）定标结束后，定标委员会整理定标资料和编制定标报告，并在定标报告上签字确认。定标资料包括集体讨论会议记录（如有）、定标委员会成员签到表、定标委员会主任推选结果、选票（含投票理由）等。定标报告应包括入围定标环节的名单、定标委员会的产生过程及名单、定标方法、定标时间及定标结果等内容。</w:t>
      </w:r>
    </w:p>
    <w:p w14:paraId="717AE3CC">
      <w:pPr>
        <w:pStyle w:val="3"/>
        <w:bidi w:val="0"/>
        <w:rPr>
          <w:rFonts w:hint="default" w:ascii="Verdana" w:hAnsi="Verdana"/>
          <w:color w:val="auto"/>
          <w:kern w:val="0"/>
          <w:szCs w:val="20"/>
          <w:highlight w:val="none"/>
          <w:lang w:val="en-US" w:eastAsia="zh-CN"/>
        </w:rPr>
      </w:pPr>
      <w:bookmarkStart w:id="2326" w:name="_Toc1801104478"/>
      <w:bookmarkStart w:id="2327" w:name="_Toc1841162521"/>
      <w:bookmarkStart w:id="2328" w:name="_Toc538064727"/>
      <w:bookmarkStart w:id="2329" w:name="_Toc841627397"/>
      <w:bookmarkStart w:id="2330" w:name="_Toc5832"/>
      <w:bookmarkStart w:id="2331" w:name="_Toc1847221256"/>
      <w:bookmarkStart w:id="2332" w:name="_Toc2101768950"/>
      <w:r>
        <w:rPr>
          <w:rStyle w:val="37"/>
          <w:rFonts w:hint="eastAsia" w:ascii="宋体" w:hAnsi="宋体" w:cs="宋体"/>
          <w:b w:val="0"/>
          <w:bCs w:val="0"/>
          <w:color w:val="auto"/>
          <w:sz w:val="21"/>
          <w:szCs w:val="21"/>
          <w:highlight w:val="none"/>
        </w:rPr>
        <w:br w:type="page"/>
      </w:r>
      <w:bookmarkStart w:id="2333" w:name="_Toc75665990"/>
      <w:bookmarkStart w:id="2334" w:name="_Toc747666142"/>
      <w:bookmarkStart w:id="2335" w:name="_Toc1230044167"/>
      <w:r>
        <w:rPr>
          <w:rStyle w:val="37"/>
          <w:rFonts w:hint="eastAsia" w:ascii="宋体" w:hAnsi="宋体" w:cs="宋体"/>
          <w:b w:val="0"/>
          <w:bCs w:val="0"/>
          <w:color w:val="auto"/>
          <w:sz w:val="21"/>
          <w:szCs w:val="21"/>
          <w:highlight w:val="none"/>
        </w:rPr>
        <w:t>附件</w:t>
      </w:r>
      <w:r>
        <w:rPr>
          <w:rStyle w:val="37"/>
          <w:rFonts w:hint="eastAsia" w:ascii="宋体" w:hAnsi="宋体" w:eastAsia="宋体" w:cs="宋体"/>
          <w:b w:val="0"/>
          <w:bCs w:val="0"/>
          <w:color w:val="auto"/>
          <w:sz w:val="21"/>
          <w:szCs w:val="21"/>
          <w:highlight w:val="none"/>
          <w:lang w:eastAsia="zh-CN"/>
        </w:rPr>
        <w:t>一</w:t>
      </w:r>
      <w:r>
        <w:rPr>
          <w:rStyle w:val="37"/>
          <w:rFonts w:hint="eastAsia" w:ascii="宋体" w:hAnsi="宋体" w:cs="宋体"/>
          <w:b w:val="0"/>
          <w:bCs w:val="0"/>
          <w:color w:val="auto"/>
          <w:sz w:val="21"/>
          <w:szCs w:val="21"/>
          <w:highlight w:val="none"/>
        </w:rPr>
        <w:t>：</w:t>
      </w:r>
      <w:r>
        <w:rPr>
          <w:rStyle w:val="37"/>
          <w:rFonts w:hint="eastAsia" w:ascii="宋体" w:hAnsi="宋体" w:eastAsia="宋体" w:cs="宋体"/>
          <w:b w:val="0"/>
          <w:bCs w:val="0"/>
          <w:color w:val="auto"/>
          <w:sz w:val="21"/>
          <w:szCs w:val="21"/>
          <w:highlight w:val="none"/>
          <w:lang w:eastAsia="zh-CN"/>
        </w:rPr>
        <w:t>技术标详细评审标准</w:t>
      </w:r>
      <w:r>
        <w:rPr>
          <w:rStyle w:val="37"/>
          <w:rFonts w:hint="eastAsia" w:ascii="宋体" w:hAnsi="宋体" w:eastAsia="宋体" w:cs="宋体"/>
          <w:b w:val="0"/>
          <w:bCs w:val="0"/>
          <w:color w:val="auto"/>
          <w:sz w:val="21"/>
          <w:szCs w:val="21"/>
          <w:highlight w:val="none"/>
          <w:lang w:val="en-US" w:eastAsia="zh-CN"/>
        </w:rPr>
        <w:t>（适用于采用定性评审的项目）</w:t>
      </w:r>
      <w:bookmarkEnd w:id="2326"/>
      <w:bookmarkEnd w:id="2327"/>
      <w:bookmarkEnd w:id="2328"/>
      <w:bookmarkEnd w:id="2329"/>
      <w:bookmarkEnd w:id="2330"/>
      <w:bookmarkEnd w:id="2331"/>
      <w:bookmarkEnd w:id="2332"/>
      <w:bookmarkEnd w:id="2333"/>
      <w:bookmarkEnd w:id="2334"/>
      <w:bookmarkEnd w:id="2335"/>
    </w:p>
    <w:p w14:paraId="1ABF100A">
      <w:pPr>
        <w:pStyle w:val="8"/>
        <w:jc w:val="center"/>
        <w:rPr>
          <w:rFonts w:hint="eastAsia"/>
          <w:b/>
          <w:bCs/>
          <w:color w:val="auto"/>
          <w:highlight w:val="none"/>
          <w:lang w:eastAsia="zh-CN"/>
        </w:rPr>
      </w:pPr>
      <w:r>
        <w:rPr>
          <w:rFonts w:hint="eastAsia" w:ascii="Verdana" w:hAnsi="Verdana"/>
          <w:b/>
          <w:bCs/>
          <w:color w:val="auto"/>
          <w:kern w:val="0"/>
          <w:sz w:val="28"/>
          <w:szCs w:val="28"/>
          <w:highlight w:val="none"/>
          <w:lang w:eastAsia="zh-CN"/>
        </w:rPr>
        <w:t>技术标详细评审标准</w:t>
      </w:r>
    </w:p>
    <w:p w14:paraId="02C7CB93">
      <w:pPr>
        <w:rPr>
          <w:rFonts w:hint="default"/>
          <w:color w:val="auto"/>
          <w:highlight w:val="none"/>
          <w:lang w:val="en-US" w:eastAsia="zh-CN"/>
        </w:rPr>
      </w:pPr>
    </w:p>
    <w:tbl>
      <w:tblPr>
        <w:tblStyle w:val="26"/>
        <w:tblW w:w="946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21"/>
        <w:gridCol w:w="3891"/>
        <w:gridCol w:w="1434"/>
        <w:gridCol w:w="1939"/>
      </w:tblGrid>
      <w:tr w14:paraId="05669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208DC975">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kern w:val="2"/>
                <w:sz w:val="21"/>
                <w:szCs w:val="24"/>
                <w:highlight w:val="none"/>
                <w:lang w:val="en-US" w:eastAsia="zh-CN" w:bidi="ar-SA"/>
              </w:rPr>
            </w:pPr>
            <w:permStart w:id="159" w:edGrp="everyone"/>
            <w:r>
              <w:rPr>
                <w:rFonts w:hint="eastAsia" w:ascii="宋体" w:hAnsi="宋体" w:eastAsia="宋体" w:cs="宋体"/>
                <w:b/>
                <w:color w:val="auto"/>
                <w:szCs w:val="21"/>
                <w:highlight w:val="none"/>
                <w:lang w:eastAsia="zh-CN"/>
              </w:rPr>
              <w:t>序号</w:t>
            </w:r>
          </w:p>
        </w:tc>
        <w:tc>
          <w:tcPr>
            <w:tcW w:w="1521" w:type="dxa"/>
            <w:noWrap w:val="0"/>
            <w:vAlign w:val="center"/>
          </w:tcPr>
          <w:p w14:paraId="5D9BD467">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lang w:eastAsia="zh-CN"/>
              </w:rPr>
              <w:t>评审项目</w:t>
            </w:r>
          </w:p>
        </w:tc>
        <w:tc>
          <w:tcPr>
            <w:tcW w:w="3891" w:type="dxa"/>
            <w:noWrap w:val="0"/>
            <w:vAlign w:val="center"/>
          </w:tcPr>
          <w:p w14:paraId="2E1C0264">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kern w:val="2"/>
                <w:sz w:val="21"/>
                <w:szCs w:val="24"/>
                <w:highlight w:val="none"/>
                <w:lang w:val="en-US" w:eastAsia="zh-CN" w:bidi="ar-SA"/>
              </w:rPr>
            </w:pPr>
            <w:r>
              <w:rPr>
                <w:rFonts w:hint="eastAsia" w:ascii="宋体" w:hAnsi="宋体" w:eastAsia="宋体" w:cs="宋体"/>
                <w:b/>
                <w:color w:val="auto"/>
                <w:szCs w:val="21"/>
                <w:highlight w:val="none"/>
                <w:lang w:eastAsia="zh-CN"/>
              </w:rPr>
              <w:t>评审内容</w:t>
            </w:r>
          </w:p>
        </w:tc>
        <w:tc>
          <w:tcPr>
            <w:tcW w:w="1434" w:type="dxa"/>
            <w:noWrap w:val="0"/>
            <w:vAlign w:val="center"/>
          </w:tcPr>
          <w:p w14:paraId="3EF492FF">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kern w:val="2"/>
                <w:sz w:val="21"/>
                <w:szCs w:val="24"/>
                <w:highlight w:val="none"/>
                <w:lang w:val="en-US" w:eastAsia="zh-CN" w:bidi="ar-SA"/>
              </w:rPr>
            </w:pPr>
            <w:r>
              <w:rPr>
                <w:rFonts w:hint="eastAsia" w:ascii="宋体" w:hAnsi="宋体" w:eastAsia="宋体" w:cs="宋体"/>
                <w:b/>
                <w:color w:val="auto"/>
                <w:kern w:val="2"/>
                <w:sz w:val="21"/>
                <w:szCs w:val="24"/>
                <w:highlight w:val="none"/>
                <w:lang w:val="en-US" w:eastAsia="zh-CN" w:bidi="ar-SA"/>
              </w:rPr>
              <w:t>优点</w:t>
            </w:r>
          </w:p>
        </w:tc>
        <w:tc>
          <w:tcPr>
            <w:tcW w:w="1939" w:type="dxa"/>
            <w:noWrap w:val="0"/>
            <w:vAlign w:val="center"/>
          </w:tcPr>
          <w:p w14:paraId="2F59726D">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lang w:eastAsia="zh-CN"/>
              </w:rPr>
              <w:t>存在缺陷或签订合同前应注意和澄清的事项</w:t>
            </w:r>
          </w:p>
        </w:tc>
      </w:tr>
      <w:tr w14:paraId="3466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792D668B">
            <w:pPr>
              <w:pageBreakBefore w:val="0"/>
              <w:kinsoku/>
              <w:wordWrap/>
              <w:overflowPunct/>
              <w:topLinePunct w:val="0"/>
              <w:autoSpaceDE/>
              <w:autoSpaceDN/>
              <w:bidi w:val="0"/>
              <w:adjustRightInd/>
              <w:spacing w:line="360" w:lineRule="auto"/>
              <w:jc w:val="center"/>
              <w:textAlignment w:val="auto"/>
              <w:rPr>
                <w:rFonts w:hint="default"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4"/>
                <w:highlight w:val="none"/>
                <w:lang w:val="en-US" w:eastAsia="zh-CN" w:bidi="ar-SA"/>
              </w:rPr>
              <w:t>1</w:t>
            </w:r>
          </w:p>
        </w:tc>
        <w:tc>
          <w:tcPr>
            <w:tcW w:w="1521" w:type="dxa"/>
            <w:noWrap w:val="0"/>
            <w:vAlign w:val="center"/>
          </w:tcPr>
          <w:p w14:paraId="775E5848">
            <w:pPr>
              <w:pStyle w:val="76"/>
              <w:spacing w:line="254" w:lineRule="auto"/>
              <w:ind w:left="14" w:leftChars="0" w:right="-29" w:rightChars="0"/>
              <w:jc w:val="left"/>
              <w:rPr>
                <w:rFonts w:hint="eastAsia" w:ascii="宋体" w:hAnsi="宋体" w:eastAsia="宋体" w:cs="宋体"/>
                <w:b/>
                <w:color w:val="auto"/>
                <w:szCs w:val="21"/>
                <w:highlight w:val="none"/>
                <w:lang w:eastAsia="zh-CN"/>
              </w:rPr>
            </w:pPr>
            <w:r>
              <w:rPr>
                <w:rFonts w:hint="eastAsia"/>
                <w:color w:val="auto"/>
                <w:sz w:val="21"/>
                <w:szCs w:val="21"/>
                <w:highlight w:val="none"/>
                <w:lang w:eastAsia="en-US"/>
              </w:rPr>
              <w:t>组织机构</w:t>
            </w:r>
          </w:p>
        </w:tc>
        <w:tc>
          <w:tcPr>
            <w:tcW w:w="3891" w:type="dxa"/>
            <w:noWrap w:val="0"/>
            <w:vAlign w:val="center"/>
          </w:tcPr>
          <w:p w14:paraId="3B3D9321">
            <w:pPr>
              <w:autoSpaceDE w:val="0"/>
              <w:autoSpaceDN w:val="0"/>
              <w:ind w:left="42" w:leftChars="20" w:right="42" w:rightChars="20"/>
              <w:jc w:val="left"/>
              <w:rPr>
                <w:rFonts w:hint="eastAsia" w:ascii="宋体" w:hAnsi="宋体" w:eastAsia="宋体" w:cs="宋体"/>
                <w:b/>
                <w:color w:val="auto"/>
                <w:szCs w:val="21"/>
                <w:highlight w:val="none"/>
                <w:lang w:eastAsia="zh-CN"/>
              </w:rPr>
            </w:pPr>
            <w:r>
              <w:rPr>
                <w:rFonts w:hint="eastAsia" w:ascii="宋体" w:hAnsi="宋体" w:cs="宋体"/>
                <w:color w:val="auto"/>
                <w:szCs w:val="21"/>
                <w:highlight w:val="none"/>
              </w:rPr>
              <w:t>组织机构形式合理可行</w:t>
            </w:r>
          </w:p>
        </w:tc>
        <w:tc>
          <w:tcPr>
            <w:tcW w:w="1434" w:type="dxa"/>
            <w:noWrap w:val="0"/>
            <w:vAlign w:val="center"/>
          </w:tcPr>
          <w:p w14:paraId="438F30E4">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b/>
                <w:color w:val="auto"/>
                <w:kern w:val="2"/>
                <w:sz w:val="21"/>
                <w:szCs w:val="24"/>
                <w:highlight w:val="none"/>
                <w:lang w:val="en-US" w:eastAsia="zh-CN" w:bidi="ar-SA"/>
              </w:rPr>
            </w:pPr>
          </w:p>
        </w:tc>
        <w:tc>
          <w:tcPr>
            <w:tcW w:w="1939" w:type="dxa"/>
            <w:noWrap w:val="0"/>
            <w:vAlign w:val="center"/>
          </w:tcPr>
          <w:p w14:paraId="6FFBAD60">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b/>
                <w:color w:val="auto"/>
                <w:szCs w:val="21"/>
                <w:highlight w:val="none"/>
                <w:lang w:eastAsia="zh-CN"/>
              </w:rPr>
            </w:pPr>
          </w:p>
        </w:tc>
      </w:tr>
      <w:tr w14:paraId="3EE9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75763A65">
            <w:pPr>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4"/>
                <w:highlight w:val="none"/>
                <w:lang w:val="en-US" w:eastAsia="zh-CN" w:bidi="ar-SA"/>
              </w:rPr>
              <w:t>2</w:t>
            </w:r>
          </w:p>
        </w:tc>
        <w:tc>
          <w:tcPr>
            <w:tcW w:w="1521" w:type="dxa"/>
            <w:noWrap w:val="0"/>
            <w:vAlign w:val="center"/>
          </w:tcPr>
          <w:p w14:paraId="2511EF09">
            <w:pPr>
              <w:pStyle w:val="76"/>
              <w:spacing w:before="148"/>
              <w:ind w:left="14" w:leftChars="0"/>
              <w:jc w:val="left"/>
              <w:rPr>
                <w:rFonts w:hint="eastAsia" w:ascii="宋体" w:hAnsi="宋体" w:eastAsia="宋体" w:cs="宋体"/>
                <w:color w:val="auto"/>
                <w:highlight w:val="none"/>
                <w:lang w:eastAsia="zh-CN"/>
              </w:rPr>
            </w:pPr>
            <w:r>
              <w:rPr>
                <w:rFonts w:hint="eastAsia"/>
                <w:color w:val="auto"/>
                <w:sz w:val="21"/>
                <w:szCs w:val="21"/>
                <w:highlight w:val="none"/>
                <w:lang w:eastAsia="en-US"/>
              </w:rPr>
              <w:t>施工方案</w:t>
            </w:r>
          </w:p>
        </w:tc>
        <w:tc>
          <w:tcPr>
            <w:tcW w:w="3891" w:type="dxa"/>
            <w:noWrap w:val="0"/>
            <w:vAlign w:val="center"/>
          </w:tcPr>
          <w:p w14:paraId="5CAA41FA">
            <w:pPr>
              <w:autoSpaceDE w:val="0"/>
              <w:autoSpaceDN w:val="0"/>
              <w:ind w:left="42" w:leftChars="20" w:right="42" w:rightChars="2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施工方案，针对项目特点，特别是项目总体安排、施工组织、工期计划等技术方案科学、合理可行</w:t>
            </w:r>
          </w:p>
        </w:tc>
        <w:tc>
          <w:tcPr>
            <w:tcW w:w="1434" w:type="dxa"/>
            <w:noWrap w:val="0"/>
            <w:vAlign w:val="center"/>
          </w:tcPr>
          <w:p w14:paraId="2A93681A">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1"/>
                <w:szCs w:val="21"/>
                <w:highlight w:val="none"/>
                <w:lang w:val="en-US" w:eastAsia="zh-CN" w:bidi="ar-SA"/>
              </w:rPr>
            </w:pPr>
          </w:p>
        </w:tc>
        <w:tc>
          <w:tcPr>
            <w:tcW w:w="1939" w:type="dxa"/>
            <w:noWrap w:val="0"/>
            <w:vAlign w:val="center"/>
          </w:tcPr>
          <w:p w14:paraId="2B20175F">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szCs w:val="21"/>
                <w:highlight w:val="none"/>
                <w:lang w:eastAsia="zh-CN"/>
              </w:rPr>
            </w:pPr>
          </w:p>
        </w:tc>
      </w:tr>
      <w:tr w14:paraId="156C5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1FB2888C">
            <w:pPr>
              <w:pageBreakBefore w:val="0"/>
              <w:kinsoku/>
              <w:wordWrap/>
              <w:overflowPunct/>
              <w:topLinePunct w:val="0"/>
              <w:autoSpaceDE/>
              <w:autoSpaceDN/>
              <w:bidi w:val="0"/>
              <w:adjustRightInd/>
              <w:spacing w:line="360" w:lineRule="auto"/>
              <w:jc w:val="center"/>
              <w:textAlignment w:val="auto"/>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3</w:t>
            </w:r>
          </w:p>
        </w:tc>
        <w:tc>
          <w:tcPr>
            <w:tcW w:w="1521" w:type="dxa"/>
            <w:noWrap w:val="0"/>
            <w:vAlign w:val="center"/>
          </w:tcPr>
          <w:p w14:paraId="29BD3A8E">
            <w:pPr>
              <w:pStyle w:val="76"/>
              <w:spacing w:before="148"/>
              <w:ind w:left="14" w:leftChars="0"/>
              <w:jc w:val="left"/>
              <w:rPr>
                <w:rFonts w:hint="eastAsia" w:ascii="宋体" w:hAnsi="宋体" w:eastAsia="宋体" w:cs="宋体"/>
                <w:color w:val="auto"/>
                <w:highlight w:val="none"/>
                <w:lang w:eastAsia="zh-CN"/>
              </w:rPr>
            </w:pPr>
            <w:r>
              <w:rPr>
                <w:rFonts w:hint="eastAsia"/>
                <w:color w:val="auto"/>
                <w:sz w:val="21"/>
                <w:szCs w:val="21"/>
                <w:highlight w:val="none"/>
              </w:rPr>
              <w:t>施工进度计划和各阶段进度的保证措施</w:t>
            </w:r>
          </w:p>
        </w:tc>
        <w:tc>
          <w:tcPr>
            <w:tcW w:w="3891" w:type="dxa"/>
            <w:noWrap w:val="0"/>
            <w:vAlign w:val="center"/>
          </w:tcPr>
          <w:p w14:paraId="23075A8C">
            <w:pPr>
              <w:autoSpaceDE w:val="0"/>
              <w:autoSpaceDN w:val="0"/>
              <w:ind w:left="42" w:leftChars="20" w:right="42" w:rightChars="20"/>
              <w:jc w:val="left"/>
              <w:rPr>
                <w:rFonts w:hint="eastAsia" w:ascii="宋体" w:hAnsi="宋体" w:eastAsia="宋体" w:cs="宋体"/>
                <w:color w:val="auto"/>
                <w:szCs w:val="21"/>
                <w:highlight w:val="none"/>
                <w:u w:val="none"/>
                <w:lang w:eastAsia="zh-CN"/>
              </w:rPr>
            </w:pPr>
            <w:r>
              <w:rPr>
                <w:rFonts w:hint="eastAsia" w:ascii="宋体" w:hAnsi="宋体" w:eastAsia="宋体" w:cs="宋体"/>
                <w:color w:val="auto"/>
                <w:szCs w:val="21"/>
                <w:highlight w:val="none"/>
              </w:rPr>
              <w:t>计划编制合理，满足招标文件对工期的要求，各阶段进度的保证措施可行</w:t>
            </w:r>
          </w:p>
        </w:tc>
        <w:tc>
          <w:tcPr>
            <w:tcW w:w="1434" w:type="dxa"/>
            <w:noWrap w:val="0"/>
            <w:vAlign w:val="center"/>
          </w:tcPr>
          <w:p w14:paraId="362ECFA9">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1"/>
                <w:szCs w:val="21"/>
                <w:highlight w:val="none"/>
                <w:lang w:val="en-US" w:eastAsia="zh-CN" w:bidi="ar-SA"/>
              </w:rPr>
            </w:pPr>
          </w:p>
        </w:tc>
        <w:tc>
          <w:tcPr>
            <w:tcW w:w="1939" w:type="dxa"/>
            <w:noWrap w:val="0"/>
            <w:vAlign w:val="center"/>
          </w:tcPr>
          <w:p w14:paraId="44DC8AC6">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szCs w:val="21"/>
                <w:highlight w:val="none"/>
                <w:lang w:eastAsia="zh-CN"/>
              </w:rPr>
            </w:pPr>
          </w:p>
        </w:tc>
      </w:tr>
      <w:tr w14:paraId="08E62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4961F7B5">
            <w:pPr>
              <w:pageBreakBefore w:val="0"/>
              <w:kinsoku/>
              <w:wordWrap/>
              <w:overflowPunct/>
              <w:topLinePunct w:val="0"/>
              <w:autoSpaceDE/>
              <w:autoSpaceDN/>
              <w:bidi w:val="0"/>
              <w:adjustRightInd/>
              <w:spacing w:line="360" w:lineRule="auto"/>
              <w:jc w:val="center"/>
              <w:textAlignment w:val="auto"/>
              <w:rPr>
                <w:rFonts w:hint="default"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4"/>
                <w:highlight w:val="none"/>
                <w:lang w:val="en-US" w:eastAsia="zh-CN" w:bidi="ar-SA"/>
              </w:rPr>
              <w:t>4</w:t>
            </w:r>
          </w:p>
        </w:tc>
        <w:tc>
          <w:tcPr>
            <w:tcW w:w="1521" w:type="dxa"/>
            <w:noWrap w:val="0"/>
            <w:vAlign w:val="center"/>
          </w:tcPr>
          <w:p w14:paraId="26604EDB">
            <w:pPr>
              <w:pStyle w:val="76"/>
              <w:spacing w:before="34"/>
              <w:ind w:left="14" w:leftChars="0"/>
              <w:jc w:val="left"/>
              <w:rPr>
                <w:rFonts w:hint="eastAsia" w:ascii="宋体" w:hAnsi="宋体" w:eastAsia="宋体" w:cs="宋体"/>
                <w:color w:val="auto"/>
                <w:highlight w:val="none"/>
                <w:lang w:eastAsia="zh-CN"/>
              </w:rPr>
            </w:pPr>
            <w:r>
              <w:rPr>
                <w:rFonts w:hint="eastAsia"/>
                <w:color w:val="auto"/>
                <w:kern w:val="2"/>
                <w:sz w:val="21"/>
                <w:szCs w:val="21"/>
                <w:highlight w:val="none"/>
              </w:rPr>
              <w:t>机械设备、劳动力投入计划</w:t>
            </w:r>
          </w:p>
        </w:tc>
        <w:tc>
          <w:tcPr>
            <w:tcW w:w="3891" w:type="dxa"/>
            <w:noWrap w:val="0"/>
            <w:vAlign w:val="center"/>
          </w:tcPr>
          <w:p w14:paraId="4ABF4B75">
            <w:pPr>
              <w:autoSpaceDE w:val="0"/>
              <w:autoSpaceDN w:val="0"/>
              <w:ind w:left="42" w:leftChars="20" w:right="42" w:rightChars="20"/>
              <w:jc w:val="left"/>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机械设备、劳动力投入计划可行</w:t>
            </w:r>
          </w:p>
        </w:tc>
        <w:tc>
          <w:tcPr>
            <w:tcW w:w="1434" w:type="dxa"/>
            <w:noWrap w:val="0"/>
            <w:vAlign w:val="center"/>
          </w:tcPr>
          <w:p w14:paraId="7CCC5A01">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1"/>
                <w:szCs w:val="21"/>
                <w:highlight w:val="none"/>
                <w:lang w:val="en-US" w:eastAsia="zh-CN" w:bidi="ar-SA"/>
              </w:rPr>
            </w:pPr>
          </w:p>
        </w:tc>
        <w:tc>
          <w:tcPr>
            <w:tcW w:w="1939" w:type="dxa"/>
            <w:noWrap w:val="0"/>
            <w:vAlign w:val="center"/>
          </w:tcPr>
          <w:p w14:paraId="595BBDC8">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szCs w:val="21"/>
                <w:highlight w:val="none"/>
              </w:rPr>
            </w:pPr>
          </w:p>
        </w:tc>
      </w:tr>
      <w:tr w14:paraId="465D7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449F73D8">
            <w:pPr>
              <w:pageBreakBefore w:val="0"/>
              <w:kinsoku/>
              <w:wordWrap/>
              <w:overflowPunct/>
              <w:topLinePunct w:val="0"/>
              <w:autoSpaceDE/>
              <w:autoSpaceDN/>
              <w:bidi w:val="0"/>
              <w:adjustRightInd/>
              <w:spacing w:line="360" w:lineRule="auto"/>
              <w:jc w:val="center"/>
              <w:textAlignment w:val="auto"/>
              <w:rPr>
                <w:rFonts w:hint="default"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4"/>
                <w:highlight w:val="none"/>
                <w:lang w:val="en-US" w:eastAsia="zh-CN" w:bidi="ar-SA"/>
              </w:rPr>
              <w:t>5</w:t>
            </w:r>
          </w:p>
        </w:tc>
        <w:tc>
          <w:tcPr>
            <w:tcW w:w="1521" w:type="dxa"/>
            <w:noWrap w:val="0"/>
            <w:vAlign w:val="center"/>
          </w:tcPr>
          <w:p w14:paraId="4E700A67">
            <w:pPr>
              <w:pStyle w:val="76"/>
              <w:spacing w:before="149"/>
              <w:ind w:left="14" w:leftChars="0"/>
              <w:jc w:val="left"/>
              <w:rPr>
                <w:rFonts w:hint="eastAsia" w:ascii="宋体" w:hAnsi="宋体" w:eastAsia="宋体" w:cs="宋体"/>
                <w:color w:val="auto"/>
                <w:highlight w:val="none"/>
                <w:lang w:eastAsia="zh-CN"/>
              </w:rPr>
            </w:pPr>
            <w:r>
              <w:rPr>
                <w:rFonts w:hint="eastAsia"/>
                <w:color w:val="auto"/>
                <w:sz w:val="21"/>
                <w:szCs w:val="21"/>
                <w:highlight w:val="none"/>
              </w:rPr>
              <w:t>施工平面布置和临时设施布置</w:t>
            </w:r>
          </w:p>
        </w:tc>
        <w:tc>
          <w:tcPr>
            <w:tcW w:w="3891" w:type="dxa"/>
            <w:noWrap w:val="0"/>
            <w:vAlign w:val="center"/>
          </w:tcPr>
          <w:p w14:paraId="0996B6A8">
            <w:pPr>
              <w:autoSpaceDE w:val="0"/>
              <w:autoSpaceDN w:val="0"/>
              <w:ind w:left="42" w:leftChars="20" w:right="42" w:rightChars="2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总体布置合理，满足施工需要，各个施工关键节点计划合理，安排有序</w:t>
            </w:r>
          </w:p>
        </w:tc>
        <w:tc>
          <w:tcPr>
            <w:tcW w:w="1434" w:type="dxa"/>
            <w:noWrap w:val="0"/>
            <w:vAlign w:val="center"/>
          </w:tcPr>
          <w:p w14:paraId="717EC905">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1"/>
                <w:szCs w:val="21"/>
                <w:highlight w:val="none"/>
                <w:lang w:val="en-US" w:eastAsia="zh-CN" w:bidi="ar-SA"/>
              </w:rPr>
            </w:pPr>
          </w:p>
        </w:tc>
        <w:tc>
          <w:tcPr>
            <w:tcW w:w="1939" w:type="dxa"/>
            <w:noWrap w:val="0"/>
            <w:vAlign w:val="center"/>
          </w:tcPr>
          <w:p w14:paraId="29FEB691">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szCs w:val="21"/>
                <w:highlight w:val="none"/>
              </w:rPr>
            </w:pPr>
          </w:p>
        </w:tc>
      </w:tr>
      <w:tr w14:paraId="492FD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24236677">
            <w:pPr>
              <w:pageBreakBefore w:val="0"/>
              <w:kinsoku/>
              <w:wordWrap/>
              <w:overflowPunct/>
              <w:topLinePunct w:val="0"/>
              <w:autoSpaceDE/>
              <w:autoSpaceDN/>
              <w:bidi w:val="0"/>
              <w:adjustRightInd/>
              <w:spacing w:line="360" w:lineRule="auto"/>
              <w:jc w:val="center"/>
              <w:textAlignment w:val="auto"/>
              <w:rPr>
                <w:rFonts w:hint="default"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4"/>
                <w:highlight w:val="none"/>
                <w:lang w:val="en-US" w:eastAsia="zh-CN" w:bidi="ar-SA"/>
              </w:rPr>
              <w:t>6</w:t>
            </w:r>
          </w:p>
        </w:tc>
        <w:tc>
          <w:tcPr>
            <w:tcW w:w="1521" w:type="dxa"/>
            <w:noWrap w:val="0"/>
            <w:vAlign w:val="center"/>
          </w:tcPr>
          <w:p w14:paraId="7AF29EA5">
            <w:pPr>
              <w:pStyle w:val="76"/>
              <w:spacing w:before="149"/>
              <w:ind w:left="14" w:leftChars="0"/>
              <w:jc w:val="left"/>
              <w:rPr>
                <w:rFonts w:hint="eastAsia" w:ascii="宋体" w:hAnsi="宋体" w:eastAsia="宋体" w:cs="宋体"/>
                <w:color w:val="auto"/>
                <w:highlight w:val="none"/>
                <w:lang w:eastAsia="zh-CN"/>
              </w:rPr>
            </w:pPr>
            <w:r>
              <w:rPr>
                <w:rFonts w:hint="eastAsia"/>
                <w:color w:val="auto"/>
                <w:sz w:val="21"/>
                <w:szCs w:val="21"/>
                <w:highlight w:val="none"/>
              </w:rPr>
              <w:t>安全、文明施工、环保措施</w:t>
            </w:r>
          </w:p>
        </w:tc>
        <w:tc>
          <w:tcPr>
            <w:tcW w:w="3891" w:type="dxa"/>
            <w:noWrap w:val="0"/>
            <w:vAlign w:val="center"/>
          </w:tcPr>
          <w:p w14:paraId="1DDF08D5">
            <w:pPr>
              <w:autoSpaceDE w:val="0"/>
              <w:autoSpaceDN w:val="0"/>
              <w:ind w:left="42" w:leftChars="20" w:right="42" w:rightChars="20"/>
              <w:jc w:val="left"/>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安全、文明施工、环保措施可行</w:t>
            </w:r>
          </w:p>
        </w:tc>
        <w:tc>
          <w:tcPr>
            <w:tcW w:w="1434" w:type="dxa"/>
            <w:noWrap w:val="0"/>
            <w:vAlign w:val="center"/>
          </w:tcPr>
          <w:p w14:paraId="47078221">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1"/>
                <w:szCs w:val="21"/>
                <w:highlight w:val="none"/>
                <w:lang w:val="en-US" w:eastAsia="zh-CN" w:bidi="ar-SA"/>
              </w:rPr>
            </w:pPr>
          </w:p>
        </w:tc>
        <w:tc>
          <w:tcPr>
            <w:tcW w:w="1939" w:type="dxa"/>
            <w:noWrap w:val="0"/>
            <w:vAlign w:val="center"/>
          </w:tcPr>
          <w:p w14:paraId="6B3E3871">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szCs w:val="21"/>
                <w:highlight w:val="none"/>
              </w:rPr>
            </w:pPr>
          </w:p>
        </w:tc>
      </w:tr>
      <w:tr w14:paraId="23BFA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494DCB12">
            <w:pPr>
              <w:pageBreakBefore w:val="0"/>
              <w:kinsoku/>
              <w:wordWrap/>
              <w:overflowPunct/>
              <w:topLinePunct w:val="0"/>
              <w:autoSpaceDE/>
              <w:autoSpaceDN/>
              <w:bidi w:val="0"/>
              <w:adjustRightInd/>
              <w:spacing w:line="360" w:lineRule="auto"/>
              <w:jc w:val="center"/>
              <w:textAlignment w:val="auto"/>
              <w:rPr>
                <w:rFonts w:hint="default"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4"/>
                <w:highlight w:val="none"/>
                <w:lang w:val="en-US" w:eastAsia="zh-CN" w:bidi="ar-SA"/>
              </w:rPr>
              <w:t>7</w:t>
            </w:r>
          </w:p>
        </w:tc>
        <w:tc>
          <w:tcPr>
            <w:tcW w:w="1521" w:type="dxa"/>
            <w:noWrap w:val="0"/>
            <w:vAlign w:val="center"/>
          </w:tcPr>
          <w:p w14:paraId="2B20822D">
            <w:pPr>
              <w:pStyle w:val="76"/>
              <w:spacing w:before="149"/>
              <w:ind w:left="14" w:leftChars="0"/>
              <w:jc w:val="left"/>
              <w:rPr>
                <w:rFonts w:hint="eastAsia" w:ascii="宋体" w:hAnsi="宋体" w:eastAsia="宋体" w:cs="宋体"/>
                <w:color w:val="auto"/>
                <w:kern w:val="2"/>
                <w:sz w:val="21"/>
                <w:szCs w:val="24"/>
                <w:highlight w:val="none"/>
                <w:lang w:val="en-US" w:eastAsia="zh-CN" w:bidi="ar-SA"/>
              </w:rPr>
            </w:pPr>
            <w:r>
              <w:rPr>
                <w:rFonts w:hint="eastAsia"/>
                <w:color w:val="auto"/>
                <w:sz w:val="21"/>
                <w:szCs w:val="21"/>
                <w:highlight w:val="none"/>
                <w:lang w:eastAsia="en-US"/>
              </w:rPr>
              <w:t>质量保证措施</w:t>
            </w:r>
          </w:p>
        </w:tc>
        <w:tc>
          <w:tcPr>
            <w:tcW w:w="3891" w:type="dxa"/>
            <w:noWrap w:val="0"/>
            <w:vAlign w:val="center"/>
          </w:tcPr>
          <w:p w14:paraId="2CECB856">
            <w:pPr>
              <w:autoSpaceDE w:val="0"/>
              <w:autoSpaceDN w:val="0"/>
              <w:ind w:left="42" w:leftChars="20" w:right="42" w:rightChars="2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质量重难点分析；质量控制程序完善，质量保证体系健全，质量控制人员和资源配备合理；结合本项目特点对影响施工质量的因素分析到位，应对措施得当可行</w:t>
            </w:r>
          </w:p>
        </w:tc>
        <w:tc>
          <w:tcPr>
            <w:tcW w:w="1434" w:type="dxa"/>
            <w:noWrap w:val="0"/>
            <w:vAlign w:val="center"/>
          </w:tcPr>
          <w:p w14:paraId="7B6DDA47">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kern w:val="2"/>
                <w:sz w:val="21"/>
                <w:szCs w:val="21"/>
                <w:highlight w:val="none"/>
                <w:lang w:val="en-US" w:eastAsia="zh-CN" w:bidi="ar-SA"/>
              </w:rPr>
            </w:pPr>
          </w:p>
        </w:tc>
        <w:tc>
          <w:tcPr>
            <w:tcW w:w="1939" w:type="dxa"/>
            <w:noWrap w:val="0"/>
            <w:vAlign w:val="center"/>
          </w:tcPr>
          <w:p w14:paraId="7EC1C1B0">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szCs w:val="21"/>
                <w:highlight w:val="none"/>
              </w:rPr>
            </w:pPr>
          </w:p>
        </w:tc>
      </w:tr>
      <w:tr w14:paraId="02F0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462" w:type="dxa"/>
            <w:gridSpan w:val="5"/>
            <w:noWrap w:val="0"/>
            <w:vAlign w:val="center"/>
          </w:tcPr>
          <w:p w14:paraId="7A280566">
            <w:pPr>
              <w:pStyle w:val="76"/>
              <w:tabs>
                <w:tab w:val="left" w:pos="2534"/>
              </w:tabs>
              <w:spacing w:before="34" w:line="360" w:lineRule="auto"/>
              <w:ind w:left="14" w:right="5385"/>
              <w:jc w:val="both"/>
              <w:rPr>
                <w:rFonts w:hint="eastAsia" w:ascii="宋体" w:hAnsi="宋体" w:eastAsia="宋体" w:cs="宋体"/>
                <w:color w:val="auto"/>
                <w:spacing w:val="-15"/>
                <w:sz w:val="21"/>
                <w:szCs w:val="21"/>
              </w:rPr>
            </w:pPr>
            <w:r>
              <w:rPr>
                <w:rFonts w:hint="eastAsia" w:ascii="宋体" w:hAnsi="宋体" w:eastAsia="宋体" w:cs="宋体"/>
                <w:color w:val="auto"/>
                <w:sz w:val="21"/>
                <w:szCs w:val="21"/>
              </w:rPr>
              <w:t>综合评价等级：□合格    □不合</w:t>
            </w:r>
            <w:r>
              <w:rPr>
                <w:rFonts w:hint="eastAsia" w:ascii="宋体" w:hAnsi="宋体" w:eastAsia="宋体" w:cs="宋体"/>
                <w:color w:val="auto"/>
                <w:spacing w:val="-15"/>
                <w:sz w:val="21"/>
                <w:szCs w:val="21"/>
              </w:rPr>
              <w:t>格</w:t>
            </w:r>
          </w:p>
          <w:p w14:paraId="2194FCC5">
            <w:pPr>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color w:val="auto"/>
                <w:szCs w:val="21"/>
                <w:highlight w:val="none"/>
              </w:rPr>
            </w:pPr>
            <w:r>
              <w:rPr>
                <w:rFonts w:hint="eastAsia" w:ascii="宋体" w:hAnsi="宋体" w:eastAsia="宋体" w:cs="宋体"/>
                <w:color w:val="auto"/>
                <w:sz w:val="21"/>
                <w:szCs w:val="21"/>
              </w:rPr>
              <w:t>不合格原因：</w:t>
            </w:r>
          </w:p>
        </w:tc>
      </w:tr>
    </w:tbl>
    <w:p w14:paraId="7ED93F2E">
      <w:pPr>
        <w:tabs>
          <w:tab w:val="left" w:pos="4519"/>
          <w:tab w:val="left" w:pos="6408"/>
          <w:tab w:val="left" w:pos="7039"/>
          <w:tab w:val="left" w:pos="7668"/>
        </w:tabs>
        <w:spacing w:before="20"/>
        <w:rPr>
          <w:rFonts w:hint="eastAsia" w:ascii="宋体" w:hAnsi="宋体" w:cs="宋体"/>
          <w:color w:val="auto"/>
        </w:rPr>
      </w:pPr>
      <w:r>
        <w:rPr>
          <w:rFonts w:hint="eastAsia" w:ascii="宋体" w:hAnsi="宋体" w:eastAsia="宋体" w:cs="宋体"/>
          <w:color w:val="auto"/>
          <w:highlight w:val="none"/>
          <w:lang w:val="en-US" w:eastAsia="zh-CN"/>
        </w:rPr>
        <w:t xml:space="preserve"> </w:t>
      </w:r>
      <w:r>
        <w:rPr>
          <w:rFonts w:hint="eastAsia" w:ascii="宋体" w:hAnsi="宋体" w:eastAsia="宋体" w:cs="宋体"/>
          <w:color w:val="FF0000"/>
          <w:highlight w:val="none"/>
          <w:lang w:val="en-US" w:eastAsia="zh-CN"/>
        </w:rPr>
        <w:t xml:space="preserve"> </w:t>
      </w:r>
      <w:r>
        <w:rPr>
          <w:rFonts w:hint="eastAsia" w:ascii="宋体" w:hAnsi="宋体" w:cs="宋体"/>
          <w:color w:val="auto"/>
          <w:szCs w:val="21"/>
        </w:rPr>
        <w:t>评委成员</w:t>
      </w:r>
      <w:r>
        <w:rPr>
          <w:rFonts w:hint="eastAsia" w:ascii="宋体" w:hAnsi="宋体" w:cs="宋体"/>
          <w:color w:val="auto"/>
        </w:rPr>
        <w:t>：                                  评标日期：</w:t>
      </w:r>
      <w:r>
        <w:rPr>
          <w:rFonts w:hint="eastAsia" w:ascii="宋体" w:hAnsi="宋体" w:cs="宋体"/>
          <w:color w:val="auto"/>
          <w:lang w:val="en-US" w:eastAsia="zh-CN"/>
        </w:rPr>
        <w:t xml:space="preserve">        </w:t>
      </w:r>
      <w:r>
        <w:rPr>
          <w:rFonts w:hint="eastAsia" w:ascii="宋体" w:hAnsi="宋体" w:cs="宋体"/>
          <w:color w:val="auto"/>
        </w:rPr>
        <w:t>年    月    日</w:t>
      </w:r>
    </w:p>
    <w:p w14:paraId="072341F5">
      <w:pPr>
        <w:spacing w:before="29"/>
        <w:rPr>
          <w:rFonts w:hint="eastAsia" w:ascii="宋体" w:hAnsi="宋体" w:cs="宋体"/>
          <w:color w:val="auto"/>
        </w:rPr>
      </w:pPr>
      <w:r>
        <w:rPr>
          <w:rFonts w:hint="eastAsia" w:ascii="宋体" w:hAnsi="宋体" w:cs="宋体"/>
          <w:color w:val="auto"/>
        </w:rPr>
        <w:t>备注：</w:t>
      </w:r>
    </w:p>
    <w:p w14:paraId="1E2823FD">
      <w:pPr>
        <w:pStyle w:val="78"/>
        <w:tabs>
          <w:tab w:val="left" w:pos="1371"/>
        </w:tabs>
        <w:autoSpaceDE w:val="0"/>
        <w:autoSpaceDN w:val="0"/>
        <w:spacing w:before="47"/>
        <w:ind w:firstLine="0" w:firstLineChars="0"/>
        <w:rPr>
          <w:rFonts w:hint="eastAsia" w:ascii="宋体" w:hAnsi="宋体" w:cs="宋体"/>
          <w:color w:val="auto"/>
        </w:rPr>
      </w:pPr>
      <w:r>
        <w:rPr>
          <w:rFonts w:hint="eastAsia" w:ascii="宋体" w:hAnsi="宋体" w:cs="宋体"/>
          <w:color w:val="auto"/>
          <w:lang w:eastAsia="zh-CN"/>
        </w:rPr>
        <w:t>（</w:t>
      </w:r>
      <w:r>
        <w:rPr>
          <w:rFonts w:hint="eastAsia" w:ascii="宋体" w:hAnsi="宋体" w:cs="宋体"/>
          <w:color w:val="auto"/>
          <w:lang w:val="en-US" w:eastAsia="zh-CN"/>
        </w:rPr>
        <w:t>1</w:t>
      </w:r>
      <w:r>
        <w:rPr>
          <w:rFonts w:hint="eastAsia" w:ascii="宋体" w:hAnsi="宋体" w:cs="宋体"/>
          <w:color w:val="auto"/>
          <w:lang w:eastAsia="zh-CN"/>
        </w:rPr>
        <w:t>）</w:t>
      </w:r>
      <w:r>
        <w:rPr>
          <w:rFonts w:hint="eastAsia" w:ascii="宋体" w:hAnsi="宋体" w:cs="宋体"/>
          <w:color w:val="auto"/>
        </w:rPr>
        <w:t>本表适用于专家独立评审使用；</w:t>
      </w:r>
    </w:p>
    <w:p w14:paraId="64B82A4A">
      <w:pPr>
        <w:pStyle w:val="78"/>
        <w:tabs>
          <w:tab w:val="left" w:pos="1371"/>
        </w:tabs>
        <w:autoSpaceDE w:val="0"/>
        <w:autoSpaceDN w:val="0"/>
        <w:spacing w:before="43"/>
        <w:ind w:firstLine="0" w:firstLineChars="0"/>
        <w:rPr>
          <w:rFonts w:hint="eastAsia" w:ascii="宋体" w:hAnsi="宋体" w:cs="宋体"/>
          <w:color w:val="auto"/>
        </w:rPr>
      </w:pPr>
      <w:r>
        <w:rPr>
          <w:rFonts w:hint="eastAsia" w:ascii="宋体" w:hAnsi="宋体" w:cs="宋体"/>
          <w:color w:val="auto"/>
          <w:lang w:eastAsia="zh-CN"/>
        </w:rPr>
        <w:t>（</w:t>
      </w:r>
      <w:r>
        <w:rPr>
          <w:rFonts w:hint="eastAsia" w:ascii="宋体" w:hAnsi="宋体" w:cs="宋体"/>
          <w:color w:val="auto"/>
          <w:lang w:val="en-US" w:eastAsia="zh-CN"/>
        </w:rPr>
        <w:t>2</w:t>
      </w:r>
      <w:r>
        <w:rPr>
          <w:rFonts w:hint="eastAsia" w:ascii="宋体" w:hAnsi="宋体" w:cs="宋体"/>
          <w:color w:val="auto"/>
          <w:lang w:eastAsia="zh-CN"/>
        </w:rPr>
        <w:t>）</w:t>
      </w:r>
      <w:r>
        <w:rPr>
          <w:rFonts w:hint="eastAsia" w:ascii="宋体" w:hAnsi="宋体" w:cs="宋体"/>
          <w:color w:val="auto"/>
        </w:rPr>
        <w:t>专家可指出各评审项的优点、存在缺陷或签订合同前应注意和澄清事项；</w:t>
      </w:r>
    </w:p>
    <w:p w14:paraId="042E7841">
      <w:pPr>
        <w:spacing w:line="360" w:lineRule="auto"/>
        <w:ind w:firstLine="420" w:firstLineChars="200"/>
        <w:rPr>
          <w:rFonts w:hint="default" w:ascii="宋体" w:hAnsi="宋体" w:eastAsia="宋体" w:cs="宋体"/>
          <w:color w:val="auto"/>
          <w:highlight w:val="none"/>
          <w:lang w:val="en-US" w:eastAsia="zh-CN"/>
        </w:rPr>
      </w:pPr>
      <w:r>
        <w:rPr>
          <w:rFonts w:hint="eastAsia" w:ascii="宋体" w:hAnsi="宋体" w:cs="宋体"/>
          <w:color w:val="auto"/>
          <w:lang w:eastAsia="zh-CN"/>
        </w:rPr>
        <w:t>（</w:t>
      </w:r>
      <w:r>
        <w:rPr>
          <w:rFonts w:hint="eastAsia" w:ascii="宋体" w:hAnsi="宋体" w:cs="宋体"/>
          <w:color w:val="auto"/>
          <w:lang w:val="en-US" w:eastAsia="zh-CN"/>
        </w:rPr>
        <w:t>3</w:t>
      </w:r>
      <w:r>
        <w:rPr>
          <w:rFonts w:hint="eastAsia" w:ascii="宋体" w:hAnsi="宋体" w:cs="宋体"/>
          <w:color w:val="auto"/>
          <w:lang w:eastAsia="zh-CN"/>
        </w:rPr>
        <w:t>）</w:t>
      </w:r>
      <w:r>
        <w:rPr>
          <w:rFonts w:hint="eastAsia" w:ascii="宋体" w:hAnsi="宋体" w:cs="宋体"/>
          <w:color w:val="auto"/>
        </w:rPr>
        <w:t>综合评价等级仅分为合格或不合格两个等级，不合格仅限于符合招标文件废标、无效标情形以及违反国家强制性条文标准的情形</w:t>
      </w:r>
      <w:r>
        <w:rPr>
          <w:rFonts w:hint="eastAsia" w:ascii="宋体" w:hAnsi="宋体" w:cs="宋体"/>
          <w:color w:val="auto"/>
          <w:lang w:eastAsia="zh-CN"/>
        </w:rPr>
        <w:t>。</w:t>
      </w:r>
      <w:r>
        <w:rPr>
          <w:rFonts w:hint="eastAsia" w:ascii="宋体" w:hAnsi="宋体" w:eastAsia="宋体" w:cs="宋体"/>
          <w:color w:val="FF0000"/>
          <w:highlight w:val="none"/>
          <w:lang w:val="en-US" w:eastAsia="zh-CN"/>
        </w:rPr>
        <w:t xml:space="preserve">  </w:t>
      </w:r>
      <w:r>
        <w:rPr>
          <w:rFonts w:hint="eastAsia" w:ascii="宋体" w:hAnsi="宋体" w:eastAsia="宋体" w:cs="宋体"/>
          <w:color w:val="auto"/>
          <w:highlight w:val="none"/>
          <w:lang w:val="en-US" w:eastAsia="zh-CN"/>
        </w:rPr>
        <w:t xml:space="preserve"> </w:t>
      </w:r>
    </w:p>
    <w:permEnd w:id="159"/>
    <w:p w14:paraId="4DD58085">
      <w:pPr>
        <w:spacing w:line="360" w:lineRule="auto"/>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eastAsia="宋体" w:cs="宋体"/>
          <w:color w:val="auto"/>
          <w:szCs w:val="21"/>
          <w:highlight w:val="none"/>
          <w:lang w:val="en-US" w:eastAsia="zh-CN"/>
        </w:rPr>
        <w:t>备注：招标人应结合招标项目的实际情况设</w:t>
      </w:r>
      <w:r>
        <w:rPr>
          <w:rFonts w:hint="eastAsia" w:ascii="宋体" w:hAnsi="宋体" w:cs="宋体"/>
          <w:color w:val="auto"/>
          <w:szCs w:val="21"/>
          <w:highlight w:val="none"/>
          <w:lang w:val="en-US" w:eastAsia="zh-CN"/>
        </w:rPr>
        <w:t>定</w:t>
      </w:r>
      <w:r>
        <w:rPr>
          <w:rFonts w:hint="eastAsia" w:ascii="宋体" w:hAnsi="宋体" w:eastAsia="宋体" w:cs="宋体"/>
          <w:color w:val="auto"/>
          <w:szCs w:val="21"/>
          <w:highlight w:val="none"/>
          <w:lang w:val="en-US" w:eastAsia="zh-CN"/>
        </w:rPr>
        <w:t>技术标评审标准，评审标准设</w:t>
      </w:r>
      <w:r>
        <w:rPr>
          <w:rFonts w:hint="eastAsia" w:ascii="宋体" w:hAnsi="宋体" w:cs="宋体"/>
          <w:color w:val="auto"/>
          <w:szCs w:val="21"/>
          <w:highlight w:val="none"/>
          <w:lang w:val="en-US" w:eastAsia="zh-CN"/>
        </w:rPr>
        <w:t>定</w:t>
      </w:r>
      <w:r>
        <w:rPr>
          <w:rFonts w:hint="eastAsia" w:ascii="宋体" w:hAnsi="宋体" w:eastAsia="宋体" w:cs="宋体"/>
          <w:color w:val="auto"/>
          <w:szCs w:val="21"/>
          <w:highlight w:val="none"/>
          <w:lang w:val="en-US" w:eastAsia="zh-CN"/>
        </w:rPr>
        <w:t>的注意事项详见《使用说明》。</w:t>
      </w:r>
      <w:r>
        <w:rPr>
          <w:rFonts w:hint="eastAsia" w:ascii="宋体" w:hAnsi="宋体"/>
          <w:color w:val="auto"/>
          <w:szCs w:val="21"/>
          <w:highlight w:val="none"/>
        </w:rPr>
        <w:t>】</w:t>
      </w:r>
    </w:p>
    <w:p w14:paraId="44FA827C">
      <w:pPr>
        <w:spacing w:line="360" w:lineRule="auto"/>
        <w:ind w:firstLine="420" w:firstLineChars="200"/>
        <w:rPr>
          <w:rStyle w:val="37"/>
          <w:rFonts w:hint="default" w:ascii="宋体" w:hAnsi="宋体" w:eastAsia="宋体" w:cs="宋体"/>
          <w:b w:val="0"/>
          <w:bCs w:val="0"/>
          <w:color w:val="auto"/>
          <w:sz w:val="21"/>
          <w:szCs w:val="21"/>
          <w:highlight w:val="none"/>
          <w:lang w:val="en-US" w:eastAsia="zh-CN"/>
        </w:rPr>
      </w:pPr>
      <w:r>
        <w:rPr>
          <w:rFonts w:hint="eastAsia" w:ascii="宋体" w:hAnsi="宋体" w:eastAsia="宋体" w:cs="宋体"/>
          <w:color w:val="auto"/>
          <w:highlight w:val="none"/>
          <w:lang w:val="en-US" w:eastAsia="zh-CN"/>
        </w:rPr>
        <w:br w:type="page"/>
      </w:r>
      <w:bookmarkStart w:id="2336" w:name="_Toc1913603810"/>
      <w:bookmarkStart w:id="2337" w:name="_Toc872309714"/>
      <w:bookmarkStart w:id="2338" w:name="_Toc443951188"/>
      <w:bookmarkStart w:id="2339" w:name="_Toc1862829714"/>
      <w:bookmarkStart w:id="2340" w:name="_Toc24233"/>
      <w:bookmarkStart w:id="2341" w:name="_Toc1007001251"/>
      <w:bookmarkStart w:id="2342" w:name="_Toc1719323510"/>
      <w:bookmarkStart w:id="2343" w:name="_Toc283451153"/>
      <w:bookmarkStart w:id="2344" w:name="_Toc1314230776"/>
      <w:bookmarkStart w:id="2345" w:name="_Toc2130169221"/>
      <w:bookmarkStart w:id="2346" w:name="_Toc1413441564"/>
      <w:r>
        <w:rPr>
          <w:rStyle w:val="37"/>
          <w:rFonts w:hint="eastAsia" w:ascii="宋体" w:hAnsi="宋体" w:cs="宋体"/>
          <w:b w:val="0"/>
          <w:bCs w:val="0"/>
          <w:color w:val="auto"/>
          <w:sz w:val="21"/>
          <w:szCs w:val="21"/>
          <w:highlight w:val="none"/>
        </w:rPr>
        <w:t>附件</w:t>
      </w:r>
      <w:r>
        <w:rPr>
          <w:rStyle w:val="37"/>
          <w:rFonts w:hint="eastAsia" w:ascii="宋体" w:hAnsi="宋体" w:eastAsia="宋体" w:cs="宋体"/>
          <w:b w:val="0"/>
          <w:bCs w:val="0"/>
          <w:color w:val="auto"/>
          <w:sz w:val="21"/>
          <w:szCs w:val="21"/>
          <w:highlight w:val="none"/>
          <w:lang w:eastAsia="zh-CN"/>
        </w:rPr>
        <w:t>二</w:t>
      </w:r>
      <w:r>
        <w:rPr>
          <w:rStyle w:val="37"/>
          <w:rFonts w:hint="eastAsia" w:ascii="宋体" w:hAnsi="宋体" w:cs="宋体"/>
          <w:b w:val="0"/>
          <w:bCs w:val="0"/>
          <w:color w:val="auto"/>
          <w:sz w:val="21"/>
          <w:szCs w:val="21"/>
          <w:highlight w:val="none"/>
        </w:rPr>
        <w:t>：</w:t>
      </w:r>
      <w:r>
        <w:rPr>
          <w:rStyle w:val="37"/>
          <w:rFonts w:hint="eastAsia" w:ascii="宋体" w:hAnsi="宋体" w:eastAsia="宋体" w:cs="宋体"/>
          <w:b w:val="0"/>
          <w:bCs w:val="0"/>
          <w:color w:val="auto"/>
          <w:sz w:val="21"/>
          <w:szCs w:val="21"/>
          <w:highlight w:val="none"/>
          <w:lang w:eastAsia="zh-CN"/>
        </w:rPr>
        <w:t>技术标评分标准</w:t>
      </w:r>
      <w:r>
        <w:rPr>
          <w:rStyle w:val="37"/>
          <w:rFonts w:hint="eastAsia" w:ascii="宋体" w:hAnsi="宋体" w:eastAsia="宋体" w:cs="宋体"/>
          <w:b w:val="0"/>
          <w:bCs w:val="0"/>
          <w:color w:val="auto"/>
          <w:sz w:val="21"/>
          <w:szCs w:val="21"/>
          <w:highlight w:val="none"/>
          <w:lang w:val="en-US" w:eastAsia="zh-CN"/>
        </w:rPr>
        <w:t>（适用于采用定量评审的项目）</w:t>
      </w:r>
    </w:p>
    <w:bookmarkEnd w:id="2336"/>
    <w:bookmarkEnd w:id="2337"/>
    <w:bookmarkEnd w:id="2338"/>
    <w:bookmarkEnd w:id="2339"/>
    <w:bookmarkEnd w:id="2340"/>
    <w:bookmarkEnd w:id="2341"/>
    <w:bookmarkEnd w:id="2342"/>
    <w:bookmarkEnd w:id="2343"/>
    <w:bookmarkEnd w:id="2344"/>
    <w:bookmarkEnd w:id="2345"/>
    <w:bookmarkEnd w:id="2346"/>
    <w:p w14:paraId="6FFAA1FB">
      <w:pPr>
        <w:pStyle w:val="8"/>
        <w:jc w:val="center"/>
        <w:rPr>
          <w:rFonts w:hint="eastAsia"/>
          <w:color w:val="auto"/>
          <w:highlight w:val="none"/>
          <w:lang w:eastAsia="zh-CN"/>
        </w:rPr>
      </w:pPr>
      <w:r>
        <w:rPr>
          <w:rFonts w:hint="eastAsia" w:ascii="Verdana" w:hAnsi="Verdana"/>
          <w:b/>
          <w:bCs/>
          <w:color w:val="auto"/>
          <w:kern w:val="0"/>
          <w:sz w:val="28"/>
          <w:szCs w:val="28"/>
          <w:highlight w:val="none"/>
          <w:lang w:eastAsia="zh-CN"/>
        </w:rPr>
        <w:t>技术标评分标准</w:t>
      </w:r>
    </w:p>
    <w:tbl>
      <w:tblPr>
        <w:tblStyle w:val="26"/>
        <w:tblW w:w="946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2768"/>
        <w:gridCol w:w="865"/>
        <w:gridCol w:w="5152"/>
      </w:tblGrid>
      <w:tr w14:paraId="3D371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2B20E0B4">
            <w:pPr>
              <w:pStyle w:val="23"/>
              <w:spacing w:line="360" w:lineRule="auto"/>
              <w:jc w:val="center"/>
              <w:rPr>
                <w:rFonts w:hint="eastAsia" w:ascii="宋体" w:hAnsi="宋体" w:eastAsia="宋体" w:cs="宋体"/>
                <w:b/>
                <w:color w:val="auto"/>
                <w:kern w:val="2"/>
                <w:sz w:val="21"/>
                <w:szCs w:val="24"/>
                <w:highlight w:val="none"/>
              </w:rPr>
            </w:pPr>
            <w:permStart w:id="160" w:edGrp="everyone"/>
            <w:r>
              <w:rPr>
                <w:rFonts w:hint="eastAsia" w:eastAsia="宋体"/>
                <w:b/>
                <w:color w:val="auto"/>
                <w:kern w:val="2"/>
                <w:sz w:val="21"/>
                <w:szCs w:val="21"/>
                <w:highlight w:val="none"/>
              </w:rPr>
              <w:t>序号</w:t>
            </w:r>
          </w:p>
        </w:tc>
        <w:tc>
          <w:tcPr>
            <w:tcW w:w="2768" w:type="dxa"/>
            <w:noWrap w:val="0"/>
            <w:vAlign w:val="center"/>
          </w:tcPr>
          <w:p w14:paraId="1E7F0523">
            <w:pPr>
              <w:pStyle w:val="23"/>
              <w:spacing w:line="360" w:lineRule="auto"/>
              <w:jc w:val="center"/>
              <w:rPr>
                <w:rFonts w:hint="eastAsia" w:ascii="宋体" w:hAnsi="宋体" w:eastAsia="宋体" w:cs="宋体"/>
                <w:b/>
                <w:color w:val="auto"/>
                <w:szCs w:val="21"/>
                <w:highlight w:val="none"/>
              </w:rPr>
            </w:pPr>
            <w:r>
              <w:rPr>
                <w:rFonts w:hint="eastAsia" w:eastAsia="宋体"/>
                <w:b/>
                <w:color w:val="auto"/>
                <w:kern w:val="2"/>
                <w:sz w:val="21"/>
                <w:szCs w:val="21"/>
                <w:highlight w:val="none"/>
              </w:rPr>
              <w:t>评审项目</w:t>
            </w:r>
          </w:p>
        </w:tc>
        <w:tc>
          <w:tcPr>
            <w:tcW w:w="865" w:type="dxa"/>
            <w:noWrap w:val="0"/>
            <w:vAlign w:val="center"/>
          </w:tcPr>
          <w:p w14:paraId="76500791">
            <w:pPr>
              <w:pStyle w:val="23"/>
              <w:spacing w:line="360" w:lineRule="auto"/>
              <w:jc w:val="center"/>
              <w:rPr>
                <w:rFonts w:hint="eastAsia" w:ascii="宋体" w:hAnsi="宋体" w:eastAsia="宋体" w:cs="宋体"/>
                <w:b/>
                <w:color w:val="auto"/>
                <w:kern w:val="2"/>
                <w:sz w:val="21"/>
                <w:szCs w:val="24"/>
                <w:highlight w:val="none"/>
              </w:rPr>
            </w:pPr>
            <w:r>
              <w:rPr>
                <w:rFonts w:hint="eastAsia" w:eastAsia="宋体"/>
                <w:b/>
                <w:color w:val="auto"/>
                <w:kern w:val="2"/>
                <w:sz w:val="21"/>
                <w:szCs w:val="21"/>
                <w:highlight w:val="none"/>
              </w:rPr>
              <w:t>分值</w:t>
            </w:r>
          </w:p>
        </w:tc>
        <w:tc>
          <w:tcPr>
            <w:tcW w:w="5152" w:type="dxa"/>
            <w:noWrap w:val="0"/>
            <w:vAlign w:val="center"/>
          </w:tcPr>
          <w:p w14:paraId="70746BD8">
            <w:pPr>
              <w:pStyle w:val="23"/>
              <w:spacing w:line="360" w:lineRule="auto"/>
              <w:jc w:val="center"/>
              <w:rPr>
                <w:rFonts w:hint="eastAsia" w:ascii="宋体" w:hAnsi="宋体" w:eastAsia="宋体" w:cs="宋体"/>
                <w:b/>
                <w:color w:val="auto"/>
                <w:szCs w:val="21"/>
                <w:highlight w:val="none"/>
              </w:rPr>
            </w:pPr>
            <w:r>
              <w:rPr>
                <w:rFonts w:hint="eastAsia" w:eastAsia="宋体"/>
                <w:b/>
                <w:color w:val="auto"/>
                <w:kern w:val="2"/>
                <w:sz w:val="21"/>
                <w:szCs w:val="21"/>
                <w:highlight w:val="none"/>
              </w:rPr>
              <w:t>评审标准</w:t>
            </w:r>
          </w:p>
        </w:tc>
      </w:tr>
    </w:tbl>
    <w:p w14:paraId="41FE363E">
      <w:pPr>
        <w:tabs>
          <w:tab w:val="left" w:pos="1986"/>
        </w:tabs>
        <w:autoSpaceDE w:val="0"/>
        <w:autoSpaceDN w:val="0"/>
        <w:spacing w:line="360" w:lineRule="auto"/>
        <w:ind w:firstLine="0" w:firstLineChars="0"/>
        <w:jc w:val="left"/>
        <w:rPr>
          <w:rStyle w:val="37"/>
          <w:rFonts w:hint="eastAsia" w:ascii="宋体" w:hAnsi="宋体" w:eastAsia="宋体" w:cs="宋体"/>
          <w:b w:val="0"/>
          <w:bCs w:val="0"/>
          <w:color w:val="auto"/>
          <w:sz w:val="21"/>
          <w:szCs w:val="21"/>
          <w:highlight w:val="none"/>
          <w:lang w:val="en-US" w:eastAsia="zh-CN"/>
        </w:rPr>
      </w:pPr>
      <w:r>
        <w:rPr>
          <w:rStyle w:val="37"/>
          <w:rFonts w:hint="eastAsia" w:ascii="宋体" w:hAnsi="宋体" w:eastAsia="宋体" w:cs="宋体"/>
          <w:b w:val="0"/>
          <w:bCs w:val="0"/>
          <w:color w:val="auto"/>
          <w:sz w:val="21"/>
          <w:szCs w:val="21"/>
          <w:highlight w:val="none"/>
          <w:lang w:val="en-US" w:eastAsia="zh-CN"/>
        </w:rPr>
        <w:t xml:space="preserve">  </w:t>
      </w:r>
      <w:r>
        <w:rPr>
          <w:rStyle w:val="37"/>
          <w:rFonts w:hint="eastAsia" w:ascii="宋体" w:hAnsi="宋体" w:cs="宋体"/>
          <w:b w:val="0"/>
          <w:bCs w:val="0"/>
          <w:color w:val="auto"/>
          <w:sz w:val="21"/>
          <w:szCs w:val="21"/>
          <w:highlight w:val="none"/>
          <w:lang w:val="en-US" w:eastAsia="zh-CN"/>
        </w:rPr>
        <w:t>本项目不适用</w:t>
      </w:r>
      <w:r>
        <w:rPr>
          <w:rStyle w:val="37"/>
          <w:rFonts w:hint="eastAsia" w:ascii="宋体" w:hAnsi="宋体" w:eastAsia="宋体" w:cs="宋体"/>
          <w:b w:val="0"/>
          <w:bCs w:val="0"/>
          <w:color w:val="auto"/>
          <w:sz w:val="21"/>
          <w:szCs w:val="21"/>
          <w:highlight w:val="none"/>
          <w:lang w:val="en-US" w:eastAsia="zh-CN"/>
        </w:rPr>
        <w:t xml:space="preserve"> </w:t>
      </w:r>
    </w:p>
    <w:permEnd w:id="160"/>
    <w:p w14:paraId="6B41DB96">
      <w:pPr>
        <w:tabs>
          <w:tab w:val="left" w:pos="1986"/>
        </w:tabs>
        <w:autoSpaceDE w:val="0"/>
        <w:autoSpaceDN w:val="0"/>
        <w:spacing w:line="360" w:lineRule="auto"/>
        <w:ind w:firstLine="420" w:firstLineChars="200"/>
        <w:jc w:val="left"/>
        <w:rPr>
          <w:rStyle w:val="37"/>
          <w:rFonts w:hint="eastAsia" w:ascii="宋体" w:hAnsi="宋体" w:cs="宋体"/>
          <w:b w:val="0"/>
          <w:bCs w:val="0"/>
          <w:color w:val="auto"/>
          <w:sz w:val="21"/>
          <w:szCs w:val="21"/>
          <w:highlight w:val="none"/>
        </w:rPr>
      </w:pPr>
      <w:r>
        <w:rPr>
          <w:rFonts w:hint="eastAsia" w:ascii="宋体" w:hAnsi="宋体"/>
          <w:color w:val="auto"/>
          <w:szCs w:val="21"/>
          <w:highlight w:val="none"/>
        </w:rPr>
        <w:t>【</w:t>
      </w:r>
      <w:r>
        <w:rPr>
          <w:rFonts w:hint="eastAsia" w:ascii="宋体" w:hAnsi="宋体" w:eastAsia="宋体" w:cs="宋体"/>
          <w:color w:val="auto"/>
          <w:szCs w:val="21"/>
          <w:highlight w:val="none"/>
          <w:lang w:val="en-US" w:eastAsia="zh-CN"/>
        </w:rPr>
        <w:t>备注：招标人应结合招标项目的实际情况设</w:t>
      </w:r>
      <w:r>
        <w:rPr>
          <w:rFonts w:hint="eastAsia" w:ascii="宋体" w:hAnsi="宋体" w:cs="宋体"/>
          <w:color w:val="auto"/>
          <w:szCs w:val="21"/>
          <w:highlight w:val="none"/>
          <w:lang w:val="en-US" w:eastAsia="zh-CN"/>
        </w:rPr>
        <w:t>定</w:t>
      </w:r>
      <w:r>
        <w:rPr>
          <w:rFonts w:hint="eastAsia" w:ascii="宋体" w:hAnsi="宋体" w:eastAsia="宋体" w:cs="宋体"/>
          <w:color w:val="auto"/>
          <w:szCs w:val="21"/>
          <w:highlight w:val="none"/>
          <w:lang w:val="en-US" w:eastAsia="zh-CN"/>
        </w:rPr>
        <w:t>技术标评分标准，评分标准设</w:t>
      </w:r>
      <w:r>
        <w:rPr>
          <w:rFonts w:hint="eastAsia" w:ascii="宋体" w:hAnsi="宋体" w:cs="宋体"/>
          <w:color w:val="auto"/>
          <w:szCs w:val="21"/>
          <w:highlight w:val="none"/>
          <w:lang w:val="en-US" w:eastAsia="zh-CN"/>
        </w:rPr>
        <w:t>定</w:t>
      </w:r>
      <w:r>
        <w:rPr>
          <w:rFonts w:hint="eastAsia" w:ascii="宋体" w:hAnsi="宋体" w:eastAsia="宋体" w:cs="宋体"/>
          <w:color w:val="auto"/>
          <w:szCs w:val="21"/>
          <w:highlight w:val="none"/>
          <w:lang w:val="en-US" w:eastAsia="zh-CN"/>
        </w:rPr>
        <w:t>的注意事项详见《使用说明》，分值最多可以设置两位小数。</w:t>
      </w:r>
      <w:r>
        <w:rPr>
          <w:rFonts w:hint="eastAsia" w:ascii="宋体" w:hAnsi="宋体"/>
          <w:color w:val="auto"/>
          <w:szCs w:val="21"/>
          <w:highlight w:val="none"/>
        </w:rPr>
        <w:t>】</w:t>
      </w:r>
    </w:p>
    <w:p w14:paraId="6AD98103">
      <w:pPr>
        <w:spacing w:line="360" w:lineRule="auto"/>
        <w:rPr>
          <w:rStyle w:val="37"/>
          <w:rFonts w:hint="default" w:ascii="宋体" w:hAnsi="宋体" w:eastAsia="宋体" w:cs="宋体"/>
          <w:b w:val="0"/>
          <w:bCs w:val="0"/>
          <w:color w:val="auto"/>
          <w:sz w:val="21"/>
          <w:szCs w:val="21"/>
          <w:highlight w:val="none"/>
          <w:lang w:val="en-US" w:eastAsia="zh-CN"/>
        </w:rPr>
      </w:pPr>
    </w:p>
    <w:p w14:paraId="39AF34F6">
      <w:pPr>
        <w:spacing w:line="360" w:lineRule="auto"/>
        <w:rPr>
          <w:rStyle w:val="37"/>
          <w:rFonts w:hint="default" w:ascii="宋体" w:hAnsi="宋体" w:eastAsia="宋体" w:cs="宋体"/>
          <w:b w:val="0"/>
          <w:bCs w:val="0"/>
          <w:color w:val="auto"/>
          <w:sz w:val="21"/>
          <w:szCs w:val="21"/>
          <w:highlight w:val="none"/>
          <w:lang w:val="en-US" w:eastAsia="zh-CN"/>
        </w:rPr>
      </w:pPr>
      <w:r>
        <w:rPr>
          <w:rStyle w:val="37"/>
          <w:rFonts w:hint="eastAsia" w:ascii="宋体" w:hAnsi="宋体" w:cs="宋体"/>
          <w:b w:val="0"/>
          <w:bCs w:val="0"/>
          <w:color w:val="auto"/>
          <w:sz w:val="21"/>
          <w:szCs w:val="21"/>
          <w:highlight w:val="none"/>
        </w:rPr>
        <w:br w:type="page"/>
      </w:r>
      <w:bookmarkStart w:id="2347" w:name="_Toc1338279558"/>
      <w:bookmarkStart w:id="2348" w:name="_Toc2006389129"/>
      <w:bookmarkStart w:id="2349" w:name="_Toc151394935"/>
      <w:bookmarkStart w:id="2350" w:name="_Toc384988436"/>
      <w:bookmarkStart w:id="2351" w:name="_Toc741332351"/>
      <w:bookmarkStart w:id="2352" w:name="_Toc458353905"/>
      <w:bookmarkStart w:id="2353" w:name="_Toc45022680"/>
      <w:bookmarkStart w:id="2354" w:name="_Toc430827441"/>
      <w:bookmarkStart w:id="2355" w:name="_Toc1184279218"/>
      <w:bookmarkStart w:id="2356" w:name="_Toc1912"/>
      <w:bookmarkStart w:id="2357" w:name="_Toc1859094788"/>
      <w:r>
        <w:rPr>
          <w:rStyle w:val="37"/>
          <w:rFonts w:hint="eastAsia" w:ascii="宋体" w:hAnsi="宋体" w:cs="宋体"/>
          <w:b w:val="0"/>
          <w:bCs w:val="0"/>
          <w:color w:val="auto"/>
          <w:sz w:val="21"/>
          <w:szCs w:val="21"/>
          <w:highlight w:val="none"/>
        </w:rPr>
        <w:t>附件</w:t>
      </w:r>
      <w:r>
        <w:rPr>
          <w:rStyle w:val="37"/>
          <w:rFonts w:hint="eastAsia" w:ascii="宋体" w:hAnsi="宋体" w:eastAsia="宋体" w:cs="宋体"/>
          <w:b w:val="0"/>
          <w:bCs w:val="0"/>
          <w:color w:val="auto"/>
          <w:sz w:val="21"/>
          <w:szCs w:val="21"/>
          <w:highlight w:val="none"/>
          <w:lang w:eastAsia="zh-CN"/>
        </w:rPr>
        <w:t>三</w:t>
      </w:r>
      <w:r>
        <w:rPr>
          <w:rStyle w:val="37"/>
          <w:rFonts w:hint="eastAsia" w:ascii="宋体" w:hAnsi="宋体" w:cs="宋体"/>
          <w:b w:val="0"/>
          <w:bCs w:val="0"/>
          <w:color w:val="auto"/>
          <w:sz w:val="21"/>
          <w:szCs w:val="21"/>
          <w:highlight w:val="none"/>
        </w:rPr>
        <w:t>：</w:t>
      </w:r>
      <w:r>
        <w:rPr>
          <w:rStyle w:val="37"/>
          <w:rFonts w:hint="eastAsia" w:ascii="宋体" w:hAnsi="宋体" w:eastAsia="宋体" w:cs="宋体"/>
          <w:b w:val="0"/>
          <w:bCs w:val="0"/>
          <w:color w:val="auto"/>
          <w:sz w:val="21"/>
          <w:szCs w:val="21"/>
          <w:highlight w:val="none"/>
          <w:lang w:eastAsia="zh-CN"/>
        </w:rPr>
        <w:t>资信标评分标准</w:t>
      </w:r>
      <w:r>
        <w:rPr>
          <w:rStyle w:val="37"/>
          <w:rFonts w:hint="eastAsia" w:ascii="宋体" w:hAnsi="宋体" w:cs="宋体"/>
          <w:b w:val="0"/>
          <w:bCs w:val="0"/>
          <w:color w:val="auto"/>
          <w:sz w:val="21"/>
          <w:szCs w:val="21"/>
          <w:highlight w:val="none"/>
          <w:lang w:eastAsia="zh-CN"/>
        </w:rPr>
        <w:t>（适用于采用定量评审的项目）</w:t>
      </w:r>
    </w:p>
    <w:bookmarkEnd w:id="2347"/>
    <w:bookmarkEnd w:id="2348"/>
    <w:bookmarkEnd w:id="2349"/>
    <w:bookmarkEnd w:id="2350"/>
    <w:bookmarkEnd w:id="2351"/>
    <w:bookmarkEnd w:id="2352"/>
    <w:bookmarkEnd w:id="2353"/>
    <w:bookmarkEnd w:id="2354"/>
    <w:bookmarkEnd w:id="2355"/>
    <w:bookmarkEnd w:id="2356"/>
    <w:bookmarkEnd w:id="2357"/>
    <w:p w14:paraId="337BC265">
      <w:pPr>
        <w:pStyle w:val="8"/>
        <w:jc w:val="center"/>
        <w:rPr>
          <w:rFonts w:hint="eastAsia"/>
          <w:color w:val="auto"/>
          <w:highlight w:val="none"/>
          <w:lang w:eastAsia="zh-CN"/>
        </w:rPr>
      </w:pPr>
      <w:r>
        <w:rPr>
          <w:rFonts w:hint="eastAsia" w:ascii="Verdana" w:hAnsi="Verdana"/>
          <w:b/>
          <w:bCs/>
          <w:color w:val="auto"/>
          <w:kern w:val="0"/>
          <w:sz w:val="28"/>
          <w:szCs w:val="28"/>
          <w:highlight w:val="none"/>
          <w:lang w:eastAsia="zh-CN"/>
        </w:rPr>
        <w:t>资信标评分标准</w:t>
      </w:r>
    </w:p>
    <w:tbl>
      <w:tblPr>
        <w:tblStyle w:val="26"/>
        <w:tblW w:w="946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21"/>
        <w:gridCol w:w="1129"/>
        <w:gridCol w:w="6135"/>
      </w:tblGrid>
      <w:tr w14:paraId="1C94D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08E5FC64">
            <w:pPr>
              <w:bidi w:val="0"/>
              <w:jc w:val="center"/>
              <w:rPr>
                <w:rFonts w:hint="eastAsia"/>
                <w:b/>
                <w:bCs/>
                <w:color w:val="auto"/>
              </w:rPr>
            </w:pPr>
            <w:r>
              <w:rPr>
                <w:rFonts w:hint="eastAsia"/>
                <w:b/>
                <w:bCs/>
                <w:color w:val="auto"/>
              </w:rPr>
              <w:t>序号</w:t>
            </w:r>
          </w:p>
        </w:tc>
        <w:tc>
          <w:tcPr>
            <w:tcW w:w="1521" w:type="dxa"/>
            <w:noWrap w:val="0"/>
            <w:vAlign w:val="center"/>
          </w:tcPr>
          <w:p w14:paraId="674F36BC">
            <w:pPr>
              <w:bidi w:val="0"/>
              <w:jc w:val="center"/>
              <w:rPr>
                <w:rFonts w:hint="eastAsia"/>
                <w:b/>
                <w:bCs/>
                <w:color w:val="auto"/>
              </w:rPr>
            </w:pPr>
            <w:r>
              <w:rPr>
                <w:rFonts w:hint="eastAsia"/>
                <w:b/>
                <w:bCs/>
                <w:color w:val="auto"/>
              </w:rPr>
              <w:t>评审项目</w:t>
            </w:r>
          </w:p>
        </w:tc>
        <w:tc>
          <w:tcPr>
            <w:tcW w:w="1129" w:type="dxa"/>
            <w:noWrap w:val="0"/>
            <w:vAlign w:val="center"/>
          </w:tcPr>
          <w:p w14:paraId="45782B1F">
            <w:pPr>
              <w:bidi w:val="0"/>
              <w:jc w:val="center"/>
              <w:rPr>
                <w:rFonts w:hint="eastAsia"/>
                <w:b/>
                <w:bCs/>
                <w:color w:val="auto"/>
              </w:rPr>
            </w:pPr>
            <w:r>
              <w:rPr>
                <w:rFonts w:hint="eastAsia"/>
                <w:b/>
                <w:bCs/>
                <w:color w:val="auto"/>
              </w:rPr>
              <w:t>分值</w:t>
            </w:r>
          </w:p>
        </w:tc>
        <w:tc>
          <w:tcPr>
            <w:tcW w:w="6135" w:type="dxa"/>
            <w:noWrap w:val="0"/>
            <w:vAlign w:val="center"/>
          </w:tcPr>
          <w:p w14:paraId="37905526">
            <w:pPr>
              <w:pStyle w:val="23"/>
              <w:spacing w:line="360" w:lineRule="auto"/>
              <w:jc w:val="center"/>
              <w:rPr>
                <w:rFonts w:hint="eastAsia" w:ascii="宋体" w:hAnsi="宋体" w:eastAsia="宋体" w:cs="宋体"/>
                <w:b/>
                <w:color w:val="auto"/>
                <w:szCs w:val="21"/>
                <w:highlight w:val="none"/>
              </w:rPr>
            </w:pPr>
            <w:r>
              <w:rPr>
                <w:rFonts w:hint="eastAsia" w:eastAsia="宋体"/>
                <w:b/>
                <w:color w:val="auto"/>
                <w:kern w:val="2"/>
                <w:sz w:val="21"/>
                <w:szCs w:val="21"/>
                <w:highlight w:val="none"/>
              </w:rPr>
              <w:t>评审标准</w:t>
            </w:r>
          </w:p>
        </w:tc>
      </w:tr>
    </w:tbl>
    <w:p w14:paraId="05628745">
      <w:pPr>
        <w:spacing w:line="360" w:lineRule="auto"/>
        <w:ind w:right="945" w:firstLine="420" w:firstLineChars="200"/>
        <w:jc w:val="left"/>
        <w:rPr>
          <w:rFonts w:hint="default" w:ascii="宋体" w:hAnsi="宋体" w:cs="宋体"/>
          <w:color w:val="auto"/>
          <w:szCs w:val="21"/>
          <w:highlight w:val="none"/>
          <w:lang w:val="en-US"/>
        </w:rPr>
      </w:pPr>
      <w:r>
        <w:rPr>
          <w:rFonts w:hint="eastAsia" w:ascii="宋体" w:hAnsi="宋体" w:cs="宋体"/>
          <w:color w:val="auto"/>
          <w:szCs w:val="21"/>
          <w:highlight w:val="none"/>
          <w:lang w:val="en-US" w:eastAsia="zh-CN"/>
        </w:rPr>
        <w:t xml:space="preserve">  本项目不适用</w:t>
      </w:r>
    </w:p>
    <w:p w14:paraId="75621D2A">
      <w:pPr>
        <w:tabs>
          <w:tab w:val="left" w:pos="1986"/>
        </w:tabs>
        <w:autoSpaceDE w:val="0"/>
        <w:autoSpaceDN w:val="0"/>
        <w:spacing w:line="360" w:lineRule="auto"/>
        <w:ind w:firstLine="420" w:firstLineChars="200"/>
        <w:jc w:val="left"/>
        <w:rPr>
          <w:rStyle w:val="37"/>
          <w:rFonts w:hint="eastAsia" w:ascii="宋体" w:hAnsi="宋体" w:eastAsia="宋体" w:cs="宋体"/>
          <w:b w:val="0"/>
          <w:bCs w:val="0"/>
          <w:color w:val="auto"/>
          <w:sz w:val="21"/>
          <w:szCs w:val="21"/>
          <w:highlight w:val="none"/>
          <w:lang w:eastAsia="zh-CN"/>
        </w:rPr>
      </w:pPr>
      <w:r>
        <w:rPr>
          <w:rFonts w:hint="eastAsia" w:ascii="宋体" w:hAnsi="宋体"/>
          <w:color w:val="auto"/>
          <w:szCs w:val="21"/>
          <w:highlight w:val="none"/>
        </w:rPr>
        <w:t>【</w:t>
      </w:r>
      <w:r>
        <w:rPr>
          <w:rFonts w:hint="eastAsia" w:ascii="宋体" w:hAnsi="宋体" w:eastAsia="宋体" w:cs="宋体"/>
          <w:color w:val="auto"/>
          <w:szCs w:val="21"/>
          <w:highlight w:val="none"/>
          <w:lang w:val="en-US" w:eastAsia="zh-CN"/>
        </w:rPr>
        <w:t>备注：上述“评分标准”栏目内容仅供参考，招标人应当根据实际情况进行调整。评分标准设</w:t>
      </w:r>
      <w:r>
        <w:rPr>
          <w:rFonts w:hint="eastAsia" w:ascii="宋体" w:hAnsi="宋体" w:cs="宋体"/>
          <w:color w:val="auto"/>
          <w:szCs w:val="21"/>
          <w:highlight w:val="none"/>
          <w:lang w:val="en-US" w:eastAsia="zh-CN"/>
        </w:rPr>
        <w:t>定</w:t>
      </w:r>
      <w:r>
        <w:rPr>
          <w:rFonts w:hint="eastAsia" w:ascii="宋体" w:hAnsi="宋体" w:eastAsia="宋体" w:cs="宋体"/>
          <w:color w:val="auto"/>
          <w:szCs w:val="21"/>
          <w:highlight w:val="none"/>
          <w:lang w:val="en-US" w:eastAsia="zh-CN"/>
        </w:rPr>
        <w:t>的注意事项详见《使用说明》，分值最多可以设置两位小数。</w:t>
      </w:r>
      <w:r>
        <w:rPr>
          <w:rFonts w:hint="eastAsia" w:ascii="宋体" w:hAnsi="宋体"/>
          <w:color w:val="auto"/>
          <w:szCs w:val="21"/>
          <w:highlight w:val="none"/>
        </w:rPr>
        <w:t>】</w:t>
      </w:r>
      <w:r>
        <w:rPr>
          <w:rFonts w:hint="eastAsia" w:ascii="宋体" w:hAnsi="宋体" w:eastAsia="宋体" w:cs="宋体"/>
          <w:color w:val="auto"/>
          <w:highlight w:val="none"/>
          <w:lang w:val="en-US" w:eastAsia="zh-CN"/>
        </w:rPr>
        <w:br w:type="page"/>
      </w:r>
      <w:bookmarkStart w:id="2358" w:name="_Toc315446197"/>
      <w:bookmarkStart w:id="2359" w:name="_Toc2097012235"/>
      <w:bookmarkStart w:id="2360" w:name="_Toc38"/>
      <w:bookmarkStart w:id="2361" w:name="_Toc1437175119"/>
      <w:bookmarkStart w:id="2362" w:name="_Toc338176385"/>
      <w:bookmarkStart w:id="2363" w:name="_Toc916855584"/>
      <w:bookmarkStart w:id="2364" w:name="_Toc1765627062"/>
      <w:bookmarkStart w:id="2365" w:name="_Toc969"/>
      <w:bookmarkStart w:id="2366" w:name="_Toc24629"/>
      <w:bookmarkStart w:id="2367" w:name="_Toc9786"/>
      <w:bookmarkStart w:id="2368" w:name="_Toc8758"/>
      <w:bookmarkStart w:id="2369" w:name="_Toc2591749"/>
      <w:bookmarkStart w:id="2370" w:name="_Toc9556"/>
      <w:bookmarkStart w:id="2371" w:name="_Toc25642"/>
      <w:r>
        <w:rPr>
          <w:rStyle w:val="37"/>
          <w:rFonts w:hint="eastAsia" w:ascii="宋体" w:hAnsi="宋体" w:cs="宋体"/>
          <w:b w:val="0"/>
          <w:bCs w:val="0"/>
          <w:color w:val="auto"/>
          <w:sz w:val="21"/>
          <w:szCs w:val="21"/>
          <w:highlight w:val="none"/>
        </w:rPr>
        <w:t>附件</w:t>
      </w:r>
      <w:r>
        <w:rPr>
          <w:rStyle w:val="37"/>
          <w:rFonts w:hint="eastAsia" w:ascii="宋体" w:hAnsi="宋体" w:eastAsia="宋体" w:cs="宋体"/>
          <w:b w:val="0"/>
          <w:bCs w:val="0"/>
          <w:color w:val="auto"/>
          <w:sz w:val="21"/>
          <w:szCs w:val="21"/>
          <w:highlight w:val="none"/>
          <w:lang w:eastAsia="zh-CN"/>
        </w:rPr>
        <w:t>四</w:t>
      </w:r>
      <w:r>
        <w:rPr>
          <w:rStyle w:val="37"/>
          <w:rFonts w:hint="eastAsia" w:ascii="宋体" w:hAnsi="宋体" w:cs="宋体"/>
          <w:b w:val="0"/>
          <w:bCs w:val="0"/>
          <w:color w:val="auto"/>
          <w:sz w:val="21"/>
          <w:szCs w:val="21"/>
          <w:highlight w:val="none"/>
        </w:rPr>
        <w:t>：</w:t>
      </w:r>
      <w:r>
        <w:rPr>
          <w:rStyle w:val="37"/>
          <w:rFonts w:hint="eastAsia" w:ascii="宋体" w:hAnsi="宋体" w:eastAsia="宋体" w:cs="宋体"/>
          <w:b w:val="0"/>
          <w:bCs w:val="0"/>
          <w:color w:val="auto"/>
          <w:sz w:val="21"/>
          <w:szCs w:val="21"/>
          <w:highlight w:val="none"/>
          <w:lang w:eastAsia="zh-CN"/>
        </w:rPr>
        <w:t>经济标评分标准（适用于采用定量评审的项目）</w:t>
      </w:r>
      <w:bookmarkEnd w:id="2358"/>
      <w:bookmarkEnd w:id="2359"/>
      <w:bookmarkEnd w:id="2360"/>
      <w:bookmarkEnd w:id="2361"/>
      <w:bookmarkEnd w:id="2362"/>
      <w:bookmarkEnd w:id="2363"/>
    </w:p>
    <w:bookmarkEnd w:id="2364"/>
    <w:p w14:paraId="135363DF">
      <w:pPr>
        <w:pStyle w:val="8"/>
        <w:jc w:val="center"/>
        <w:rPr>
          <w:rFonts w:hint="eastAsia"/>
          <w:color w:val="auto"/>
          <w:highlight w:val="none"/>
          <w:lang w:eastAsia="zh-CN"/>
        </w:rPr>
      </w:pPr>
      <w:r>
        <w:rPr>
          <w:rFonts w:hint="eastAsia" w:ascii="Verdana" w:hAnsi="Verdana"/>
          <w:b/>
          <w:bCs/>
          <w:color w:val="auto"/>
          <w:kern w:val="0"/>
          <w:sz w:val="28"/>
          <w:szCs w:val="28"/>
          <w:highlight w:val="none"/>
          <w:lang w:eastAsia="zh-CN"/>
        </w:rPr>
        <w:t>经济标评分标准</w:t>
      </w:r>
    </w:p>
    <w:tbl>
      <w:tblPr>
        <w:tblStyle w:val="26"/>
        <w:tblW w:w="946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245"/>
        <w:gridCol w:w="944"/>
        <w:gridCol w:w="6596"/>
      </w:tblGrid>
      <w:tr w14:paraId="6C1D2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4C8AEEBC">
            <w:pPr>
              <w:pStyle w:val="23"/>
              <w:spacing w:line="360" w:lineRule="auto"/>
              <w:jc w:val="center"/>
              <w:rPr>
                <w:rFonts w:hint="eastAsia" w:ascii="宋体" w:hAnsi="宋体" w:eastAsia="宋体" w:cs="宋体"/>
                <w:b/>
                <w:color w:val="auto"/>
                <w:kern w:val="2"/>
                <w:sz w:val="21"/>
                <w:szCs w:val="24"/>
                <w:highlight w:val="none"/>
              </w:rPr>
            </w:pPr>
            <w:r>
              <w:rPr>
                <w:rFonts w:hint="eastAsia" w:eastAsia="宋体"/>
                <w:b/>
                <w:color w:val="auto"/>
                <w:kern w:val="2"/>
                <w:sz w:val="21"/>
                <w:szCs w:val="21"/>
                <w:highlight w:val="none"/>
              </w:rPr>
              <w:t>序号</w:t>
            </w:r>
          </w:p>
        </w:tc>
        <w:tc>
          <w:tcPr>
            <w:tcW w:w="1245" w:type="dxa"/>
            <w:noWrap w:val="0"/>
            <w:vAlign w:val="center"/>
          </w:tcPr>
          <w:p w14:paraId="436265BE">
            <w:pPr>
              <w:pStyle w:val="23"/>
              <w:spacing w:line="360" w:lineRule="auto"/>
              <w:jc w:val="center"/>
              <w:rPr>
                <w:rFonts w:hint="eastAsia" w:ascii="宋体" w:hAnsi="宋体" w:eastAsia="宋体" w:cs="宋体"/>
                <w:b/>
                <w:color w:val="auto"/>
                <w:szCs w:val="21"/>
                <w:highlight w:val="none"/>
              </w:rPr>
            </w:pPr>
            <w:r>
              <w:rPr>
                <w:rFonts w:hint="eastAsia" w:eastAsia="宋体"/>
                <w:b/>
                <w:color w:val="auto"/>
                <w:kern w:val="2"/>
                <w:sz w:val="21"/>
                <w:szCs w:val="21"/>
                <w:highlight w:val="none"/>
              </w:rPr>
              <w:t>评审项目</w:t>
            </w:r>
          </w:p>
        </w:tc>
        <w:tc>
          <w:tcPr>
            <w:tcW w:w="944" w:type="dxa"/>
            <w:noWrap w:val="0"/>
            <w:vAlign w:val="center"/>
          </w:tcPr>
          <w:p w14:paraId="5536BE9A">
            <w:pPr>
              <w:pStyle w:val="23"/>
              <w:spacing w:line="360" w:lineRule="auto"/>
              <w:jc w:val="center"/>
              <w:rPr>
                <w:rFonts w:hint="eastAsia" w:ascii="宋体" w:hAnsi="宋体" w:eastAsia="宋体" w:cs="宋体"/>
                <w:b/>
                <w:color w:val="auto"/>
                <w:kern w:val="2"/>
                <w:sz w:val="21"/>
                <w:szCs w:val="24"/>
                <w:highlight w:val="none"/>
              </w:rPr>
            </w:pPr>
            <w:r>
              <w:rPr>
                <w:rFonts w:hint="eastAsia" w:eastAsia="宋体"/>
                <w:b/>
                <w:color w:val="auto"/>
                <w:kern w:val="2"/>
                <w:sz w:val="21"/>
                <w:szCs w:val="21"/>
                <w:highlight w:val="none"/>
              </w:rPr>
              <w:t>分值</w:t>
            </w:r>
          </w:p>
        </w:tc>
        <w:tc>
          <w:tcPr>
            <w:tcW w:w="6596" w:type="dxa"/>
            <w:noWrap w:val="0"/>
            <w:vAlign w:val="center"/>
          </w:tcPr>
          <w:p w14:paraId="2833E824">
            <w:pPr>
              <w:pStyle w:val="23"/>
              <w:spacing w:line="360" w:lineRule="auto"/>
              <w:jc w:val="center"/>
              <w:rPr>
                <w:rFonts w:hint="eastAsia" w:ascii="宋体" w:hAnsi="宋体" w:eastAsia="宋体" w:cs="宋体"/>
                <w:b/>
                <w:color w:val="auto"/>
                <w:szCs w:val="21"/>
                <w:highlight w:val="none"/>
              </w:rPr>
            </w:pPr>
            <w:r>
              <w:rPr>
                <w:rFonts w:hint="eastAsia" w:eastAsia="宋体"/>
                <w:b/>
                <w:color w:val="auto"/>
                <w:kern w:val="2"/>
                <w:sz w:val="21"/>
                <w:szCs w:val="21"/>
                <w:highlight w:val="none"/>
              </w:rPr>
              <w:t>评审标准</w:t>
            </w:r>
          </w:p>
        </w:tc>
      </w:tr>
      <w:tr w14:paraId="6DB64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7" w:type="dxa"/>
            <w:noWrap w:val="0"/>
            <w:vAlign w:val="center"/>
          </w:tcPr>
          <w:p w14:paraId="3806E7E2">
            <w:pPr>
              <w:spacing w:line="360" w:lineRule="auto"/>
              <w:jc w:val="center"/>
              <w:rPr>
                <w:rFonts w:ascii="宋体" w:hAnsi="宋体" w:cs="宋体"/>
                <w:color w:val="auto"/>
                <w:highlight w:val="none"/>
              </w:rPr>
            </w:pPr>
            <w:r>
              <w:rPr>
                <w:rFonts w:hint="eastAsia" w:ascii="宋体" w:hAnsi="宋体" w:cs="宋体"/>
                <w:color w:val="auto"/>
                <w:highlight w:val="none"/>
              </w:rPr>
              <w:t>1</w:t>
            </w:r>
          </w:p>
        </w:tc>
        <w:tc>
          <w:tcPr>
            <w:tcW w:w="1245" w:type="dxa"/>
            <w:noWrap w:val="0"/>
            <w:vAlign w:val="center"/>
          </w:tcPr>
          <w:p w14:paraId="3578C192">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投标报价</w:t>
            </w:r>
          </w:p>
        </w:tc>
        <w:tc>
          <w:tcPr>
            <w:tcW w:w="944" w:type="dxa"/>
            <w:noWrap w:val="0"/>
            <w:vAlign w:val="center"/>
          </w:tcPr>
          <w:p w14:paraId="42EBF9C5">
            <w:pPr>
              <w:spacing w:line="360" w:lineRule="auto"/>
              <w:jc w:val="center"/>
              <w:rPr>
                <w:rFonts w:ascii="宋体" w:hAnsi="宋体" w:cs="宋体"/>
                <w:color w:val="auto"/>
                <w:szCs w:val="21"/>
                <w:highlight w:val="none"/>
              </w:rPr>
            </w:pPr>
            <w:permStart w:id="161" w:edGrp="everyone"/>
            <w:r>
              <w:rPr>
                <w:rFonts w:hint="eastAsia" w:ascii="宋体" w:hAnsi="宋体" w:cs="宋体"/>
                <w:color w:val="auto"/>
                <w:szCs w:val="21"/>
                <w:highlight w:val="none"/>
                <w:u w:val="single"/>
                <w:lang w:val="en-US" w:eastAsia="zh-CN"/>
              </w:rPr>
              <w:t xml:space="preserve"> /  </w:t>
            </w:r>
            <w:permEnd w:id="161"/>
            <w:r>
              <w:rPr>
                <w:rFonts w:hint="eastAsia" w:ascii="宋体" w:hAnsi="宋体" w:cs="宋体"/>
                <w:color w:val="auto"/>
                <w:szCs w:val="21"/>
                <w:highlight w:val="none"/>
              </w:rPr>
              <w:t>分</w:t>
            </w:r>
          </w:p>
        </w:tc>
        <w:tc>
          <w:tcPr>
            <w:tcW w:w="6596" w:type="dxa"/>
            <w:noWrap w:val="0"/>
            <w:vAlign w:val="center"/>
          </w:tcPr>
          <w:p w14:paraId="3D9F180B">
            <w:pPr>
              <w:spacing w:line="360" w:lineRule="auto"/>
              <w:ind w:firstLine="420" w:firstLineChars="200"/>
              <w:rPr>
                <w:rFonts w:hint="eastAsia"/>
                <w:color w:val="auto"/>
                <w:highlight w:val="none"/>
              </w:rPr>
            </w:pPr>
            <w:r>
              <w:rPr>
                <w:rFonts w:hint="eastAsia"/>
                <w:color w:val="auto"/>
                <w:highlight w:val="none"/>
              </w:rPr>
              <w:t>等于评标基准价的为满分，每高于评标基准价比例</w:t>
            </w:r>
            <w:r>
              <w:rPr>
                <w:rFonts w:hint="eastAsia" w:ascii="宋体" w:hAnsi="宋体" w:eastAsia="宋体" w:cs="宋体"/>
                <w:color w:val="auto"/>
                <w:highlight w:val="none"/>
              </w:rPr>
              <w:t>1%</w:t>
            </w:r>
            <w:r>
              <w:rPr>
                <w:rFonts w:hint="eastAsia"/>
                <w:color w:val="auto"/>
                <w:highlight w:val="none"/>
              </w:rPr>
              <w:t>的扣</w:t>
            </w:r>
            <w:permStart w:id="162" w:edGrp="everyone"/>
            <w:r>
              <w:rPr>
                <w:rFonts w:hint="eastAsia"/>
                <w:color w:val="auto"/>
                <w:highlight w:val="none"/>
                <w:lang w:val="en-US" w:eastAsia="zh-CN"/>
              </w:rPr>
              <w:t xml:space="preserve"> </w:t>
            </w:r>
            <w:r>
              <w:rPr>
                <w:rFonts w:hint="eastAsia" w:ascii="宋体" w:hAnsi="宋体" w:cs="宋体"/>
                <w:color w:val="auto"/>
                <w:highlight w:val="none"/>
                <w:u w:val="single"/>
                <w:lang w:val="en-US" w:eastAsia="zh-CN"/>
              </w:rPr>
              <w:t xml:space="preserve">/ </w:t>
            </w:r>
            <w:permEnd w:id="162"/>
            <w:r>
              <w:rPr>
                <w:rFonts w:hint="eastAsia"/>
                <w:color w:val="auto"/>
                <w:highlight w:val="none"/>
              </w:rPr>
              <w:t>分；每低于评标基准价比例</w:t>
            </w:r>
            <w:r>
              <w:rPr>
                <w:rFonts w:hint="eastAsia" w:ascii="宋体" w:hAnsi="宋体" w:eastAsia="宋体" w:cs="宋体"/>
                <w:color w:val="auto"/>
                <w:highlight w:val="none"/>
              </w:rPr>
              <w:t>1%</w:t>
            </w:r>
            <w:r>
              <w:rPr>
                <w:rFonts w:hint="eastAsia"/>
                <w:color w:val="auto"/>
                <w:highlight w:val="none"/>
              </w:rPr>
              <w:t>的扣</w:t>
            </w:r>
            <w:permStart w:id="163" w:edGrp="everyone"/>
            <w:r>
              <w:rPr>
                <w:rFonts w:hint="eastAsia"/>
                <w:color w:val="auto"/>
                <w:highlight w:val="none"/>
                <w:lang w:val="en-US" w:eastAsia="zh-CN"/>
              </w:rPr>
              <w:t xml:space="preserve"> </w:t>
            </w:r>
            <w:r>
              <w:rPr>
                <w:rFonts w:hint="eastAsia" w:ascii="宋体" w:hAnsi="宋体" w:cs="宋体"/>
                <w:color w:val="auto"/>
                <w:highlight w:val="none"/>
                <w:u w:val="single"/>
                <w:lang w:val="en-US" w:eastAsia="zh-CN"/>
              </w:rPr>
              <w:t xml:space="preserve">/ </w:t>
            </w:r>
            <w:permEnd w:id="163"/>
            <w:r>
              <w:rPr>
                <w:rFonts w:hint="eastAsia"/>
                <w:color w:val="auto"/>
                <w:highlight w:val="none"/>
              </w:rPr>
              <w:t>分。中间值按比例内插，计算结果精确至小数点后两位，第三位四舍五入，保留两位小数，以此求得各投标人的报价得分。经济标得分最低为</w:t>
            </w:r>
            <w:r>
              <w:rPr>
                <w:rFonts w:hint="eastAsia" w:ascii="宋体" w:hAnsi="宋体" w:eastAsia="宋体" w:cs="宋体"/>
                <w:color w:val="auto"/>
                <w:highlight w:val="none"/>
              </w:rPr>
              <w:t>0</w:t>
            </w:r>
            <w:r>
              <w:rPr>
                <w:rFonts w:hint="eastAsia"/>
                <w:color w:val="auto"/>
                <w:highlight w:val="none"/>
              </w:rPr>
              <w:t>分，所有负值均计</w:t>
            </w:r>
            <w:r>
              <w:rPr>
                <w:rFonts w:hint="eastAsia" w:ascii="宋体" w:hAnsi="宋体" w:eastAsia="宋体" w:cs="宋体"/>
                <w:color w:val="auto"/>
                <w:highlight w:val="none"/>
              </w:rPr>
              <w:t>0分</w:t>
            </w:r>
            <w:r>
              <w:rPr>
                <w:rFonts w:hint="eastAsia"/>
                <w:color w:val="auto"/>
                <w:highlight w:val="none"/>
              </w:rPr>
              <w:t>，不设负分。以上文字描述和公式表达在理解上有歧义时，以公式表达为准，公式表示如下：</w:t>
            </w:r>
          </w:p>
          <w:p w14:paraId="1C9DF43E">
            <w:pPr>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F1=F-（∣D1-D∣／D×100）×E</w:t>
            </w:r>
          </w:p>
          <w:p w14:paraId="75BC5C51">
            <w:pPr>
              <w:spacing w:line="360" w:lineRule="auto"/>
              <w:jc w:val="left"/>
              <w:rPr>
                <w:rFonts w:hint="eastAsia"/>
                <w:color w:val="auto"/>
                <w:highlight w:val="none"/>
              </w:rPr>
            </w:pPr>
            <w:r>
              <w:rPr>
                <w:rFonts w:hint="eastAsia"/>
                <w:color w:val="auto"/>
                <w:highlight w:val="none"/>
              </w:rPr>
              <w:t>式中：</w:t>
            </w:r>
            <w:r>
              <w:rPr>
                <w:rFonts w:hint="eastAsia" w:ascii="宋体" w:hAnsi="宋体" w:eastAsia="宋体" w:cs="宋体"/>
                <w:color w:val="auto"/>
                <w:highlight w:val="none"/>
              </w:rPr>
              <w:t>F1=</w:t>
            </w:r>
            <w:r>
              <w:rPr>
                <w:rFonts w:hint="eastAsia"/>
                <w:color w:val="auto"/>
                <w:highlight w:val="none"/>
              </w:rPr>
              <w:t>投标人价格得分；</w:t>
            </w:r>
          </w:p>
          <w:p w14:paraId="54AC2DC5">
            <w:pPr>
              <w:spacing w:line="360" w:lineRule="auto"/>
              <w:ind w:firstLine="630" w:firstLineChars="300"/>
              <w:jc w:val="left"/>
              <w:rPr>
                <w:color w:val="auto"/>
                <w:highlight w:val="none"/>
              </w:rPr>
            </w:pPr>
            <w:r>
              <w:rPr>
                <w:rFonts w:hint="eastAsia" w:ascii="宋体" w:hAnsi="宋体" w:eastAsia="宋体" w:cs="宋体"/>
                <w:color w:val="auto"/>
                <w:highlight w:val="none"/>
              </w:rPr>
              <w:t>F=</w:t>
            </w:r>
            <w:r>
              <w:rPr>
                <w:rFonts w:hint="eastAsia"/>
                <w:color w:val="auto"/>
                <w:highlight w:val="none"/>
              </w:rPr>
              <w:t>满分分值；</w:t>
            </w:r>
          </w:p>
          <w:p w14:paraId="7373EE5D">
            <w:pPr>
              <w:spacing w:line="360" w:lineRule="auto"/>
              <w:ind w:firstLine="630" w:firstLineChars="300"/>
              <w:jc w:val="left"/>
              <w:rPr>
                <w:rFonts w:hint="eastAsia"/>
                <w:color w:val="auto"/>
                <w:highlight w:val="none"/>
              </w:rPr>
            </w:pPr>
            <w:r>
              <w:rPr>
                <w:rFonts w:hint="eastAsia" w:ascii="宋体" w:hAnsi="宋体" w:eastAsia="宋体" w:cs="宋体"/>
                <w:color w:val="auto"/>
                <w:highlight w:val="none"/>
              </w:rPr>
              <w:t>D1=</w:t>
            </w:r>
            <w:r>
              <w:rPr>
                <w:rFonts w:hint="eastAsia"/>
                <w:color w:val="auto"/>
                <w:highlight w:val="none"/>
              </w:rPr>
              <w:t>投标人报价；</w:t>
            </w:r>
          </w:p>
          <w:p w14:paraId="36CC9855">
            <w:pPr>
              <w:spacing w:line="360" w:lineRule="auto"/>
              <w:ind w:firstLine="630" w:firstLineChars="300"/>
              <w:jc w:val="left"/>
              <w:rPr>
                <w:rFonts w:hint="eastAsia"/>
                <w:color w:val="auto"/>
                <w:highlight w:val="none"/>
              </w:rPr>
            </w:pPr>
            <w:r>
              <w:rPr>
                <w:rFonts w:hint="eastAsia" w:ascii="宋体" w:hAnsi="宋体" w:eastAsia="宋体" w:cs="宋体"/>
                <w:color w:val="auto"/>
                <w:highlight w:val="none"/>
              </w:rPr>
              <w:t>D=</w:t>
            </w:r>
            <w:r>
              <w:rPr>
                <w:rFonts w:hint="eastAsia"/>
                <w:color w:val="auto"/>
                <w:highlight w:val="none"/>
              </w:rPr>
              <w:t>评标基准价；</w:t>
            </w:r>
          </w:p>
          <w:p w14:paraId="3098338E">
            <w:pPr>
              <w:spacing w:line="360" w:lineRule="auto"/>
              <w:ind w:firstLine="0" w:firstLineChars="0"/>
              <w:jc w:val="left"/>
              <w:rPr>
                <w:rFonts w:hint="eastAsia" w:ascii="宋体" w:hAnsi="宋体" w:eastAsia="宋体" w:cs="宋体"/>
                <w:color w:val="auto"/>
                <w:highlight w:val="none"/>
              </w:rPr>
            </w:pPr>
            <w:r>
              <w:rPr>
                <w:rFonts w:hint="eastAsia"/>
                <w:color w:val="auto"/>
                <w:highlight w:val="none"/>
              </w:rPr>
              <w:t>若</w:t>
            </w:r>
            <w:r>
              <w:rPr>
                <w:rFonts w:hint="eastAsia" w:ascii="宋体" w:hAnsi="宋体" w:eastAsia="宋体" w:cs="宋体"/>
                <w:color w:val="auto"/>
                <w:highlight w:val="none"/>
              </w:rPr>
              <w:t>D1≥D</w:t>
            </w:r>
            <w:r>
              <w:rPr>
                <w:rFonts w:hint="eastAsia" w:ascii="宋体" w:hAnsi="宋体" w:cs="宋体"/>
                <w:color w:val="auto"/>
                <w:highlight w:val="none"/>
                <w:lang w:eastAsia="zh-CN"/>
              </w:rPr>
              <w:t>，</w:t>
            </w:r>
            <w:r>
              <w:rPr>
                <w:rFonts w:hint="eastAsia" w:ascii="宋体" w:hAnsi="宋体" w:eastAsia="宋体" w:cs="宋体"/>
                <w:color w:val="auto"/>
                <w:highlight w:val="none"/>
              </w:rPr>
              <w:t>则E=</w:t>
            </w:r>
            <w:permStart w:id="164" w:edGrp="everyone"/>
            <w:r>
              <w:rPr>
                <w:rFonts w:hint="eastAsia" w:ascii="宋体" w:hAnsi="宋体" w:cs="宋体"/>
                <w:color w:val="auto"/>
                <w:highlight w:val="none"/>
                <w:lang w:val="en-US" w:eastAsia="zh-CN"/>
              </w:rPr>
              <w:t xml:space="preserve"> </w:t>
            </w:r>
            <w:r>
              <w:rPr>
                <w:rFonts w:hint="eastAsia" w:ascii="宋体" w:hAnsi="宋体" w:cs="宋体"/>
                <w:color w:val="auto"/>
                <w:highlight w:val="none"/>
                <w:u w:val="single"/>
                <w:lang w:val="en-US" w:eastAsia="zh-CN"/>
              </w:rPr>
              <w:t xml:space="preserve">/ </w:t>
            </w:r>
            <w:permEnd w:id="164"/>
            <w:r>
              <w:rPr>
                <w:rFonts w:hint="eastAsia" w:ascii="宋体" w:hAnsi="宋体" w:eastAsia="宋体" w:cs="宋体"/>
                <w:color w:val="auto"/>
                <w:highlight w:val="none"/>
              </w:rPr>
              <w:t>（</w:t>
            </w:r>
            <w:r>
              <w:rPr>
                <w:rFonts w:hint="eastAsia" w:ascii="宋体" w:hAnsi="宋体" w:eastAsia="宋体" w:cs="宋体"/>
                <w:color w:val="auto"/>
                <w:highlight w:val="none"/>
                <w:lang w:eastAsia="zh-CN"/>
              </w:rPr>
              <w:t>建议</w:t>
            </w:r>
            <w:r>
              <w:rPr>
                <w:rFonts w:hint="eastAsia" w:ascii="宋体" w:hAnsi="宋体" w:eastAsia="宋体" w:cs="宋体"/>
                <w:color w:val="auto"/>
                <w:highlight w:val="none"/>
              </w:rPr>
              <w:t>不低于0.5）</w:t>
            </w:r>
          </w:p>
          <w:p w14:paraId="59DBA773">
            <w:pPr>
              <w:spacing w:line="360" w:lineRule="auto"/>
              <w:ind w:firstLine="0" w:firstLineChars="0"/>
              <w:jc w:val="left"/>
              <w:rPr>
                <w:rFonts w:hint="eastAsia" w:ascii="宋体" w:hAnsi="宋体" w:cs="宋体"/>
                <w:color w:val="auto"/>
                <w:szCs w:val="21"/>
                <w:highlight w:val="none"/>
              </w:rPr>
            </w:pPr>
            <w:r>
              <w:rPr>
                <w:rFonts w:hint="eastAsia" w:ascii="宋体" w:hAnsi="宋体" w:eastAsia="宋体" w:cs="宋体"/>
                <w:color w:val="auto"/>
                <w:highlight w:val="none"/>
              </w:rPr>
              <w:t>若D1＜D</w:t>
            </w:r>
            <w:r>
              <w:rPr>
                <w:rFonts w:hint="eastAsia" w:ascii="宋体" w:hAnsi="宋体" w:cs="宋体"/>
                <w:color w:val="auto"/>
                <w:highlight w:val="none"/>
                <w:lang w:eastAsia="zh-CN"/>
              </w:rPr>
              <w:t>，</w:t>
            </w:r>
            <w:r>
              <w:rPr>
                <w:rFonts w:hint="eastAsia" w:ascii="宋体" w:hAnsi="宋体" w:eastAsia="宋体" w:cs="宋体"/>
                <w:color w:val="auto"/>
                <w:highlight w:val="none"/>
              </w:rPr>
              <w:t>则E=</w:t>
            </w:r>
            <w:permStart w:id="165" w:edGrp="everyone"/>
            <w:r>
              <w:rPr>
                <w:rFonts w:hint="eastAsia" w:ascii="宋体" w:hAnsi="宋体" w:cs="宋体"/>
                <w:color w:val="auto"/>
                <w:highlight w:val="none"/>
                <w:lang w:val="en-US" w:eastAsia="zh-CN"/>
              </w:rPr>
              <w:t xml:space="preserve"> </w:t>
            </w:r>
            <w:r>
              <w:rPr>
                <w:rFonts w:hint="eastAsia" w:ascii="宋体" w:hAnsi="宋体" w:cs="宋体"/>
                <w:color w:val="auto"/>
                <w:highlight w:val="none"/>
                <w:u w:val="single"/>
                <w:lang w:val="en-US" w:eastAsia="zh-CN"/>
              </w:rPr>
              <w:t xml:space="preserve">/ </w:t>
            </w:r>
            <w:permEnd w:id="165"/>
            <w:r>
              <w:rPr>
                <w:rFonts w:hint="eastAsia" w:ascii="宋体" w:hAnsi="宋体" w:eastAsia="宋体" w:cs="宋体"/>
                <w:color w:val="auto"/>
                <w:highlight w:val="none"/>
              </w:rPr>
              <w:t>（</w:t>
            </w:r>
            <w:r>
              <w:rPr>
                <w:rFonts w:hint="eastAsia" w:ascii="宋体" w:hAnsi="宋体" w:eastAsia="宋体" w:cs="宋体"/>
                <w:color w:val="auto"/>
                <w:highlight w:val="none"/>
                <w:lang w:eastAsia="zh-CN"/>
              </w:rPr>
              <w:t>建议</w:t>
            </w:r>
            <w:r>
              <w:rPr>
                <w:rFonts w:hint="eastAsia" w:ascii="宋体" w:hAnsi="宋体" w:eastAsia="宋体" w:cs="宋体"/>
                <w:color w:val="auto"/>
                <w:highlight w:val="none"/>
              </w:rPr>
              <w:t>不低于0.3）</w:t>
            </w:r>
          </w:p>
        </w:tc>
      </w:tr>
    </w:tbl>
    <w:p w14:paraId="0ABCBDA7">
      <w:pPr>
        <w:pStyle w:val="2"/>
        <w:jc w:val="center"/>
        <w:rPr>
          <w:rFonts w:hint="eastAsia" w:ascii="宋体" w:hAnsi="宋体" w:eastAsia="宋体" w:cs="宋体"/>
          <w:color w:val="auto"/>
          <w:szCs w:val="32"/>
          <w:highlight w:val="none"/>
        </w:rPr>
      </w:pPr>
      <w:r>
        <w:rPr>
          <w:rFonts w:hint="eastAsia" w:ascii="宋体" w:hAnsi="宋体" w:eastAsia="宋体" w:cs="宋体"/>
          <w:b/>
          <w:color w:val="auto"/>
          <w:sz w:val="32"/>
          <w:szCs w:val="32"/>
          <w:highlight w:val="none"/>
        </w:rPr>
        <w:br w:type="page"/>
      </w:r>
      <w:bookmarkStart w:id="2372" w:name="_Toc1958027052"/>
      <w:bookmarkStart w:id="2373" w:name="_Toc204358761"/>
      <w:bookmarkStart w:id="2374" w:name="_Toc782931750"/>
      <w:bookmarkStart w:id="2375" w:name="_Toc802985765"/>
      <w:bookmarkStart w:id="2376" w:name="_Toc1963565202"/>
      <w:bookmarkStart w:id="2377" w:name="_Toc49435577"/>
      <w:bookmarkStart w:id="2378" w:name="_Toc571358375"/>
      <w:bookmarkStart w:id="2379" w:name="_Toc2001251672"/>
      <w:bookmarkStart w:id="2380" w:name="_Toc602235022"/>
      <w:bookmarkStart w:id="2381" w:name="_Toc1739239123"/>
      <w:bookmarkStart w:id="2382" w:name="_Toc312862737"/>
      <w:bookmarkStart w:id="2383" w:name="_Toc1306069331"/>
      <w:bookmarkStart w:id="2384" w:name="_Toc372336248"/>
      <w:bookmarkStart w:id="2385" w:name="_Toc694419488"/>
      <w:bookmarkStart w:id="2386" w:name="_Toc242522966"/>
      <w:bookmarkStart w:id="2387" w:name="_Toc1966845667"/>
      <w:bookmarkStart w:id="2388" w:name="_Toc1391053981"/>
      <w:bookmarkStart w:id="2389" w:name="_Toc1376737461"/>
      <w:bookmarkStart w:id="2390" w:name="_Toc1795923198"/>
      <w:bookmarkStart w:id="2391" w:name="_Toc482779549"/>
      <w:bookmarkStart w:id="2392" w:name="_Toc1749187026"/>
      <w:bookmarkStart w:id="2393" w:name="_Toc1517969696"/>
      <w:bookmarkStart w:id="2394" w:name="_Toc1632237834"/>
      <w:bookmarkStart w:id="2395" w:name="_Toc1776445985"/>
      <w:bookmarkStart w:id="2396" w:name="_Toc702801083"/>
      <w:bookmarkStart w:id="2397" w:name="_Toc1515265277_WPSOffice_Level1"/>
      <w:bookmarkStart w:id="2398" w:name="_Toc1150102203"/>
      <w:bookmarkStart w:id="2399" w:name="_Toc796373510"/>
      <w:bookmarkStart w:id="2400" w:name="_Toc447507190"/>
      <w:bookmarkStart w:id="2401" w:name="_Toc1590270131"/>
      <w:bookmarkStart w:id="2402" w:name="_Toc1068654608"/>
      <w:bookmarkStart w:id="2403" w:name="_Toc1363076801"/>
      <w:bookmarkStart w:id="2404" w:name="_Toc478490670"/>
      <w:bookmarkStart w:id="2405" w:name="_Toc8064"/>
      <w:bookmarkStart w:id="2406" w:name="_Toc551143526"/>
      <w:bookmarkStart w:id="2407" w:name="_Toc279512166"/>
      <w:r>
        <w:rPr>
          <w:rFonts w:hint="eastAsia" w:ascii="宋体" w:hAnsi="宋体" w:eastAsia="宋体" w:cs="宋体"/>
          <w:b/>
          <w:bCs/>
          <w:color w:val="auto"/>
          <w:szCs w:val="32"/>
          <w:highlight w:val="none"/>
          <w:lang w:val="en-US" w:eastAsia="zh-CN"/>
        </w:rPr>
        <w:t xml:space="preserve">第四章 </w:t>
      </w:r>
      <w:r>
        <w:rPr>
          <w:rFonts w:hint="eastAsia" w:ascii="宋体" w:hAnsi="宋体" w:eastAsia="宋体" w:cs="宋体"/>
          <w:b/>
          <w:bCs/>
          <w:color w:val="auto"/>
          <w:szCs w:val="32"/>
          <w:highlight w:val="none"/>
        </w:rPr>
        <w:t>合同条款及格式</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p>
    <w:p w14:paraId="207CEEFC">
      <w:pPr>
        <w:spacing w:line="360" w:lineRule="auto"/>
        <w:ind w:firstLine="420" w:firstLineChars="200"/>
        <w:jc w:val="left"/>
        <w:rPr>
          <w:rFonts w:hint="eastAsia" w:ascii="宋体" w:hAnsi="宋体" w:eastAsia="宋体" w:cs="宋体"/>
          <w:color w:val="auto"/>
          <w:szCs w:val="21"/>
          <w:highlight w:val="none"/>
          <w:u w:val="single"/>
        </w:rPr>
      </w:pPr>
      <w:permStart w:id="166" w:edGrp="everyone"/>
      <w:bookmarkStart w:id="2408" w:name="_Toc1607877156_WPSOffice_Level2"/>
      <w:r>
        <w:rPr>
          <w:rFonts w:hint="eastAsia" w:ascii="宋体" w:hAnsi="宋体" w:eastAsia="宋体" w:cs="宋体"/>
          <w:color w:val="auto"/>
          <w:szCs w:val="21"/>
          <w:highlight w:val="none"/>
          <w:u w:val="single"/>
        </w:rPr>
        <w:t>采用：《建设工程施工合同（示范文本）》（GF-2017-0201）</w:t>
      </w:r>
      <w:bookmarkEnd w:id="2408"/>
    </w:p>
    <w:p w14:paraId="3A3F3AE4">
      <w:pPr>
        <w:spacing w:line="360" w:lineRule="auto"/>
        <w:ind w:firstLine="420" w:firstLineChars="200"/>
        <w:jc w:val="left"/>
        <w:rPr>
          <w:rFonts w:hint="eastAsia" w:ascii="宋体" w:hAnsi="宋体" w:eastAsia="宋体" w:cs="宋体"/>
          <w:color w:val="auto"/>
          <w:szCs w:val="21"/>
          <w:highlight w:val="none"/>
          <w:u w:val="single"/>
        </w:rPr>
      </w:pPr>
    </w:p>
    <w:p w14:paraId="375CD3D4">
      <w:pPr>
        <w:spacing w:line="360" w:lineRule="auto"/>
        <w:ind w:firstLine="420" w:firstLineChars="200"/>
        <w:jc w:val="left"/>
        <w:rPr>
          <w:rFonts w:hint="eastAsia" w:ascii="宋体" w:hAnsi="宋体" w:eastAsia="宋体" w:cs="宋体"/>
          <w:color w:val="auto"/>
          <w:szCs w:val="21"/>
          <w:highlight w:val="none"/>
          <w:u w:val="single"/>
        </w:rPr>
      </w:pPr>
    </w:p>
    <w:p w14:paraId="4915D823">
      <w:pPr>
        <w:spacing w:line="360" w:lineRule="auto"/>
        <w:ind w:firstLine="420" w:firstLineChars="200"/>
        <w:jc w:val="left"/>
        <w:rPr>
          <w:rFonts w:hint="eastAsia" w:ascii="宋体" w:hAnsi="宋体" w:eastAsia="宋体" w:cs="宋体"/>
          <w:color w:val="auto"/>
          <w:szCs w:val="21"/>
          <w:highlight w:val="none"/>
          <w:u w:val="single"/>
        </w:rPr>
      </w:pPr>
    </w:p>
    <w:p w14:paraId="14E81F1A">
      <w:pPr>
        <w:spacing w:line="360" w:lineRule="auto"/>
        <w:ind w:firstLine="420" w:firstLineChars="200"/>
        <w:jc w:val="left"/>
        <w:rPr>
          <w:rFonts w:hint="eastAsia" w:ascii="宋体" w:hAnsi="宋体" w:eastAsia="宋体" w:cs="宋体"/>
          <w:color w:val="auto"/>
          <w:szCs w:val="21"/>
          <w:highlight w:val="none"/>
          <w:u w:val="single"/>
        </w:rPr>
      </w:pPr>
    </w:p>
    <w:p w14:paraId="653A1AFD">
      <w:pPr>
        <w:spacing w:line="360" w:lineRule="auto"/>
        <w:ind w:firstLine="420" w:firstLineChars="200"/>
        <w:jc w:val="left"/>
        <w:rPr>
          <w:rFonts w:hint="eastAsia" w:ascii="宋体" w:hAnsi="宋体" w:eastAsia="宋体" w:cs="宋体"/>
          <w:color w:val="auto"/>
          <w:szCs w:val="21"/>
          <w:highlight w:val="none"/>
          <w:u w:val="single"/>
        </w:rPr>
      </w:pPr>
    </w:p>
    <w:p w14:paraId="188CB174">
      <w:pPr>
        <w:spacing w:line="360" w:lineRule="auto"/>
        <w:ind w:firstLine="420" w:firstLineChars="200"/>
        <w:jc w:val="left"/>
        <w:rPr>
          <w:rFonts w:hint="eastAsia" w:ascii="宋体" w:hAnsi="宋体" w:eastAsia="宋体" w:cs="宋体"/>
          <w:color w:val="auto"/>
          <w:szCs w:val="21"/>
          <w:highlight w:val="none"/>
          <w:u w:val="single"/>
        </w:rPr>
      </w:pPr>
    </w:p>
    <w:p w14:paraId="321EE4C2">
      <w:pPr>
        <w:spacing w:line="360" w:lineRule="auto"/>
        <w:ind w:firstLine="420" w:firstLineChars="200"/>
        <w:jc w:val="left"/>
        <w:rPr>
          <w:rFonts w:hint="eastAsia" w:ascii="宋体" w:hAnsi="宋体" w:eastAsia="宋体" w:cs="宋体"/>
          <w:color w:val="auto"/>
          <w:szCs w:val="21"/>
          <w:highlight w:val="none"/>
          <w:u w:val="single"/>
        </w:rPr>
      </w:pPr>
    </w:p>
    <w:p w14:paraId="77B7AB0A">
      <w:pPr>
        <w:spacing w:line="360" w:lineRule="auto"/>
        <w:ind w:firstLine="420" w:firstLineChars="200"/>
        <w:jc w:val="left"/>
        <w:rPr>
          <w:rFonts w:hint="eastAsia" w:ascii="宋体" w:hAnsi="宋体" w:eastAsia="宋体" w:cs="宋体"/>
          <w:color w:val="auto"/>
          <w:szCs w:val="21"/>
          <w:highlight w:val="none"/>
          <w:u w:val="single"/>
        </w:rPr>
      </w:pPr>
    </w:p>
    <w:p w14:paraId="1137D3E5">
      <w:pPr>
        <w:spacing w:line="360" w:lineRule="auto"/>
        <w:ind w:firstLine="420" w:firstLineChars="200"/>
        <w:jc w:val="left"/>
        <w:rPr>
          <w:rFonts w:hint="eastAsia" w:ascii="宋体" w:hAnsi="宋体" w:eastAsia="宋体" w:cs="宋体"/>
          <w:color w:val="auto"/>
          <w:szCs w:val="21"/>
          <w:highlight w:val="none"/>
          <w:u w:val="single"/>
        </w:rPr>
      </w:pPr>
    </w:p>
    <w:p w14:paraId="58E0FAD9">
      <w:pPr>
        <w:spacing w:line="360" w:lineRule="auto"/>
        <w:ind w:firstLine="420" w:firstLineChars="200"/>
        <w:jc w:val="left"/>
        <w:rPr>
          <w:rFonts w:hint="eastAsia" w:ascii="宋体" w:hAnsi="宋体" w:eastAsia="宋体" w:cs="宋体"/>
          <w:color w:val="auto"/>
          <w:szCs w:val="21"/>
          <w:highlight w:val="none"/>
          <w:u w:val="single"/>
        </w:rPr>
      </w:pPr>
    </w:p>
    <w:p w14:paraId="23928DBD">
      <w:pPr>
        <w:spacing w:line="360" w:lineRule="auto"/>
        <w:ind w:firstLine="420" w:firstLineChars="200"/>
        <w:jc w:val="left"/>
        <w:rPr>
          <w:rFonts w:hint="eastAsia" w:ascii="宋体" w:hAnsi="宋体" w:eastAsia="宋体" w:cs="宋体"/>
          <w:color w:val="auto"/>
          <w:szCs w:val="21"/>
          <w:highlight w:val="none"/>
          <w:u w:val="single"/>
        </w:rPr>
      </w:pPr>
    </w:p>
    <w:p w14:paraId="71C64481">
      <w:pPr>
        <w:spacing w:line="360" w:lineRule="auto"/>
        <w:ind w:firstLine="420" w:firstLineChars="200"/>
        <w:jc w:val="left"/>
        <w:rPr>
          <w:rFonts w:hint="eastAsia" w:ascii="宋体" w:hAnsi="宋体" w:eastAsia="宋体" w:cs="宋体"/>
          <w:color w:val="auto"/>
          <w:szCs w:val="21"/>
          <w:highlight w:val="none"/>
          <w:u w:val="single"/>
        </w:rPr>
      </w:pPr>
    </w:p>
    <w:p w14:paraId="53A1354D">
      <w:pPr>
        <w:spacing w:line="360" w:lineRule="auto"/>
        <w:ind w:firstLine="420" w:firstLineChars="200"/>
        <w:jc w:val="left"/>
        <w:rPr>
          <w:rFonts w:hint="eastAsia" w:ascii="宋体" w:hAnsi="宋体" w:eastAsia="宋体" w:cs="宋体"/>
          <w:color w:val="auto"/>
          <w:szCs w:val="21"/>
          <w:highlight w:val="none"/>
          <w:u w:val="single"/>
        </w:rPr>
      </w:pPr>
    </w:p>
    <w:p w14:paraId="415EDAA1">
      <w:pPr>
        <w:spacing w:line="360" w:lineRule="auto"/>
        <w:ind w:firstLine="420" w:firstLineChars="200"/>
        <w:jc w:val="left"/>
        <w:rPr>
          <w:rFonts w:hint="eastAsia" w:ascii="宋体" w:hAnsi="宋体" w:eastAsia="宋体" w:cs="宋体"/>
          <w:color w:val="auto"/>
          <w:szCs w:val="21"/>
          <w:highlight w:val="none"/>
          <w:u w:val="single"/>
        </w:rPr>
      </w:pPr>
    </w:p>
    <w:p w14:paraId="0E7992A5">
      <w:pPr>
        <w:spacing w:line="360" w:lineRule="auto"/>
        <w:ind w:firstLine="420" w:firstLineChars="200"/>
        <w:jc w:val="left"/>
        <w:rPr>
          <w:rFonts w:hint="eastAsia" w:ascii="宋体" w:hAnsi="宋体" w:eastAsia="宋体" w:cs="宋体"/>
          <w:color w:val="auto"/>
          <w:szCs w:val="21"/>
          <w:highlight w:val="none"/>
          <w:u w:val="single"/>
        </w:rPr>
      </w:pPr>
    </w:p>
    <w:p w14:paraId="1BE49460">
      <w:pPr>
        <w:spacing w:line="360" w:lineRule="auto"/>
        <w:ind w:firstLine="420" w:firstLineChars="200"/>
        <w:jc w:val="left"/>
        <w:rPr>
          <w:rFonts w:hint="eastAsia" w:ascii="宋体" w:hAnsi="宋体" w:eastAsia="宋体" w:cs="宋体"/>
          <w:color w:val="auto"/>
          <w:szCs w:val="21"/>
          <w:highlight w:val="none"/>
          <w:u w:val="single"/>
        </w:rPr>
      </w:pPr>
    </w:p>
    <w:p w14:paraId="0329528A">
      <w:pPr>
        <w:spacing w:line="360" w:lineRule="auto"/>
        <w:ind w:firstLine="420" w:firstLineChars="200"/>
        <w:jc w:val="left"/>
        <w:rPr>
          <w:rFonts w:hint="eastAsia" w:ascii="宋体" w:hAnsi="宋体" w:eastAsia="宋体" w:cs="宋体"/>
          <w:color w:val="auto"/>
          <w:szCs w:val="21"/>
          <w:highlight w:val="none"/>
          <w:u w:val="single"/>
        </w:rPr>
      </w:pPr>
    </w:p>
    <w:p w14:paraId="685DC74E">
      <w:pPr>
        <w:spacing w:line="360" w:lineRule="auto"/>
        <w:ind w:firstLine="420" w:firstLineChars="200"/>
        <w:jc w:val="left"/>
        <w:rPr>
          <w:rFonts w:hint="eastAsia" w:ascii="宋体" w:hAnsi="宋体" w:eastAsia="宋体" w:cs="宋体"/>
          <w:color w:val="auto"/>
          <w:szCs w:val="21"/>
          <w:highlight w:val="none"/>
          <w:u w:val="single"/>
        </w:rPr>
      </w:pPr>
    </w:p>
    <w:p w14:paraId="4AFDE849">
      <w:pPr>
        <w:spacing w:line="360" w:lineRule="auto"/>
        <w:ind w:firstLine="420" w:firstLineChars="200"/>
        <w:jc w:val="left"/>
        <w:rPr>
          <w:rFonts w:hint="eastAsia" w:ascii="宋体" w:hAnsi="宋体" w:eastAsia="宋体" w:cs="宋体"/>
          <w:color w:val="auto"/>
          <w:szCs w:val="21"/>
          <w:highlight w:val="none"/>
          <w:u w:val="single"/>
        </w:rPr>
      </w:pPr>
    </w:p>
    <w:p w14:paraId="0523E2C4">
      <w:pPr>
        <w:spacing w:line="360" w:lineRule="auto"/>
        <w:ind w:firstLine="420" w:firstLineChars="200"/>
        <w:jc w:val="left"/>
        <w:rPr>
          <w:rFonts w:hint="eastAsia" w:ascii="宋体" w:hAnsi="宋体" w:eastAsia="宋体" w:cs="宋体"/>
          <w:color w:val="auto"/>
          <w:szCs w:val="21"/>
          <w:highlight w:val="none"/>
          <w:u w:val="single"/>
        </w:rPr>
      </w:pPr>
    </w:p>
    <w:p w14:paraId="025AFFE9">
      <w:pPr>
        <w:spacing w:line="360" w:lineRule="auto"/>
        <w:ind w:firstLine="420" w:firstLineChars="200"/>
        <w:jc w:val="left"/>
        <w:rPr>
          <w:rFonts w:hint="eastAsia" w:ascii="宋体" w:hAnsi="宋体" w:eastAsia="宋体" w:cs="宋体"/>
          <w:color w:val="auto"/>
          <w:szCs w:val="21"/>
          <w:highlight w:val="none"/>
          <w:u w:val="single"/>
        </w:rPr>
      </w:pPr>
    </w:p>
    <w:p w14:paraId="7F7107DF">
      <w:pPr>
        <w:spacing w:line="360" w:lineRule="auto"/>
        <w:ind w:firstLine="420" w:firstLineChars="200"/>
        <w:jc w:val="left"/>
        <w:rPr>
          <w:rFonts w:hint="eastAsia" w:ascii="宋体" w:hAnsi="宋体" w:eastAsia="宋体" w:cs="宋体"/>
          <w:color w:val="auto"/>
          <w:szCs w:val="21"/>
          <w:highlight w:val="none"/>
          <w:u w:val="single"/>
        </w:rPr>
      </w:pPr>
    </w:p>
    <w:p w14:paraId="4ADC0C16">
      <w:pPr>
        <w:spacing w:line="480" w:lineRule="auto"/>
        <w:jc w:val="center"/>
        <w:rPr>
          <w:rFonts w:hint="eastAsia" w:ascii="宋体" w:hAnsi="宋体" w:eastAsia="宋体" w:cs="宋体"/>
          <w:b/>
          <w:bCs/>
          <w:color w:val="auto"/>
          <w:sz w:val="52"/>
          <w:szCs w:val="52"/>
          <w:highlight w:val="none"/>
          <w:lang w:bidi="ar"/>
        </w:rPr>
      </w:pPr>
    </w:p>
    <w:p w14:paraId="7630BCDD">
      <w:pPr>
        <w:spacing w:line="480" w:lineRule="auto"/>
        <w:jc w:val="center"/>
        <w:rPr>
          <w:rFonts w:hint="eastAsia" w:ascii="宋体" w:hAnsi="宋体" w:eastAsia="宋体" w:cs="宋体"/>
          <w:b/>
          <w:bCs/>
          <w:color w:val="auto"/>
          <w:sz w:val="52"/>
          <w:szCs w:val="52"/>
          <w:highlight w:val="none"/>
          <w:lang w:bidi="ar"/>
        </w:rPr>
      </w:pPr>
    </w:p>
    <w:p w14:paraId="14171D2F">
      <w:pPr>
        <w:spacing w:line="480" w:lineRule="auto"/>
        <w:jc w:val="center"/>
        <w:rPr>
          <w:rFonts w:hint="eastAsia" w:ascii="宋体" w:hAnsi="宋体" w:eastAsia="宋体" w:cs="宋体"/>
          <w:b/>
          <w:bCs/>
          <w:color w:val="auto"/>
          <w:sz w:val="52"/>
          <w:szCs w:val="52"/>
          <w:highlight w:val="none"/>
          <w:lang w:bidi="ar"/>
        </w:rPr>
      </w:pPr>
    </w:p>
    <w:p w14:paraId="17BA43E5">
      <w:pPr>
        <w:spacing w:line="480" w:lineRule="auto"/>
        <w:jc w:val="center"/>
        <w:rPr>
          <w:rFonts w:hint="eastAsia" w:ascii="宋体" w:hAnsi="宋体" w:eastAsia="宋体" w:cs="宋体"/>
          <w:b/>
          <w:bCs/>
          <w:color w:val="auto"/>
          <w:sz w:val="52"/>
          <w:szCs w:val="52"/>
          <w:highlight w:val="none"/>
        </w:rPr>
      </w:pPr>
      <w:r>
        <w:rPr>
          <w:rFonts w:hint="eastAsia" w:ascii="宋体" w:hAnsi="宋体" w:eastAsia="宋体" w:cs="宋体"/>
          <w:b/>
          <w:bCs/>
          <w:color w:val="auto"/>
          <w:sz w:val="52"/>
          <w:szCs w:val="52"/>
          <w:highlight w:val="none"/>
          <w:lang w:bidi="ar"/>
        </w:rPr>
        <w:t xml:space="preserve">建 设 工 程 施 工 合 同 </w:t>
      </w:r>
    </w:p>
    <w:p w14:paraId="51367DF5">
      <w:pPr>
        <w:spacing w:line="480" w:lineRule="auto"/>
        <w:jc w:val="center"/>
        <w:rPr>
          <w:rFonts w:hint="eastAsia" w:ascii="宋体" w:hAnsi="宋体" w:eastAsia="宋体" w:cs="宋体"/>
          <w:b/>
          <w:bCs/>
          <w:color w:val="auto"/>
          <w:sz w:val="52"/>
          <w:szCs w:val="52"/>
          <w:highlight w:val="none"/>
        </w:rPr>
      </w:pPr>
      <w:r>
        <w:rPr>
          <w:rFonts w:hint="eastAsia" w:ascii="宋体" w:hAnsi="宋体" w:eastAsia="宋体" w:cs="宋体"/>
          <w:b/>
          <w:bCs/>
          <w:color w:val="auto"/>
          <w:sz w:val="52"/>
          <w:szCs w:val="52"/>
          <w:highlight w:val="none"/>
          <w:lang w:bidi="ar"/>
        </w:rPr>
        <w:t xml:space="preserve">补 充 协 议 书 </w:t>
      </w:r>
    </w:p>
    <w:p w14:paraId="46864C4D">
      <w:pPr>
        <w:spacing w:line="360" w:lineRule="auto"/>
        <w:jc w:val="center"/>
        <w:rPr>
          <w:rFonts w:hint="eastAsia" w:ascii="宋体" w:hAnsi="宋体" w:eastAsia="宋体" w:cs="宋体"/>
          <w:color w:val="auto"/>
          <w:szCs w:val="21"/>
          <w:highlight w:val="none"/>
        </w:rPr>
      </w:pPr>
    </w:p>
    <w:p w14:paraId="70C185CD">
      <w:pPr>
        <w:spacing w:line="360" w:lineRule="auto"/>
        <w:jc w:val="center"/>
        <w:rPr>
          <w:rFonts w:hint="eastAsia" w:ascii="宋体" w:hAnsi="宋体" w:eastAsia="宋体" w:cs="宋体"/>
          <w:color w:val="auto"/>
          <w:szCs w:val="21"/>
          <w:highlight w:val="none"/>
        </w:rPr>
      </w:pPr>
    </w:p>
    <w:p w14:paraId="3BDBFCE4">
      <w:pPr>
        <w:spacing w:line="360" w:lineRule="auto"/>
        <w:jc w:val="center"/>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lang w:bidi="ar"/>
        </w:rPr>
        <w:t xml:space="preserve"> </w:t>
      </w:r>
    </w:p>
    <w:p w14:paraId="0BA67082">
      <w:pPr>
        <w:spacing w:line="360" w:lineRule="auto"/>
        <w:jc w:val="center"/>
        <w:rPr>
          <w:rFonts w:hint="eastAsia" w:ascii="宋体" w:hAnsi="宋体" w:eastAsia="宋体" w:cs="宋体"/>
          <w:color w:val="auto"/>
          <w:szCs w:val="21"/>
          <w:highlight w:val="none"/>
        </w:rPr>
      </w:pPr>
    </w:p>
    <w:p w14:paraId="646C9E7C">
      <w:pPr>
        <w:spacing w:line="360" w:lineRule="auto"/>
        <w:jc w:val="center"/>
        <w:rPr>
          <w:rFonts w:hint="eastAsia" w:ascii="宋体" w:hAnsi="宋体" w:eastAsia="宋体" w:cs="宋体"/>
          <w:color w:val="auto"/>
          <w:szCs w:val="21"/>
          <w:highlight w:val="none"/>
        </w:rPr>
      </w:pPr>
    </w:p>
    <w:p w14:paraId="4D735C86">
      <w:pPr>
        <w:spacing w:line="360" w:lineRule="auto"/>
        <w:jc w:val="center"/>
        <w:rPr>
          <w:rFonts w:hint="eastAsia" w:ascii="宋体" w:hAnsi="宋体" w:eastAsia="宋体" w:cs="宋体"/>
          <w:color w:val="auto"/>
          <w:szCs w:val="21"/>
          <w:highlight w:val="none"/>
        </w:rPr>
      </w:pPr>
    </w:p>
    <w:p w14:paraId="285684AE">
      <w:pPr>
        <w:spacing w:line="360" w:lineRule="auto"/>
        <w:jc w:val="center"/>
        <w:rPr>
          <w:rFonts w:hint="eastAsia" w:ascii="宋体" w:hAnsi="宋体" w:eastAsia="宋体" w:cs="宋体"/>
          <w:color w:val="auto"/>
          <w:szCs w:val="21"/>
          <w:highlight w:val="none"/>
        </w:rPr>
      </w:pPr>
    </w:p>
    <w:p w14:paraId="56534AF7">
      <w:pPr>
        <w:spacing w:line="360" w:lineRule="auto"/>
        <w:jc w:val="center"/>
        <w:rPr>
          <w:rFonts w:hint="eastAsia" w:ascii="宋体" w:hAnsi="宋体" w:eastAsia="宋体" w:cs="宋体"/>
          <w:color w:val="auto"/>
          <w:szCs w:val="21"/>
          <w:highlight w:val="none"/>
        </w:rPr>
      </w:pPr>
    </w:p>
    <w:p w14:paraId="775CD793">
      <w:pPr>
        <w:spacing w:line="360" w:lineRule="auto"/>
        <w:jc w:val="center"/>
        <w:rPr>
          <w:rFonts w:hint="eastAsia" w:ascii="宋体" w:hAnsi="宋体" w:eastAsia="宋体" w:cs="宋体"/>
          <w:color w:val="auto"/>
          <w:szCs w:val="21"/>
          <w:highlight w:val="none"/>
        </w:rPr>
      </w:pPr>
    </w:p>
    <w:p w14:paraId="6C7CBD8E">
      <w:pPr>
        <w:spacing w:line="360" w:lineRule="auto"/>
        <w:jc w:val="center"/>
        <w:rPr>
          <w:rFonts w:hint="eastAsia" w:ascii="宋体" w:hAnsi="宋体" w:eastAsia="宋体" w:cs="宋体"/>
          <w:color w:val="auto"/>
          <w:szCs w:val="21"/>
          <w:highlight w:val="none"/>
        </w:rPr>
      </w:pPr>
    </w:p>
    <w:p w14:paraId="10EC55F2">
      <w:pPr>
        <w:spacing w:line="360" w:lineRule="auto"/>
        <w:jc w:val="center"/>
        <w:rPr>
          <w:rFonts w:hint="eastAsia" w:ascii="宋体" w:hAnsi="宋体" w:eastAsia="宋体" w:cs="宋体"/>
          <w:color w:val="auto"/>
          <w:szCs w:val="21"/>
          <w:highlight w:val="none"/>
        </w:rPr>
      </w:pPr>
    </w:p>
    <w:p w14:paraId="1DB4E233">
      <w:pPr>
        <w:spacing w:line="360" w:lineRule="auto"/>
        <w:jc w:val="center"/>
        <w:rPr>
          <w:rFonts w:hint="eastAsia" w:ascii="宋体" w:hAnsi="宋体" w:eastAsia="宋体" w:cs="宋体"/>
          <w:color w:val="auto"/>
          <w:szCs w:val="21"/>
          <w:highlight w:val="none"/>
        </w:rPr>
      </w:pPr>
    </w:p>
    <w:p w14:paraId="3463E164">
      <w:pPr>
        <w:keepNext w:val="0"/>
        <w:keepLines w:val="0"/>
        <w:pageBreakBefore w:val="0"/>
        <w:kinsoku/>
        <w:wordWrap/>
        <w:overflowPunct/>
        <w:topLinePunct w:val="0"/>
        <w:autoSpaceDE/>
        <w:autoSpaceDN/>
        <w:bidi w:val="0"/>
        <w:adjustRightInd/>
        <w:snapToGrid/>
        <w:spacing w:line="360" w:lineRule="auto"/>
        <w:ind w:left="1959" w:leftChars="266" w:hanging="1400" w:hangingChars="5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Cs/>
          <w:color w:val="auto"/>
          <w:sz w:val="28"/>
          <w:szCs w:val="28"/>
          <w:highlight w:val="none"/>
          <w:lang w:bidi="ar"/>
        </w:rPr>
        <w:t>工程名称：</w:t>
      </w:r>
      <w:r>
        <w:rPr>
          <w:rFonts w:hint="eastAsia" w:ascii="仿宋_GB2312" w:hAnsi="仿宋_GB2312" w:eastAsia="仿宋_GB2312" w:cs="仿宋_GB2312"/>
          <w:color w:val="auto"/>
          <w:sz w:val="28"/>
          <w:szCs w:val="28"/>
          <w:highlight w:val="none"/>
          <w:u w:val="single"/>
          <w:lang w:eastAsia="zh-CN" w:bidi="ar"/>
        </w:rPr>
        <w:t xml:space="preserve">                                     </w:t>
      </w:r>
    </w:p>
    <w:p w14:paraId="69BFC3F4">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bCs/>
          <w:color w:val="auto"/>
          <w:sz w:val="28"/>
          <w:szCs w:val="28"/>
          <w:highlight w:val="none"/>
          <w:lang w:bidi="ar"/>
        </w:rPr>
        <w:t>工程地点：</w:t>
      </w:r>
      <w:r>
        <w:rPr>
          <w:rFonts w:hint="eastAsia" w:ascii="仿宋_GB2312" w:hAnsi="仿宋_GB2312" w:eastAsia="仿宋_GB2312" w:cs="仿宋_GB2312"/>
          <w:color w:val="auto"/>
          <w:sz w:val="28"/>
          <w:szCs w:val="28"/>
          <w:highlight w:val="none"/>
          <w:u w:val="single"/>
          <w:lang w:bidi="ar"/>
        </w:rPr>
        <w:t xml:space="preserve">坦洲镇                              </w:t>
      </w:r>
    </w:p>
    <w:p w14:paraId="29E6F202">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Cs/>
          <w:color w:val="auto"/>
          <w:sz w:val="28"/>
          <w:szCs w:val="28"/>
          <w:highlight w:val="none"/>
          <w:lang w:bidi="ar"/>
        </w:rPr>
        <w:t>发 包 人：</w:t>
      </w:r>
      <w:r>
        <w:rPr>
          <w:rFonts w:hint="eastAsia" w:ascii="仿宋_GB2312" w:hAnsi="仿宋_GB2312" w:eastAsia="仿宋_GB2312" w:cs="仿宋_GB2312"/>
          <w:color w:val="auto"/>
          <w:sz w:val="28"/>
          <w:szCs w:val="28"/>
          <w:highlight w:val="none"/>
          <w:u w:val="single"/>
          <w:lang w:eastAsia="zh-CN" w:bidi="ar"/>
        </w:rPr>
        <w:t>中山市坦能科技有限公司</w:t>
      </w:r>
      <w:r>
        <w:rPr>
          <w:rFonts w:hint="eastAsia" w:ascii="仿宋_GB2312" w:hAnsi="仿宋_GB2312" w:eastAsia="仿宋_GB2312" w:cs="仿宋_GB2312"/>
          <w:color w:val="auto"/>
          <w:sz w:val="28"/>
          <w:szCs w:val="28"/>
          <w:highlight w:val="none"/>
          <w:u w:val="single"/>
          <w:lang w:bidi="ar"/>
        </w:rPr>
        <w:t xml:space="preserve">  </w:t>
      </w:r>
    </w:p>
    <w:p w14:paraId="553FA1D7">
      <w:pPr>
        <w:pStyle w:val="23"/>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u w:val="single"/>
          <w:lang w:bidi="ar"/>
        </w:rPr>
      </w:pPr>
      <w:r>
        <w:rPr>
          <w:rFonts w:hint="eastAsia" w:ascii="仿宋_GB2312" w:hAnsi="仿宋_GB2312" w:eastAsia="仿宋_GB2312" w:cs="仿宋_GB2312"/>
          <w:bCs/>
          <w:color w:val="auto"/>
          <w:sz w:val="28"/>
          <w:szCs w:val="28"/>
          <w:highlight w:val="none"/>
          <w:lang w:bidi="ar"/>
        </w:rPr>
        <w:t>承 包 人：</w:t>
      </w:r>
      <w:r>
        <w:rPr>
          <w:rFonts w:hint="eastAsia" w:ascii="仿宋_GB2312" w:hAnsi="仿宋_GB2312" w:eastAsia="仿宋_GB2312" w:cs="仿宋_GB2312"/>
          <w:bCs/>
          <w:color w:val="auto"/>
          <w:sz w:val="28"/>
          <w:szCs w:val="28"/>
          <w:highlight w:val="none"/>
          <w:u w:val="single"/>
          <w:lang w:eastAsia="zh-CN" w:bidi="ar"/>
        </w:rPr>
        <w:t xml:space="preserve">                             </w:t>
      </w:r>
      <w:r>
        <w:rPr>
          <w:rFonts w:hint="eastAsia" w:ascii="仿宋_GB2312" w:hAnsi="仿宋_GB2312" w:eastAsia="仿宋_GB2312" w:cs="仿宋_GB2312"/>
          <w:color w:val="auto"/>
          <w:sz w:val="28"/>
          <w:szCs w:val="28"/>
          <w:highlight w:val="none"/>
          <w:u w:val="single"/>
          <w:lang w:bidi="ar"/>
        </w:rPr>
        <w:t xml:space="preserve">       </w:t>
      </w:r>
    </w:p>
    <w:p w14:paraId="452FB278">
      <w:pPr>
        <w:pStyle w:val="23"/>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bCs/>
          <w:color w:val="auto"/>
          <w:sz w:val="36"/>
          <w:szCs w:val="36"/>
          <w:highlight w:val="none"/>
        </w:rPr>
        <w:sectPr>
          <w:pgSz w:w="11906" w:h="16838"/>
          <w:pgMar w:top="1440" w:right="1800" w:bottom="1440" w:left="1800" w:header="851" w:footer="992" w:gutter="0"/>
          <w:cols w:space="720" w:num="1"/>
          <w:docGrid w:type="lines" w:linePitch="312" w:charSpace="0"/>
        </w:sectPr>
      </w:pPr>
      <w:r>
        <w:rPr>
          <w:rFonts w:hint="eastAsia" w:ascii="仿宋_GB2312" w:hAnsi="仿宋_GB2312" w:eastAsia="仿宋_GB2312" w:cs="仿宋_GB2312"/>
          <w:color w:val="auto"/>
          <w:sz w:val="28"/>
          <w:szCs w:val="28"/>
          <w:highlight w:val="none"/>
          <w:u w:val="none"/>
          <w:lang w:val="en-US" w:eastAsia="zh-CN" w:bidi="ar"/>
        </w:rPr>
        <w:t>代建单位：</w:t>
      </w:r>
      <w:r>
        <w:rPr>
          <w:rFonts w:hint="eastAsia" w:ascii="仿宋_GB2312" w:hAnsi="仿宋_GB2312" w:eastAsia="仿宋_GB2312" w:cs="仿宋_GB2312"/>
          <w:color w:val="auto"/>
          <w:sz w:val="28"/>
          <w:szCs w:val="28"/>
          <w:highlight w:val="none"/>
          <w:u w:val="single"/>
          <w:lang w:val="en-US" w:eastAsia="zh-CN" w:bidi="ar"/>
        </w:rPr>
        <w:t xml:space="preserve">                                    </w:t>
      </w:r>
    </w:p>
    <w:p w14:paraId="6FF15395">
      <w:pPr>
        <w:spacing w:line="500" w:lineRule="exact"/>
        <w:ind w:right="-98"/>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lang w:bidi="ar"/>
        </w:rPr>
        <w:t>建设工程施工合同补充协议书</w:t>
      </w:r>
    </w:p>
    <w:p w14:paraId="140D713C">
      <w:pPr>
        <w:spacing w:line="500" w:lineRule="exact"/>
        <w:rPr>
          <w:rFonts w:hint="eastAsia" w:ascii="宋体" w:hAnsi="宋体" w:eastAsia="宋体" w:cs="宋体"/>
          <w:color w:val="auto"/>
          <w:sz w:val="28"/>
          <w:szCs w:val="28"/>
          <w:highlight w:val="none"/>
        </w:rPr>
      </w:pPr>
    </w:p>
    <w:p w14:paraId="5C88B267">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发包人:</w:t>
      </w:r>
      <w:r>
        <w:rPr>
          <w:rFonts w:hint="eastAsia" w:ascii="宋体" w:hAnsi="宋体" w:eastAsia="宋体" w:cs="宋体"/>
          <w:color w:val="auto"/>
          <w:szCs w:val="21"/>
          <w:highlight w:val="none"/>
          <w:u w:val="single"/>
          <w:lang w:bidi="ar"/>
        </w:rPr>
        <w:t xml:space="preserve"> 中山市坦能科技有限公司</w:t>
      </w:r>
      <w:r>
        <w:rPr>
          <w:rFonts w:hint="eastAsia" w:ascii="宋体" w:hAnsi="宋体" w:eastAsia="宋体" w:cs="宋体"/>
          <w:color w:val="auto"/>
          <w:szCs w:val="21"/>
          <w:highlight w:val="none"/>
          <w:lang w:bidi="ar"/>
        </w:rPr>
        <w:t xml:space="preserve"> (以下简称甲方)</w:t>
      </w:r>
    </w:p>
    <w:p w14:paraId="44E2EA47">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承包人:</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 xml:space="preserve"> (以下简称乙方)</w:t>
      </w:r>
    </w:p>
    <w:p w14:paraId="38F746E6">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代建单位：</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（以下简称丙方）</w:t>
      </w:r>
    </w:p>
    <w:p w14:paraId="6EAF99D9">
      <w:pPr>
        <w:snapToGrid w:val="0"/>
        <w:spacing w:line="500" w:lineRule="exact"/>
        <w:ind w:firstLine="420" w:firstLineChars="200"/>
        <w:rPr>
          <w:rFonts w:hint="eastAsia" w:ascii="宋体" w:hAnsi="宋体" w:eastAsia="宋体" w:cs="宋体"/>
          <w:color w:val="auto"/>
          <w:szCs w:val="21"/>
          <w:highlight w:val="none"/>
          <w:lang w:bidi="ar"/>
        </w:rPr>
      </w:pPr>
    </w:p>
    <w:p w14:paraId="5FA7AC16">
      <w:pPr>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依照中华人民共和国相关法律、行政法规及甲、乙双方签订的《建设工程施工合同》（以下简称《施工合同》），遵循平等、自愿、公平和诚实信用的原则，甲、乙、丙三方就本建设工程施工事项协商一致，订立本合同。</w:t>
      </w:r>
    </w:p>
    <w:p w14:paraId="55E8CB79">
      <w:pPr>
        <w:snapToGrid w:val="0"/>
        <w:spacing w:line="500" w:lineRule="exact"/>
        <w:ind w:left="424" w:leftChars="202"/>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bidi="ar"/>
        </w:rPr>
        <w:t>一、工程概况</w:t>
      </w:r>
    </w:p>
    <w:p w14:paraId="545185FF">
      <w:pPr>
        <w:snapToGrid w:val="0"/>
        <w:spacing w:line="500" w:lineRule="exact"/>
        <w:ind w:firstLine="420" w:firstLineChars="20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lang w:bidi="ar"/>
        </w:rPr>
        <w:t>1、工程名称：</w:t>
      </w:r>
      <w:r>
        <w:rPr>
          <w:rFonts w:hint="eastAsia" w:ascii="宋体" w:hAnsi="宋体" w:eastAsia="宋体" w:cs="宋体"/>
          <w:b/>
          <w:bCs/>
          <w:color w:val="auto"/>
          <w:szCs w:val="21"/>
          <w:highlight w:val="none"/>
          <w:lang w:bidi="ar"/>
        </w:rPr>
        <w:t xml:space="preserve">     </w:t>
      </w:r>
    </w:p>
    <w:p w14:paraId="10540531">
      <w:pPr>
        <w:snapToGrid w:val="0"/>
        <w:spacing w:line="50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lang w:bidi="ar"/>
        </w:rPr>
        <w:t>2、工程地点：</w:t>
      </w:r>
    </w:p>
    <w:p w14:paraId="2CA32031">
      <w:pPr>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3、工程内容：</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u w:val="single"/>
          <w:lang w:val="en-US" w:eastAsia="zh-CN" w:bidi="ar"/>
        </w:rPr>
        <w:t>等</w:t>
      </w:r>
      <w:r>
        <w:rPr>
          <w:rFonts w:hint="eastAsia" w:ascii="宋体" w:hAnsi="宋体" w:eastAsia="宋体" w:cs="宋体"/>
          <w:color w:val="auto"/>
          <w:szCs w:val="21"/>
          <w:highlight w:val="none"/>
          <w:lang w:bidi="ar"/>
        </w:rPr>
        <w:t>。具体施工范围及内容详见施工图及补充资料明示及隐含内容，所有调整和变更项目施工单位不得拒绝承担。</w:t>
      </w:r>
    </w:p>
    <w:p w14:paraId="12E4C0C6">
      <w:pPr>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4、承包方式：</w:t>
      </w:r>
    </w:p>
    <w:p w14:paraId="551B1C9D">
      <w:pPr>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本工程为固定总价合同，乙方负责按中标价完成施工设计图的所有工作内容。乙方需包质量、包工期、包安全、包文明施工及气候异常等风险费用，包施工现场所有临时设施（如施工工棚、施工排水、施工通道等）及排除影响施工的各类障碍所发生的费用，包办理各类报建手续(报建费用按规定各自承担相应部分)。按国家规定由乙方缴纳的各种税费已包含在合同总价中，由乙方向有关单位支付。</w:t>
      </w:r>
    </w:p>
    <w:p w14:paraId="409BCDDE">
      <w:pPr>
        <w:spacing w:line="500" w:lineRule="exact"/>
        <w:ind w:firstLine="48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（2）合同总价已包含一定的风险，如气候、水文地质等情况变化及其他意外困难等。乙方认为必要采取的任何施工、技术施工、辅助工程、临时工程等费用已包含在合同中标价中。</w:t>
      </w:r>
    </w:p>
    <w:p w14:paraId="3D903A06">
      <w:pPr>
        <w:spacing w:line="500" w:lineRule="exact"/>
        <w:ind w:firstLine="48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w:t>
      </w:r>
      <w:r>
        <w:rPr>
          <w:rFonts w:hint="eastAsia" w:ascii="宋体" w:hAnsi="宋体" w:eastAsia="宋体" w:cs="宋体"/>
          <w:color w:val="auto"/>
          <w:szCs w:val="21"/>
          <w:highlight w:val="none"/>
          <w:lang w:val="en-US" w:eastAsia="zh-CN" w:bidi="ar"/>
        </w:rPr>
        <w:t>3</w:t>
      </w:r>
      <w:r>
        <w:rPr>
          <w:rFonts w:hint="eastAsia" w:ascii="宋体" w:hAnsi="宋体" w:eastAsia="宋体" w:cs="宋体"/>
          <w:color w:val="auto"/>
          <w:szCs w:val="21"/>
          <w:highlight w:val="none"/>
          <w:lang w:bidi="ar"/>
        </w:rPr>
        <w:t>）乙方须负责现场工地所需水、电开户、接驳等手续的办理和费用支出。工程中所产生的水、电费，如由甲方</w:t>
      </w:r>
      <w:r>
        <w:rPr>
          <w:rFonts w:hint="eastAsia" w:ascii="宋体" w:hAnsi="宋体" w:eastAsia="宋体" w:cs="宋体"/>
          <w:color w:val="auto"/>
          <w:szCs w:val="21"/>
          <w:highlight w:val="none"/>
          <w:lang w:val="en-US" w:eastAsia="zh-CN" w:bidi="ar"/>
        </w:rPr>
        <w:t>或丙方</w:t>
      </w:r>
      <w:r>
        <w:rPr>
          <w:rFonts w:hint="eastAsia" w:ascii="宋体" w:hAnsi="宋体" w:eastAsia="宋体" w:cs="宋体"/>
          <w:color w:val="auto"/>
          <w:szCs w:val="21"/>
          <w:highlight w:val="none"/>
          <w:lang w:bidi="ar"/>
        </w:rPr>
        <w:t>代支的，乙方必须在收到</w:t>
      </w:r>
      <w:r>
        <w:rPr>
          <w:rFonts w:hint="eastAsia" w:ascii="宋体" w:hAnsi="宋体" w:eastAsia="宋体" w:cs="宋体"/>
          <w:color w:val="auto"/>
          <w:szCs w:val="21"/>
          <w:highlight w:val="none"/>
          <w:lang w:val="en-US" w:eastAsia="zh-CN" w:bidi="ar"/>
        </w:rPr>
        <w:t>丙方</w:t>
      </w:r>
      <w:r>
        <w:rPr>
          <w:rFonts w:hint="eastAsia" w:ascii="宋体" w:hAnsi="宋体" w:eastAsia="宋体" w:cs="宋体"/>
          <w:color w:val="auto"/>
          <w:szCs w:val="21"/>
          <w:highlight w:val="none"/>
          <w:lang w:bidi="ar"/>
        </w:rPr>
        <w:t>通知之日起3天内全部返还，否则甲方有权暂缓支付工程进度款，直至乙方缴清所欠有关费用（包括水、电费滞纳金），或甲方有权在应付的工程进度款中扣除代支的费用。</w:t>
      </w:r>
    </w:p>
    <w:p w14:paraId="0F851887">
      <w:pPr>
        <w:pBdr>
          <w:top w:val="none" w:color="auto" w:sz="0" w:space="0"/>
          <w:left w:val="none" w:color="auto" w:sz="0" w:space="0"/>
          <w:bottom w:val="none" w:color="auto" w:sz="0" w:space="0"/>
          <w:right w:val="none" w:color="auto" w:sz="0" w:space="0"/>
          <w:between w:val="none" w:color="auto" w:sz="0" w:space="0"/>
        </w:pBdr>
        <w:spacing w:line="500" w:lineRule="exact"/>
        <w:ind w:firstLine="420" w:firstLineChars="200"/>
        <w:rPr>
          <w:rFonts w:hint="eastAsia" w:ascii="宋体" w:hAnsi="宋体" w:eastAsia="宋体" w:cs="宋体"/>
          <w:color w:val="auto"/>
          <w:szCs w:val="21"/>
          <w:highlight w:val="none"/>
          <w:lang w:bidi="ar"/>
        </w:rPr>
      </w:pPr>
      <w:bookmarkStart w:id="2409" w:name="OLE_LINK6"/>
      <w:r>
        <w:rPr>
          <w:rFonts w:hint="eastAsia" w:ascii="宋体" w:hAnsi="宋体" w:eastAsia="宋体" w:cs="宋体"/>
          <w:color w:val="auto"/>
          <w:szCs w:val="21"/>
          <w:highlight w:val="none"/>
          <w:lang w:bidi="ar"/>
        </w:rPr>
        <w:t>5、工程总造价为：人民币（大写）</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（小写）：¥</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元 ，其中</w:t>
      </w:r>
      <w:r>
        <w:rPr>
          <w:rFonts w:hint="eastAsia" w:ascii="宋体" w:hAnsi="宋体" w:eastAsia="宋体" w:cs="宋体"/>
          <w:color w:val="auto"/>
          <w:szCs w:val="21"/>
          <w:highlight w:val="none"/>
          <w:lang w:eastAsia="zh-CN" w:bidi="ar"/>
        </w:rPr>
        <w:t>安全生产措施费</w:t>
      </w:r>
      <w:r>
        <w:rPr>
          <w:rFonts w:hint="eastAsia" w:ascii="宋体" w:hAnsi="宋体" w:eastAsia="宋体" w:cs="宋体"/>
          <w:color w:val="auto"/>
          <w:szCs w:val="21"/>
          <w:highlight w:val="none"/>
          <w:lang w:bidi="ar"/>
        </w:rPr>
        <w:t>：¥</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元，此费用必须专款专用。此部分工作内容必须按照《广东省建设工程计价依据（2018）》执行，乙方在申请工程进度款时，必须将所做的安全生产措施项目单独列支和申报，由建设主管单位、甲方、丙方、监理单位定期检查落实。若完工后，经建设主管部门、丙方及监理单位检查，乙方有部分内容未落实执行，丙方有权将这部分内容扣罚出来，丙方作出的扣罚结果，乙方不得持有异议。</w:t>
      </w:r>
    </w:p>
    <w:p w14:paraId="333AB24D">
      <w:pPr>
        <w:pBdr>
          <w:top w:val="none" w:color="auto" w:sz="0" w:space="0"/>
          <w:left w:val="none" w:color="auto" w:sz="0" w:space="0"/>
          <w:bottom w:val="none" w:color="auto" w:sz="0" w:space="0"/>
          <w:right w:val="none" w:color="auto" w:sz="0" w:space="0"/>
          <w:between w:val="none" w:color="auto" w:sz="0" w:space="0"/>
        </w:pBdr>
        <w:spacing w:line="500" w:lineRule="exact"/>
        <w:ind w:firstLine="420" w:firstLineChars="200"/>
        <w:rPr>
          <w:rFonts w:hint="eastAsia" w:ascii="宋体" w:hAnsi="宋体" w:eastAsia="宋体" w:cs="宋体"/>
          <w:color w:val="auto"/>
          <w:sz w:val="21"/>
          <w:szCs w:val="21"/>
          <w:highlight w:val="none"/>
          <w:u w:val="none"/>
        </w:rPr>
      </w:pPr>
      <w:r>
        <w:rPr>
          <w:rFonts w:hint="eastAsia" w:ascii="宋体" w:hAnsi="宋体" w:eastAsia="宋体" w:cs="宋体"/>
          <w:bCs/>
          <w:color w:val="auto"/>
          <w:sz w:val="21"/>
          <w:szCs w:val="21"/>
          <w:highlight w:val="none"/>
          <w:u w:val="none"/>
          <w:lang w:bidi="ar"/>
        </w:rPr>
        <w:t>6、</w:t>
      </w:r>
      <w:r>
        <w:rPr>
          <w:rFonts w:hint="eastAsia" w:ascii="宋体" w:hAnsi="宋体" w:eastAsia="宋体" w:cs="宋体"/>
          <w:color w:val="auto"/>
          <w:sz w:val="21"/>
          <w:szCs w:val="21"/>
          <w:highlight w:val="none"/>
          <w:u w:val="none"/>
          <w:lang w:bidi="ar"/>
        </w:rPr>
        <w:t>工期</w:t>
      </w:r>
    </w:p>
    <w:p w14:paraId="2BBBEDD6">
      <w:pPr>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（1）完工工期：</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个日历天，暂定于</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年</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月</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日开工，</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年</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月</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日完工。完工验收指工程实体完成后，六方责任主体【即建设单位（甲方）、代建单位（丙方）、施工单位（乙方）、勘察单位、设计单位和监理单位，若无勘察单位，则由其余五方责任主体负责】对工程实体进行验收（如需整改由乙方整改完成并书面回复甲方）并出具完工验收会议纪要，完工验收不等于竣工验收。</w:t>
      </w:r>
    </w:p>
    <w:p w14:paraId="73356C57">
      <w:pPr>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（2）总工期：</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个日历天，暂定于</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年</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月</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日开工，</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年</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月</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日竣工，即完工日期加90个日历天验收时间【本补充协议所述的总工期等于《施工合同》第一部分合同协议书第二条的合同工期】。</w:t>
      </w:r>
    </w:p>
    <w:p w14:paraId="25938F86">
      <w:pPr>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具体开工日期以监理单位发出开工令之日为准，完工日期以完工验收资料（甲方、丙方、监理单位、乙方、设计单位、勘察单位六方责任主体参与的会议纪要，若工程没有勘察单位，则以其余五方责任主体参与的会议纪要）为准；具备完工条件且乙方提交的资料已通过监理单位的审核后，乙方向丙方提出完工验收申请，七个工作日内丙方必须组织完工验收。本工程的竣工验收在完工验收后90个日历天内完成。实际竣工验收日期以竣工验收报告上注明的竣工验收日期为准。</w:t>
      </w:r>
    </w:p>
    <w:p w14:paraId="0C033FB1">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7、在合同签订之日起14个日历天内，乙方须准备好所有需由乙方提供的报建资料并提交给丙方(含办理施工许可及质安监委托的所有资料，资料目录见丙方提供的清单)，乙方所提供的资料必须真实、准确、齐备、完整。若乙方逾期提供符合要求的报建资料的，甲方或丙方有权视以下不同情况进行处理：</w:t>
      </w:r>
    </w:p>
    <w:p w14:paraId="524E1DBE">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如乙方逾期提供符合要求的报建资料未超过5个日历天（含第5个日历天）的，自合同签订之日起第15个日历天起至乙方提供符合要求的报建资料之日期间，乙方按每天1000元的标准向甲方支付违约金，甲方有权在待支付的工程款中予以扣除。</w:t>
      </w:r>
    </w:p>
    <w:p w14:paraId="493FA3C7">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如乙方逾期提供符合要求的报建资料超过5个日历天（不含第5个日历天）的，甲方视情况可以选择：①单方解除《建设工程施工合同》，乙方已作的投入和花费由乙方自行承担，乙方按丙方通知清理施工现场和完成交接工作，若给甲方造成经济损失的，乙方还应向甲方赔偿损失；②甲、乙、丙三方继续履行合同，但乙方须按每天1000元的标准向甲方支付自合同签订之日起第15个日历天起至乙方提供符合要求的报建资料之日期间的违约金，甲方有权在待支付的工程款中予以扣除。</w:t>
      </w:r>
    </w:p>
    <w:p w14:paraId="67DFF49F">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 xml:space="preserve">8、进度要求： </w:t>
      </w:r>
    </w:p>
    <w:p w14:paraId="4382A9FD">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（1）乙方应于施工合同生效之日起三日内进场进行施工准备，按照乙方编制的实施性施工组织设计方案，经监理单位审批后报丙方备案后实施。</w:t>
      </w:r>
    </w:p>
    <w:p w14:paraId="6A5CF5F7">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（2）乙方应严格按照投标时所拟定的各施工阶段的形象进度控制施工进度（每30天拟定一个形象进度）。乙方将按形象进度表每30天与丙方确认一次工程进度，并进行工程量确认。</w:t>
      </w:r>
    </w:p>
    <w:p w14:paraId="5AF2A890">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如未经丙方认可的特殊原因，乙方在工期落后的情况下，必须要有实际行动尽全力去补回施工进度。如落后两个进度且无相应补救措施的，甲方有权解除《施工合同》及本补充协议，且无须支付剩余的工程款，所造成的损失由乙方赔偿给甲方。</w:t>
      </w:r>
    </w:p>
    <w:p w14:paraId="44A1C815">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9、甲方指派的监理单位的监理权限详见《建设工程委托监理合同监理人权利、责任部分摘抄》，乙方必须清楚工程监理的权限，对于本补充协议约定监理必须通过丙方同意才能执行的事项，乙方有义务核查是否已获得丙方审批；对于监理单位必须经过丙方同意才能下发而监理单位未获得丙方同意就下发的通知、指令、决定等，如乙方按照监理单位下发的通知、指令、决定等执行，对甲方和丙方不具有任何约束力，由此产生的后果由乙方自行承担，如因此造成甲方及丙方损失的，乙方还应赔偿甲方及丙方遭受的一切损失。</w:t>
      </w:r>
    </w:p>
    <w:p w14:paraId="10AA1E1E">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10、施工安全：不发生安全事故。</w:t>
      </w:r>
    </w:p>
    <w:p w14:paraId="7313991F">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11、分包的约定</w:t>
      </w:r>
    </w:p>
    <w:p w14:paraId="542CDC6D">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（1）乙方经丙方同意进行专业工程分包或劳务作业分包的，需确保分包单位具有相应的资质和能力。工程分包不减轻或免除乙方的责任和义务，乙方和分包单位就分包工程向甲方和丙方承担连带责任。</w:t>
      </w:r>
    </w:p>
    <w:p w14:paraId="3EAA3508">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乙方应在分包工程实施前签订分包合同，并在签订分包合同前向监理人报送分包合同、分包单位的营业执照、安全生产许可证、银行开户证明、资质证书、及分包单位投入人员名单、身份证、资格证、劳动合同及社保等资料进行审查，审查合格的报送丙方备案。丙方同意备案的，乙方方可与分包单位签订分包合同，并在合同签订后7个日历天内向丙方及监理人提交已签订的分包合同，未经丙方同意备案的不得签订分包合同，且不得进场施工。</w:t>
      </w:r>
    </w:p>
    <w:p w14:paraId="470EE631">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乙方及分包单位需分别设立项目管理机构，配置人员，分包单位的主要管理人员必须是本单位人员。乙方需建立分包管理制度和台账，对分包工程的质量、安全、进度、人员等实施全过程管理，每月更新分包台账报监理人、丙方留存。乙方需对分包单位的施工人员进行实名制管理，包括但不限于进场管理、登记造册以及各种证照的办理。</w:t>
      </w:r>
    </w:p>
    <w:p w14:paraId="01FA2FEA">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 xml:space="preserve">（4）分包合同价款由乙方与分包单位进行结算。如生效法律文书要求甲方向分包单位支付分包合同价款的，甲方有权从应付乙方工程款中扣除该部分款项。 </w:t>
      </w:r>
    </w:p>
    <w:p w14:paraId="05523A99">
      <w:pPr>
        <w:spacing w:line="500" w:lineRule="exact"/>
        <w:ind w:firstLine="472" w:firstLineChars="224"/>
        <w:rPr>
          <w:rFonts w:hint="eastAsia" w:ascii="宋体" w:hAnsi="宋体" w:eastAsia="宋体" w:cs="宋体"/>
          <w:b/>
          <w:bCs/>
          <w:color w:val="auto"/>
          <w:szCs w:val="21"/>
          <w:highlight w:val="none"/>
          <w:lang w:bidi="ar"/>
        </w:rPr>
      </w:pPr>
      <w:r>
        <w:rPr>
          <w:rFonts w:hint="eastAsia" w:ascii="宋体" w:hAnsi="宋体" w:eastAsia="宋体" w:cs="宋体"/>
          <w:b/>
          <w:bCs/>
          <w:color w:val="auto"/>
          <w:szCs w:val="21"/>
          <w:highlight w:val="none"/>
          <w:lang w:bidi="ar"/>
        </w:rPr>
        <w:t>二、三方权利与义务</w:t>
      </w:r>
    </w:p>
    <w:p w14:paraId="2BEDAC75">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1、甲方要及时按合同约定的期限和办法支付工程款。</w:t>
      </w:r>
    </w:p>
    <w:p w14:paraId="69FD93AC">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2、丙方要及时提供施工图纸、基准点和水准点，及时办理各种验收手续。</w:t>
      </w:r>
    </w:p>
    <w:p w14:paraId="413C02C5">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乙方按照治安管理有关规定及时申报户口和缴费，对于工地的治安、消防事故负全部责任。乙方与其分包单位必须与施工人员签订劳动合同或劳务合同，按时足额支付劳动报酬，并为施工人员购买社会保险，实行劳动保险制度。乙方必须落实全员实名制管理，每月将施工人员进场花名册、退场花名册、考勤表、工资表等记录资料上报</w:t>
      </w:r>
      <w:r>
        <w:rPr>
          <w:rFonts w:hint="eastAsia" w:ascii="宋体" w:hAnsi="宋体" w:eastAsia="宋体" w:cs="宋体"/>
          <w:color w:val="auto"/>
          <w:szCs w:val="21"/>
          <w:highlight w:val="none"/>
          <w:lang w:val="en-US" w:eastAsia="zh-CN" w:bidi="ar"/>
        </w:rPr>
        <w:t>丙方</w:t>
      </w:r>
      <w:r>
        <w:rPr>
          <w:rFonts w:hint="eastAsia" w:ascii="宋体" w:hAnsi="宋体" w:eastAsia="宋体" w:cs="宋体"/>
          <w:color w:val="auto"/>
          <w:szCs w:val="21"/>
          <w:highlight w:val="none"/>
          <w:lang w:bidi="ar"/>
        </w:rPr>
        <w:t>。乙方若与施工人员发生拖欠工人工资等纠纷，由乙方负责处理（包括但不限于协商、调解、仲裁、诉讼等）并承担责任，一切与甲方及丙方无关，不得影响工程的正常进行，如因此造成甲方及丙方损失的，乙方还应赔偿甲方及丙方遭受的一切损失。</w:t>
      </w:r>
    </w:p>
    <w:p w14:paraId="13767C88">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val="en-US" w:eastAsia="zh-CN" w:bidi="ar"/>
        </w:rPr>
        <w:t>4</w:t>
      </w:r>
      <w:r>
        <w:rPr>
          <w:rFonts w:hint="eastAsia" w:ascii="宋体" w:hAnsi="宋体" w:eastAsia="宋体" w:cs="宋体"/>
          <w:color w:val="auto"/>
          <w:szCs w:val="21"/>
          <w:highlight w:val="none"/>
          <w:lang w:bidi="ar"/>
        </w:rPr>
        <w:t>、工人工资专用账户管理约定：乙方应当在工程施工合同签订之日起30日内开立专用账户，并与甲方、开户银行签订资金管理三方协议。具体按照《工程建设领域农民工工资专用账户管理暂行办法》（人社部发【2021】53号）执行。</w:t>
      </w:r>
    </w:p>
    <w:p w14:paraId="019FCD1E">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val="en-US" w:eastAsia="zh-CN" w:bidi="ar"/>
        </w:rPr>
        <w:t>5</w:t>
      </w:r>
      <w:r>
        <w:rPr>
          <w:rFonts w:hint="eastAsia" w:ascii="宋体" w:hAnsi="宋体" w:eastAsia="宋体" w:cs="宋体"/>
          <w:color w:val="auto"/>
          <w:szCs w:val="21"/>
          <w:highlight w:val="none"/>
          <w:lang w:bidi="ar"/>
        </w:rPr>
        <w:t>、工人工资保证金缴纳具体按照《保障农民工工资支付条例》、《关于进一步推进我市工程建设领域工人工资保证金管理有关事项的通知》（中人社发【2021】33号）执行，乙方应当按照有关规定存储工资保证金或按要求出具有效保函，专项用于支付为所承包工程提供劳动的农民工被拖欠的工资。</w:t>
      </w:r>
    </w:p>
    <w:p w14:paraId="10745528">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val="en-US" w:eastAsia="zh-CN" w:bidi="ar"/>
        </w:rPr>
        <w:t>6</w:t>
      </w:r>
      <w:r>
        <w:rPr>
          <w:rFonts w:hint="eastAsia" w:ascii="宋体" w:hAnsi="宋体" w:eastAsia="宋体" w:cs="宋体"/>
          <w:color w:val="auto"/>
          <w:szCs w:val="21"/>
          <w:highlight w:val="none"/>
          <w:lang w:bidi="ar"/>
        </w:rPr>
        <w:t>、开工前，乙方要办妥各项手续，建立健全各种管理规章制度，并接受甲方、丙方及监理单位的监督和管理；提交可行的施工方案，报丙方及监理单位审核通过；在施工中如遇质量技术问题，应及时如实向丙方及监理单位汇报。乙方在施工中应严格按照丙方提供的施工图纸和国家颁发的有关技术规范和验评标准进行施工，遵守操作规程，搞好安全生产、文明施工，按时按质按量完成各项施工任务，乙方在本工程承包范围内出现的一切质量及安全等事故和相应的经济损失均由乙方负责，如因此造成甲方及丙方损失的，乙方还应赔偿甲方及丙方遭受的一切损失。</w:t>
      </w:r>
    </w:p>
    <w:p w14:paraId="3D0A14A8">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val="en-US" w:eastAsia="zh-CN" w:bidi="ar"/>
        </w:rPr>
        <w:t>7</w:t>
      </w:r>
      <w:r>
        <w:rPr>
          <w:rFonts w:hint="eastAsia" w:ascii="宋体" w:hAnsi="宋体" w:eastAsia="宋体" w:cs="宋体"/>
          <w:color w:val="auto"/>
          <w:szCs w:val="21"/>
          <w:highlight w:val="none"/>
          <w:lang w:bidi="ar"/>
        </w:rPr>
        <w:t>、</w:t>
      </w:r>
      <w:r>
        <w:rPr>
          <w:rFonts w:hint="eastAsia" w:ascii="宋体" w:hAnsi="宋体" w:eastAsia="宋体" w:cs="宋体"/>
          <w:color w:val="auto"/>
          <w:szCs w:val="21"/>
          <w:highlight w:val="none"/>
          <w:lang w:eastAsia="zh-CN" w:bidi="ar"/>
        </w:rPr>
        <w:t>安全生产措施费</w:t>
      </w:r>
      <w:r>
        <w:rPr>
          <w:rFonts w:hint="eastAsia" w:ascii="宋体" w:hAnsi="宋体" w:eastAsia="宋体" w:cs="宋体"/>
          <w:color w:val="auto"/>
          <w:szCs w:val="21"/>
          <w:highlight w:val="none"/>
          <w:lang w:bidi="ar"/>
        </w:rPr>
        <w:t>：</w:t>
      </w:r>
    </w:p>
    <w:p w14:paraId="2BF793CF">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（1）乙方必须按照相关文件要求做好安全生产措施。不得发生安全事故，切实做好安全生产各项防范措施，加强安全施工管理，达到中山市规定文明工地标准。</w:t>
      </w:r>
    </w:p>
    <w:p w14:paraId="180855AF">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乙方必须按照相关文件的要求采取措施减少施工现场的噪音、扬尘等扰民情况（扬尘具体要求详见粤建电发【2018】20号文《关于广东省住房和城乡建设厅关于采取切实措施坚决遏制施工扬尘污染的紧急通知》）。</w:t>
      </w:r>
    </w:p>
    <w:p w14:paraId="04A861BC">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val="en-US" w:eastAsia="zh-CN" w:bidi="ar"/>
        </w:rPr>
        <w:t>8</w:t>
      </w:r>
      <w:r>
        <w:rPr>
          <w:rFonts w:hint="eastAsia" w:ascii="宋体" w:hAnsi="宋体" w:eastAsia="宋体" w:cs="宋体"/>
          <w:color w:val="auto"/>
          <w:szCs w:val="21"/>
          <w:highlight w:val="none"/>
          <w:lang w:bidi="ar"/>
        </w:rPr>
        <w:t>、本工程总价中已含</w:t>
      </w:r>
      <w:r>
        <w:rPr>
          <w:rFonts w:hint="eastAsia" w:ascii="宋体" w:hAnsi="宋体" w:eastAsia="宋体" w:cs="宋体"/>
          <w:color w:val="auto"/>
          <w:szCs w:val="21"/>
          <w:highlight w:val="none"/>
          <w:lang w:eastAsia="zh-CN" w:bidi="ar"/>
        </w:rPr>
        <w:t>安全生产措施费</w:t>
      </w:r>
      <w:r>
        <w:rPr>
          <w:rFonts w:hint="eastAsia" w:ascii="宋体" w:hAnsi="宋体" w:eastAsia="宋体" w:cs="宋体"/>
          <w:color w:val="auto"/>
          <w:szCs w:val="21"/>
          <w:highlight w:val="none"/>
          <w:lang w:bidi="ar"/>
        </w:rPr>
        <w:t>，乙方必须根据施工现场做好各项安全预防措施，做好施工安全预防措施，以确保工程能顺利进行，如在施工过程中发生安全问题一概由乙方负责。</w:t>
      </w:r>
    </w:p>
    <w:p w14:paraId="7A0AE13F">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val="en-US" w:eastAsia="zh-CN" w:bidi="ar"/>
        </w:rPr>
        <w:t>9</w:t>
      </w:r>
      <w:r>
        <w:rPr>
          <w:rFonts w:hint="eastAsia" w:ascii="宋体" w:hAnsi="宋体" w:eastAsia="宋体" w:cs="宋体"/>
          <w:color w:val="auto"/>
          <w:szCs w:val="21"/>
          <w:highlight w:val="none"/>
          <w:lang w:bidi="ar"/>
        </w:rPr>
        <w:t>、乙方必须服从丙方及建设主管部门的管理，严格执行国家有关质量、安全管理规定。对丙方、建设主管部门、监理工程师发出的整改通知，必须按期整改落实并回复。</w:t>
      </w:r>
    </w:p>
    <w:p w14:paraId="5F6A6404">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val="en-US" w:eastAsia="zh-CN" w:bidi="ar"/>
        </w:rPr>
        <w:t>10</w:t>
      </w:r>
      <w:r>
        <w:rPr>
          <w:rFonts w:hint="eastAsia" w:ascii="宋体" w:hAnsi="宋体" w:eastAsia="宋体" w:cs="宋体"/>
          <w:color w:val="auto"/>
          <w:szCs w:val="21"/>
          <w:highlight w:val="none"/>
          <w:lang w:bidi="ar"/>
        </w:rPr>
        <w:t>、无论是《施工合同》履行期间还是工程质量保修期结束后，乙方均应无条件配合甲方及丙方有关工程审计工作和相关部门对于本工程的检查工作（包括但不限于协助提供资料、参加会议、现场接待、回答相关部门的提问等）。</w:t>
      </w:r>
    </w:p>
    <w:p w14:paraId="4BBC7E94">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val="en-US" w:eastAsia="zh-CN" w:bidi="ar"/>
        </w:rPr>
        <w:t>11</w:t>
      </w:r>
      <w:r>
        <w:rPr>
          <w:rFonts w:hint="eastAsia" w:ascii="宋体" w:hAnsi="宋体" w:eastAsia="宋体" w:cs="宋体"/>
          <w:color w:val="auto"/>
          <w:szCs w:val="21"/>
          <w:highlight w:val="none"/>
          <w:lang w:bidi="ar"/>
        </w:rPr>
        <w:t>、乙方需根据中建通[2024]148号《中山市住房和城乡建设局关于进一步规范房屋市政工程实名制管理的通知》对参建人员进行实名制管理，包括但不限于进场管理、登记造册、人员考勤以及各种证照的办理，并配备实名制管理所需的、符合标准要求的软硬件设施设备与中山市实名制平台完成直连对接，由此产生的费用由乙方承担。</w:t>
      </w:r>
    </w:p>
    <w:p w14:paraId="7378CE3C">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w:t>
      </w:r>
      <w:r>
        <w:rPr>
          <w:rFonts w:hint="eastAsia" w:ascii="宋体" w:hAnsi="宋体" w:eastAsia="宋体" w:cs="宋体"/>
          <w:color w:val="auto"/>
          <w:szCs w:val="21"/>
          <w:highlight w:val="none"/>
          <w:lang w:val="en-US" w:eastAsia="zh-CN" w:bidi="ar"/>
        </w:rPr>
        <w:t>2</w:t>
      </w:r>
      <w:r>
        <w:rPr>
          <w:rFonts w:hint="eastAsia" w:ascii="宋体" w:hAnsi="宋体" w:eastAsia="宋体" w:cs="宋体"/>
          <w:color w:val="auto"/>
          <w:szCs w:val="21"/>
          <w:highlight w:val="none"/>
          <w:lang w:bidi="ar"/>
        </w:rPr>
        <w:t>、乙方要切实做好参建人员实名制信息采集工作，施工报建人员要按照管理规定在坦洲镇的住建部门窗口录入脸谱信息。项目非报建人员的实名制信息由乙方自行采集录入。未进行实名制登记的人员不得出入施工现场，乙方应做好现场实名制管理。</w:t>
      </w:r>
    </w:p>
    <w:p w14:paraId="52B4D261">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w:t>
      </w:r>
      <w:r>
        <w:rPr>
          <w:rFonts w:hint="eastAsia" w:ascii="宋体" w:hAnsi="宋体" w:eastAsia="宋体" w:cs="宋体"/>
          <w:color w:val="auto"/>
          <w:szCs w:val="21"/>
          <w:highlight w:val="none"/>
          <w:lang w:val="en-US" w:eastAsia="zh-CN" w:bidi="ar"/>
        </w:rPr>
        <w:t>3</w:t>
      </w:r>
      <w:r>
        <w:rPr>
          <w:rFonts w:hint="eastAsia" w:ascii="宋体" w:hAnsi="宋体" w:eastAsia="宋体" w:cs="宋体"/>
          <w:color w:val="auto"/>
          <w:szCs w:val="21"/>
          <w:highlight w:val="none"/>
          <w:lang w:bidi="ar"/>
        </w:rPr>
        <w:t>、乙方禁止使用移动式（手持式）实名制考勤机，施工现场与中山市实名制平台直连的考勤设备均要求为固定式（不可移动）考勤设备。考勤设备应严格按照《中山市住房和城乡建设局关于开展房屋市政工程用工实名制集成商备案工作的通知》（中建通〔2024〕131号）要求进行设备信息登记。如未按要求进行登记或登记信息错误的，乙方应3个日历天内更正，逾期未更正的，甲方</w:t>
      </w:r>
      <w:r>
        <w:rPr>
          <w:rFonts w:hint="eastAsia" w:ascii="宋体" w:hAnsi="宋体" w:eastAsia="宋体" w:cs="宋体"/>
          <w:color w:val="auto"/>
          <w:szCs w:val="21"/>
          <w:highlight w:val="none"/>
          <w:lang w:val="en-US" w:eastAsia="zh-CN" w:bidi="ar"/>
        </w:rPr>
        <w:t>或丙方</w:t>
      </w:r>
      <w:r>
        <w:rPr>
          <w:rFonts w:hint="eastAsia" w:ascii="宋体" w:hAnsi="宋体" w:eastAsia="宋体" w:cs="宋体"/>
          <w:color w:val="auto"/>
          <w:szCs w:val="21"/>
          <w:highlight w:val="none"/>
          <w:lang w:bidi="ar"/>
        </w:rPr>
        <w:t>有权向上级主管部门报告。</w:t>
      </w:r>
    </w:p>
    <w:p w14:paraId="0F352AA6">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w:t>
      </w:r>
      <w:r>
        <w:rPr>
          <w:rFonts w:hint="eastAsia" w:ascii="宋体" w:hAnsi="宋体" w:eastAsia="宋体" w:cs="宋体"/>
          <w:color w:val="auto"/>
          <w:szCs w:val="21"/>
          <w:highlight w:val="none"/>
          <w:lang w:val="en-US" w:eastAsia="zh-CN" w:bidi="ar"/>
        </w:rPr>
        <w:t>4</w:t>
      </w:r>
      <w:r>
        <w:rPr>
          <w:rFonts w:hint="eastAsia" w:ascii="宋体" w:hAnsi="宋体" w:eastAsia="宋体" w:cs="宋体"/>
          <w:color w:val="auto"/>
          <w:szCs w:val="21"/>
          <w:highlight w:val="none"/>
          <w:lang w:bidi="ar"/>
        </w:rPr>
        <w:t>、如工程涉及建筑垃圾处置的，乙方在开工前须按照《关于规范建设工程建筑垃圾全流程监管的告知书》要求，办理建筑垃圾处置相关手续，向主管部门报送垃圾处理方案并通过主管部门备案，以及向主管部门申请取得《城市建筑垃圾排放证》。垃圾处理过程中须乙方按文件要求做好相关管理台账及登记，并在中山市垃圾处理全流程监管平台注册并录入相关信息，按要求接入设备。未经主管部门核准，不得擅自外运建筑垃圾，不得将建筑垃圾交给未经核准从事建筑垃圾运输的单位或个人运输，不得擅自倾倒、抛撒工程施工过程中产生的建筑垃圾，违反相关规定的由乙方自行承担由此产生的相关责任。</w:t>
      </w:r>
    </w:p>
    <w:p w14:paraId="5BA33886">
      <w:pPr>
        <w:spacing w:line="500" w:lineRule="exact"/>
        <w:ind w:firstLine="470" w:firstLineChars="224"/>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bidi="ar"/>
        </w:rPr>
        <w:t>1</w:t>
      </w:r>
      <w:r>
        <w:rPr>
          <w:rFonts w:hint="eastAsia" w:ascii="宋体" w:hAnsi="宋体" w:eastAsia="宋体" w:cs="宋体"/>
          <w:color w:val="auto"/>
          <w:szCs w:val="21"/>
          <w:highlight w:val="none"/>
          <w:lang w:val="en-US" w:eastAsia="zh-CN" w:bidi="ar"/>
        </w:rPr>
        <w:t>5</w:t>
      </w:r>
      <w:r>
        <w:rPr>
          <w:rFonts w:hint="eastAsia" w:ascii="宋体" w:hAnsi="宋体" w:eastAsia="宋体" w:cs="宋体"/>
          <w:color w:val="auto"/>
          <w:szCs w:val="21"/>
          <w:highlight w:val="none"/>
          <w:lang w:bidi="ar"/>
        </w:rPr>
        <w:t>、工程开工后乙方需建立农民工工资发放台账、考勤表和工人进退场登记。施工期间要求安排两名及以上专人负责农民工工资管理，如实名制系统、工人工资专户、支付保函等，每日开展班前班后交底教育，核实工地班组出勤人员并提交</w:t>
      </w:r>
      <w:r>
        <w:rPr>
          <w:rFonts w:hint="eastAsia" w:ascii="宋体" w:hAnsi="宋体" w:eastAsia="宋体" w:cs="宋体"/>
          <w:color w:val="auto"/>
          <w:szCs w:val="21"/>
          <w:highlight w:val="none"/>
          <w:lang w:val="en-US" w:eastAsia="zh-CN" w:bidi="ar"/>
        </w:rPr>
        <w:t>安全</w:t>
      </w:r>
      <w:r>
        <w:rPr>
          <w:rFonts w:hint="eastAsia" w:ascii="宋体" w:hAnsi="宋体" w:eastAsia="宋体" w:cs="宋体"/>
          <w:color w:val="auto"/>
          <w:szCs w:val="21"/>
          <w:highlight w:val="none"/>
          <w:lang w:bidi="ar"/>
        </w:rPr>
        <w:t>教育记录表至丙方或监理单位备案。</w:t>
      </w:r>
      <w:r>
        <w:rPr>
          <w:rFonts w:hint="eastAsia" w:ascii="宋体" w:hAnsi="宋体" w:eastAsia="宋体" w:cs="宋体"/>
          <w:color w:val="auto"/>
          <w:szCs w:val="21"/>
          <w:highlight w:val="none"/>
          <w:lang w:val="en-US" w:eastAsia="zh-CN" w:bidi="ar"/>
        </w:rPr>
        <w:t xml:space="preserve"> </w:t>
      </w:r>
    </w:p>
    <w:p w14:paraId="26184D2A">
      <w:pPr>
        <w:spacing w:line="500" w:lineRule="exact"/>
        <w:ind w:firstLine="470" w:firstLineChars="224"/>
        <w:rPr>
          <w:rFonts w:hint="default"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bidi="ar"/>
        </w:rPr>
        <w:t>1</w:t>
      </w:r>
      <w:r>
        <w:rPr>
          <w:rFonts w:hint="eastAsia" w:ascii="宋体" w:hAnsi="宋体" w:eastAsia="宋体" w:cs="宋体"/>
          <w:color w:val="auto"/>
          <w:szCs w:val="21"/>
          <w:highlight w:val="none"/>
          <w:lang w:val="en-US" w:eastAsia="zh-CN" w:bidi="ar"/>
        </w:rPr>
        <w:t>6</w:t>
      </w:r>
      <w:r>
        <w:rPr>
          <w:rFonts w:hint="eastAsia" w:ascii="宋体" w:hAnsi="宋体" w:eastAsia="宋体" w:cs="宋体"/>
          <w:color w:val="auto"/>
          <w:szCs w:val="21"/>
          <w:highlight w:val="none"/>
          <w:lang w:bidi="ar"/>
        </w:rPr>
        <w:t>、</w:t>
      </w:r>
      <w:r>
        <w:rPr>
          <w:rFonts w:hint="eastAsia" w:ascii="宋体" w:hAnsi="宋体" w:eastAsia="宋体" w:cs="宋体"/>
          <w:color w:val="auto"/>
          <w:szCs w:val="21"/>
          <w:highlight w:val="none"/>
          <w:lang w:val="en-US" w:eastAsia="zh-CN" w:bidi="ar"/>
        </w:rPr>
        <w:t>本项目采用2024版清单计价计算标准，乙方应当使用适配清单计价计算规范的造价软件编制工程量清单，并在中标后提供软件版清单给甲方，如不能提供，影响进度款支付及结算后果自负。</w:t>
      </w:r>
    </w:p>
    <w:p w14:paraId="1E62A0F7">
      <w:pPr>
        <w:spacing w:line="500" w:lineRule="exact"/>
        <w:ind w:firstLine="472" w:firstLineChars="224"/>
        <w:rPr>
          <w:rFonts w:hint="eastAsia" w:ascii="宋体" w:hAnsi="宋体" w:eastAsia="宋体" w:cs="宋体"/>
          <w:b/>
          <w:bCs/>
          <w:color w:val="auto"/>
          <w:szCs w:val="21"/>
          <w:highlight w:val="none"/>
          <w:lang w:bidi="ar"/>
        </w:rPr>
      </w:pPr>
      <w:r>
        <w:rPr>
          <w:rFonts w:hint="eastAsia" w:ascii="宋体" w:hAnsi="宋体" w:eastAsia="宋体" w:cs="宋体"/>
          <w:b/>
          <w:bCs/>
          <w:color w:val="auto"/>
          <w:szCs w:val="21"/>
          <w:highlight w:val="none"/>
          <w:lang w:bidi="ar"/>
        </w:rPr>
        <w:t>三、工程质量及技术要求：</w:t>
      </w:r>
    </w:p>
    <w:p w14:paraId="32A8A26A">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1、本工程质量要求按中华人民共和国行业标准，达到合格等级。</w:t>
      </w:r>
    </w:p>
    <w:p w14:paraId="4656F00B">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2、工程质量要求：乙方应严格按照国家颁布的现行最新有效的施工规范及安全操作规程施工，不得以招标文件或《施工合同》及本补充协议上未提及为借口而不按照规范进行施工作业。</w:t>
      </w:r>
    </w:p>
    <w:p w14:paraId="2250FD38">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施工中对涉及的现有建筑物、构筑物、道路、线杆、地下管线、古树名木等，乙方应采取有效的保护、防护措施，若乙方对上述设施造成破坏的，则所有责任由乙方负责。如需拆除沿途有关建（构）筑物或设施，应先将情况报送丙方与监理单位，并与相关单位进行协调并得到同意后方可进行，如果乙方不按此规定进行施工，所产生的一切后果由乙方负责，其责任与甲方及丙方无关，如因此造成甲方及丙方损失的，乙方还应赔偿甲方及丙方遭受的一切损失。</w:t>
      </w:r>
    </w:p>
    <w:p w14:paraId="574327F7">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4、乙方在施工过程中，在相关管线范围内施工(施工范围包括燃气、电力、通信、供水管及排水管)需提前24小时自行通知相关管线的管养单位，并且在管养单位的现场见证下才能施工，如果乙方不按此规定进行施工，所产生的一切后果由乙方负责，其责任与甲方及丙方无关，如因此造成甲方及丙方损失的，乙方还应赔偿甲方及丙方遭受的一切损失。</w:t>
      </w:r>
    </w:p>
    <w:p w14:paraId="3A000614">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5、工程所需材料（含成品、半成品）及设备由乙方提供，材料及设备必须有产品质量合格证。乙方必须采用符合国家相应的标准和建设工程质量管理有关要求以及规定的全新合格材料，并具有手续齐全的检测资料和出厂检验手续，且需经监理工程师及丙方审批同意方可采购。</w:t>
      </w:r>
    </w:p>
    <w:p w14:paraId="5E3E743B">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6、材料进场前乙方应准备好有关质量证明向监理报验，经检查、复检试验合格后方可使用。如乙方违反合同约定采购或使用不合格的材料和工程设备或本工程质量未达到本合同及其附件约定的标准或丙方要求的标准时，丙方有权要求乙方拆除和重新施工，乙方应无条件按丙方要求拆除和重新施工，直到符合约定标准，由此产生的费用和投入（包括但不限于拆除和重新施工的费用）由乙方承担，施工工期不予顺延，乙方应向甲方及丙方承担违约责任及赔偿责任。</w:t>
      </w:r>
    </w:p>
    <w:p w14:paraId="241D8AE7">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7、材料、工程设备和工程的试验和检验费用的约定：按相关验收规范要求检测频率数由乙方进行自检的，相关检测费用由乙方自行承担；按相关验收规范要求频率数由甲方进行检测的，具体检测工作由丙方负责实施，相关检测费用由甲方承担。若乙方原因导致检测不合格的，该项检测费用及复检（或扩大检测）费用均由乙方承担。</w:t>
      </w:r>
    </w:p>
    <w:p w14:paraId="7E111661">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8、隐蔽工程必须经丙方派驻代表及监理工程师检查、验收签字后，方可进行下一道工序。</w:t>
      </w:r>
    </w:p>
    <w:p w14:paraId="74F0B52E">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9、乙方必须编写合理、完善的交通疏导方案，交通疏导方案必须于开工前通过交警部门审批。</w:t>
      </w:r>
    </w:p>
    <w:p w14:paraId="16858933">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10、工程竣工验收后，乙方按照规定对工程实行保修，保修期限按国家有关规定执行。保修时间自工程通过竣工验收之日起计算，甲方将工程结算额的3%作为质量保证金（以下简称质保金），于缺陷责任期（2年）满后由乙方提出申请，经丙方确认后，甲方一次性返还给乙方（不计利息）。保修期间如发生保修费用，甲方有权直接在质量保证金中相应扣除。如质量保证金不足以抵扣，乙方应按甲方或丙方通知后限期补足。</w:t>
      </w:r>
    </w:p>
    <w:p w14:paraId="4D2693B7">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11、质量责任期：终身负责。</w:t>
      </w:r>
    </w:p>
    <w:p w14:paraId="6F0C6370">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12、竣工验收及移交</w:t>
      </w:r>
    </w:p>
    <w:p w14:paraId="67030590">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（1）工程实体完成，乙方完成质量保证资料并提交监理单位审核，如果监理单位认为质量保证资料存在问题，应当让乙方进行限期整改，如果监理单位认为质量保证资料完善，即提交丙方复核并组织完工验收。</w:t>
      </w:r>
    </w:p>
    <w:p w14:paraId="29F962FB">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完工验收后，乙方应当按照整改通知书要求限期内对工程和竣工资料进行整改，并提交书面回复，由监理单位先进行审核再提交丙方复核。如果丙方或监理单位认为仍存在问题，乙方应当按照丙方和监理单位的要求限期进行整改直至达到竣工验收条件为止，再行组织竣工验收。</w:t>
      </w:r>
    </w:p>
    <w:p w14:paraId="31E374C9">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（3）乙方提交的工程竣工资料必须符合《建设工程文件归档规范》（GB/T50328-2014）</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2019版</w:t>
      </w:r>
      <w:r>
        <w:rPr>
          <w:rFonts w:hint="eastAsia" w:ascii="宋体" w:hAnsi="宋体" w:eastAsia="宋体" w:cs="宋体"/>
          <w:color w:val="auto"/>
          <w:highlight w:val="none"/>
          <w:lang w:eastAsia="zh-CN"/>
        </w:rPr>
        <w:t>）</w:t>
      </w:r>
      <w:r>
        <w:rPr>
          <w:rFonts w:hint="eastAsia" w:ascii="宋体" w:hAnsi="宋体" w:eastAsia="宋体" w:cs="宋体"/>
          <w:color w:val="auto"/>
          <w:szCs w:val="21"/>
          <w:highlight w:val="none"/>
          <w:lang w:bidi="ar"/>
        </w:rPr>
        <w:t>的相关规定，工程竣工验收报告经丙方认可后28天内，乙方须向丙方递交竣工结算报告及完整的结算资料，乙方和丙方按照《施工合同》协议书约定的合同价款及专用条款约定的合同条款调整内容，进行工程竣工验收。若乙方不按上述规定时间报送结算，丙方可对乙方发催报书面通知；在通知规定期限内仍不报送结算的，丙方有权按已有资料办理结算。</w:t>
      </w:r>
    </w:p>
    <w:p w14:paraId="29B23F15">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（4）本工程乙方须按</w:t>
      </w:r>
      <w:r>
        <w:rPr>
          <w:rFonts w:hint="eastAsia" w:ascii="宋体" w:hAnsi="宋体" w:eastAsia="宋体" w:cs="宋体"/>
          <w:color w:val="auto"/>
          <w:szCs w:val="21"/>
          <w:highlight w:val="none"/>
          <w:lang w:eastAsia="zh-CN" w:bidi="ar"/>
        </w:rPr>
        <w:t>《广东省市政基础设施工程竣工验收技术资料统一用表》（2019版）</w:t>
      </w:r>
      <w:r>
        <w:rPr>
          <w:rFonts w:hint="eastAsia" w:ascii="宋体" w:hAnsi="宋体" w:eastAsia="宋体" w:cs="宋体"/>
          <w:color w:val="auto"/>
          <w:szCs w:val="21"/>
          <w:highlight w:val="none"/>
          <w:lang w:bidi="ar"/>
        </w:rPr>
        <w:t>编制相关工程技术文件；除纸质技术资料外，还须提供电子文档（包括竣工图）。</w:t>
      </w:r>
    </w:p>
    <w:p w14:paraId="1B0EED61">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13、工程质量保修期及质量保证金</w:t>
      </w:r>
    </w:p>
    <w:p w14:paraId="28DF8004">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工程质量保修期按《建设工程质量管理条例》有关规定执行，如属施工质量引起的问题，由乙方全部负责并无偿保修。发生紧急抢修事故的或涉及公共安全的，乙方在接到通知后，应立即到达事故现场抢修。超过半小时未到现场的，则丙方可委托第三方进行维修，由此产生的维修费用，甲方有权直接在质量保证金中扣减并进行诚信扣分，如质量保证金不足以扣减的，甲方有权向乙方追偿，乙方应按丙方要求限期补足。乙方须提供保修联系人电话，如有变动则即时函告丙方和监理单位。</w:t>
      </w:r>
    </w:p>
    <w:p w14:paraId="19A99F30">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（2）若发生下列情况，乙方剩余的工程质量保证金由甲方代为扣减，若工程质量保证金不足，甲方有权追偿，乙方应按甲方要求限期补足。</w:t>
      </w:r>
    </w:p>
    <w:p w14:paraId="44AA2B13">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1）属于乙方施工质量责任，需返工或重修，但乙方没有及时进行，致使丙方另外聘请其它施工队伍完成，所产生的费用由甲方在乙方的质量保证金中扣减抵销，并对乙方进行诚信扣分。</w:t>
      </w:r>
    </w:p>
    <w:p w14:paraId="6733FBBF">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2）属于乙方职责范围的收尾工作或遗留问题，乙方没有按期完成或问题悬而未决，致使丙方另外聘请其它施工队伍完成，所产生的费用由甲方在乙方的质量保证金中扣减抵销，并对乙方进行诚信扣分。</w:t>
      </w:r>
    </w:p>
    <w:p w14:paraId="397EFD3A">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14、工程开工前乙方必须根据设计图纸、现场条件编制切实可行的施工组织方案，经审批后方可实施。根据住房和城乡建设部37号令《危险性较大的分部分项工程安全管理规定》，属于危险性较大的分部分项工程，应进行施工方案的专家论证。工程开工前乙方必须根据设计图纸、现场条件编制切实可行的施工组织方案，经审批后方可实施，涉及到危重大工程的施工专项方案由乙方编制后进行专家评审，相关费用由乙方负责。</w:t>
      </w:r>
    </w:p>
    <w:p w14:paraId="24A08AB2">
      <w:pPr>
        <w:spacing w:line="500" w:lineRule="exact"/>
        <w:ind w:firstLine="470" w:firstLineChars="224"/>
        <w:rPr>
          <w:rFonts w:hint="default"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15、鉴于本工程的特殊性，对影响施工工期的极端恶劣天气与不可抗力因素以及重大活动保障等原因停工的，应及时收集好相关资料，经代建单位审批后给予合理的工期补偿。</w:t>
      </w:r>
    </w:p>
    <w:p w14:paraId="1A3415A7">
      <w:pPr>
        <w:spacing w:line="500" w:lineRule="exact"/>
        <w:ind w:firstLine="472" w:firstLineChars="224"/>
        <w:rPr>
          <w:rFonts w:hint="eastAsia" w:ascii="宋体" w:hAnsi="宋体" w:eastAsia="宋体" w:cs="宋体"/>
          <w:b/>
          <w:bCs/>
          <w:color w:val="auto"/>
          <w:szCs w:val="21"/>
          <w:highlight w:val="none"/>
          <w:lang w:bidi="ar"/>
        </w:rPr>
      </w:pPr>
      <w:r>
        <w:rPr>
          <w:rFonts w:hint="eastAsia" w:ascii="宋体" w:hAnsi="宋体" w:eastAsia="宋体" w:cs="宋体"/>
          <w:b/>
          <w:bCs/>
          <w:color w:val="auto"/>
          <w:szCs w:val="21"/>
          <w:highlight w:val="none"/>
          <w:lang w:bidi="ar"/>
        </w:rPr>
        <w:t>四、工程进度款的支付方式</w:t>
      </w:r>
    </w:p>
    <w:p w14:paraId="28D1A2C1">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乙方在开工前必须完善办理各类报建手续，包括项目工人工资分账管理资料，工人工资分账具体按照《中山市住房和城乡建设局关于进一步落实工人工资分账管理的通知》（中建通【2016】18号）执行，甲方向乙方支付工程进度款时，甲方将工程进度款的20%支付至乙方的工人工资专用账户。</w:t>
      </w:r>
    </w:p>
    <w:p w14:paraId="1F7FB021">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2、本项目预付款额度为合同金额（扣除暂列金额）的1</w:t>
      </w:r>
      <w:r>
        <w:rPr>
          <w:rFonts w:hint="eastAsia" w:ascii="宋体" w:hAnsi="宋体" w:cs="宋体"/>
          <w:color w:val="auto"/>
          <w:szCs w:val="21"/>
          <w:highlight w:val="none"/>
          <w:lang w:val="en-US" w:eastAsia="zh-CN" w:bidi="ar"/>
        </w:rPr>
        <w:t>0</w:t>
      </w:r>
      <w:r>
        <w:rPr>
          <w:rFonts w:hint="eastAsia" w:ascii="宋体" w:hAnsi="宋体" w:eastAsia="宋体" w:cs="宋体"/>
          <w:color w:val="auto"/>
          <w:szCs w:val="21"/>
          <w:highlight w:val="none"/>
          <w:lang w:bidi="ar"/>
        </w:rPr>
        <w:t>%。具体包括如下：</w:t>
      </w:r>
    </w:p>
    <w:p w14:paraId="348F0F6B">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（1）工人工资预付款：按照中山市根治拖欠农民工工资工作领导小组办公室发布的《</w:t>
      </w:r>
      <w:r>
        <w:rPr>
          <w:rFonts w:hint="eastAsia" w:ascii="宋体" w:hAnsi="宋体" w:eastAsia="宋体" w:cs="宋体"/>
          <w:color w:val="auto"/>
          <w:szCs w:val="21"/>
          <w:highlight w:val="none"/>
          <w:lang w:eastAsia="zh-CN" w:bidi="ar"/>
        </w:rPr>
        <w:t>关于落实政府工程预付款的通知</w:t>
      </w:r>
      <w:r>
        <w:rPr>
          <w:rFonts w:hint="eastAsia" w:ascii="宋体" w:hAnsi="宋体" w:eastAsia="宋体" w:cs="宋体"/>
          <w:color w:val="auto"/>
          <w:szCs w:val="21"/>
          <w:highlight w:val="none"/>
          <w:lang w:bidi="ar"/>
        </w:rPr>
        <w:t>》，本工程工人工资预付款为</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万元，在签订《施工合同》后，由乙方提出申请经监理核实，并经丙方核实确认和甲方同意后，由甲方直接划入乙方工人工资专用账户。该笔款项在本工程第一期工程进度款中一次性进行抵扣。</w:t>
      </w:r>
    </w:p>
    <w:p w14:paraId="6A6A4CEF">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w:t>
      </w:r>
      <w:r>
        <w:rPr>
          <w:rFonts w:hint="eastAsia" w:ascii="宋体" w:hAnsi="宋体" w:eastAsia="宋体" w:cs="宋体"/>
          <w:color w:val="auto"/>
          <w:szCs w:val="21"/>
          <w:highlight w:val="none"/>
          <w:lang w:eastAsia="zh-CN" w:bidi="ar"/>
        </w:rPr>
        <w:t>安全生产措施费</w:t>
      </w:r>
      <w:r>
        <w:rPr>
          <w:rFonts w:hint="eastAsia" w:ascii="宋体" w:hAnsi="宋体" w:eastAsia="宋体" w:cs="宋体"/>
          <w:color w:val="auto"/>
          <w:szCs w:val="21"/>
          <w:highlight w:val="none"/>
          <w:lang w:bidi="ar"/>
        </w:rPr>
        <w:t>预付款：按照《</w:t>
      </w:r>
      <w:r>
        <w:rPr>
          <w:rFonts w:hint="eastAsia" w:ascii="宋体" w:hAnsi="宋体" w:eastAsia="宋体" w:cs="宋体"/>
          <w:color w:val="auto"/>
          <w:highlight w:val="none"/>
        </w:rPr>
        <w:t>广东省建设厅建筑工程安全防护、文明施工措施费用管理办法</w:t>
      </w:r>
      <w:r>
        <w:rPr>
          <w:rFonts w:hint="eastAsia" w:ascii="宋体" w:hAnsi="宋体" w:eastAsia="宋体" w:cs="宋体"/>
          <w:color w:val="auto"/>
          <w:szCs w:val="21"/>
          <w:highlight w:val="none"/>
          <w:lang w:bidi="ar"/>
        </w:rPr>
        <w:t>》（粤建管字【2007】39号文）文件规定，本工程</w:t>
      </w:r>
      <w:r>
        <w:rPr>
          <w:rFonts w:hint="eastAsia" w:ascii="宋体" w:hAnsi="宋体" w:eastAsia="宋体" w:cs="宋体"/>
          <w:color w:val="auto"/>
          <w:szCs w:val="21"/>
          <w:highlight w:val="none"/>
          <w:lang w:eastAsia="zh-CN" w:bidi="ar"/>
        </w:rPr>
        <w:t>安全生产措施费</w:t>
      </w:r>
      <w:r>
        <w:rPr>
          <w:rFonts w:hint="eastAsia" w:ascii="宋体" w:hAnsi="宋体" w:eastAsia="宋体" w:cs="宋体"/>
          <w:color w:val="auto"/>
          <w:szCs w:val="21"/>
          <w:highlight w:val="none"/>
          <w:lang w:bidi="ar"/>
        </w:rPr>
        <w:t>预付款为该项费用总额的</w:t>
      </w:r>
      <w:r>
        <w:rPr>
          <w:rFonts w:hint="eastAsia" w:ascii="宋体" w:hAnsi="宋体" w:cs="宋体"/>
          <w:color w:val="auto"/>
          <w:szCs w:val="21"/>
          <w:highlight w:val="none"/>
          <w:lang w:val="en-US" w:eastAsia="zh-CN" w:bidi="ar"/>
        </w:rPr>
        <w:t>5</w:t>
      </w:r>
      <w:r>
        <w:rPr>
          <w:rFonts w:hint="eastAsia" w:ascii="宋体" w:hAnsi="宋体" w:eastAsia="宋体" w:cs="宋体"/>
          <w:color w:val="auto"/>
          <w:szCs w:val="21"/>
          <w:highlight w:val="none"/>
          <w:lang w:val="en-US" w:eastAsia="zh-CN" w:bidi="ar"/>
        </w:rPr>
        <w:t>0</w:t>
      </w:r>
      <w:r>
        <w:rPr>
          <w:rFonts w:hint="eastAsia" w:ascii="宋体" w:hAnsi="宋体" w:eastAsia="宋体" w:cs="宋体"/>
          <w:color w:val="auto"/>
          <w:szCs w:val="21"/>
          <w:highlight w:val="none"/>
          <w:lang w:bidi="ar"/>
        </w:rPr>
        <w:t>%，即</w:t>
      </w:r>
      <w:r>
        <w:rPr>
          <w:rFonts w:hint="eastAsia" w:ascii="宋体" w:hAnsi="宋体" w:eastAsia="宋体" w:cs="宋体"/>
          <w:color w:val="auto"/>
          <w:szCs w:val="21"/>
          <w:highlight w:val="none"/>
          <w:u w:val="single"/>
          <w:lang w:bidi="ar"/>
        </w:rPr>
        <w:t xml:space="preserve">  </w:t>
      </w:r>
      <w:r>
        <w:rPr>
          <w:rFonts w:hint="eastAsia" w:ascii="宋体" w:hAnsi="宋体" w:cs="宋体"/>
          <w:color w:val="auto"/>
          <w:szCs w:val="21"/>
          <w:highlight w:val="none"/>
          <w:u w:val="single"/>
          <w:lang w:val="en-US" w:eastAsia="zh-CN" w:bidi="ar"/>
        </w:rPr>
        <w:t xml:space="preserve">    </w:t>
      </w:r>
      <w:r>
        <w:rPr>
          <w:rFonts w:hint="eastAsia" w:ascii="宋体" w:hAnsi="宋体" w:eastAsia="宋体" w:cs="宋体"/>
          <w:color w:val="auto"/>
          <w:szCs w:val="21"/>
          <w:highlight w:val="none"/>
          <w:lang w:bidi="ar"/>
        </w:rPr>
        <w:t>元。在签订《施工合同》后，由乙方提出申请经监理核实，并经丙方核实确认和甲方同意后支付。该笔款项按</w:t>
      </w:r>
      <w:r>
        <w:rPr>
          <w:rFonts w:hint="eastAsia" w:ascii="宋体" w:hAnsi="宋体" w:eastAsia="宋体" w:cs="宋体"/>
          <w:color w:val="auto"/>
          <w:szCs w:val="21"/>
          <w:highlight w:val="none"/>
          <w:lang w:val="en-US" w:eastAsia="zh-CN" w:bidi="ar"/>
        </w:rPr>
        <w:t>甲方及</w:t>
      </w:r>
      <w:r>
        <w:rPr>
          <w:rFonts w:hint="eastAsia" w:ascii="宋体" w:hAnsi="宋体" w:eastAsia="宋体" w:cs="宋体"/>
          <w:color w:val="auto"/>
          <w:szCs w:val="21"/>
          <w:highlight w:val="none"/>
          <w:lang w:bidi="ar"/>
        </w:rPr>
        <w:t>丙方审核后的每期工程进度款中的</w:t>
      </w:r>
      <w:r>
        <w:rPr>
          <w:rFonts w:hint="eastAsia" w:ascii="宋体" w:hAnsi="宋体" w:eastAsia="宋体" w:cs="宋体"/>
          <w:color w:val="auto"/>
          <w:szCs w:val="21"/>
          <w:highlight w:val="none"/>
          <w:lang w:eastAsia="zh-CN" w:bidi="ar"/>
        </w:rPr>
        <w:t>安全生产措施费</w:t>
      </w:r>
      <w:r>
        <w:rPr>
          <w:rFonts w:hint="eastAsia" w:ascii="宋体" w:hAnsi="宋体" w:eastAsia="宋体" w:cs="宋体"/>
          <w:color w:val="auto"/>
          <w:szCs w:val="21"/>
          <w:highlight w:val="none"/>
          <w:lang w:bidi="ar"/>
        </w:rPr>
        <w:t>进行抵扣，直至抵扣完毕后再支付余下安全生产费。余下的</w:t>
      </w:r>
      <w:r>
        <w:rPr>
          <w:rFonts w:hint="eastAsia" w:ascii="宋体" w:hAnsi="宋体" w:eastAsia="宋体" w:cs="宋体"/>
          <w:color w:val="auto"/>
          <w:szCs w:val="21"/>
          <w:highlight w:val="none"/>
          <w:lang w:eastAsia="zh-CN" w:bidi="ar"/>
        </w:rPr>
        <w:t>安全生产措施费</w:t>
      </w:r>
      <w:r>
        <w:rPr>
          <w:rFonts w:hint="eastAsia" w:ascii="宋体" w:hAnsi="宋体" w:eastAsia="宋体" w:cs="宋体"/>
          <w:color w:val="auto"/>
          <w:szCs w:val="21"/>
          <w:highlight w:val="none"/>
          <w:lang w:bidi="ar"/>
        </w:rPr>
        <w:t>与工程进度款同期支付，按施工进度以及丙方、监理、乙方共同核定的安全生产落实情况支付。</w:t>
      </w:r>
    </w:p>
    <w:p w14:paraId="7ED5C0C3">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（3）其它预付款：为合同金额（扣除暂列金额）的1</w:t>
      </w:r>
      <w:r>
        <w:rPr>
          <w:rFonts w:hint="eastAsia" w:ascii="宋体" w:hAnsi="宋体" w:cs="宋体"/>
          <w:color w:val="auto"/>
          <w:szCs w:val="21"/>
          <w:highlight w:val="none"/>
          <w:lang w:val="en-US" w:eastAsia="zh-CN" w:bidi="ar"/>
        </w:rPr>
        <w:t>0</w:t>
      </w:r>
      <w:r>
        <w:rPr>
          <w:rFonts w:hint="eastAsia" w:ascii="宋体" w:hAnsi="宋体" w:eastAsia="宋体" w:cs="宋体"/>
          <w:color w:val="auto"/>
          <w:szCs w:val="21"/>
          <w:highlight w:val="none"/>
          <w:lang w:bidi="ar"/>
        </w:rPr>
        <w:t>%扣除上述工人工资预付款、</w:t>
      </w:r>
      <w:r>
        <w:rPr>
          <w:rFonts w:hint="eastAsia" w:ascii="宋体" w:hAnsi="宋体" w:eastAsia="宋体" w:cs="宋体"/>
          <w:color w:val="auto"/>
          <w:szCs w:val="21"/>
          <w:highlight w:val="none"/>
          <w:lang w:eastAsia="zh-CN" w:bidi="ar"/>
        </w:rPr>
        <w:t>安全生产措施费</w:t>
      </w:r>
      <w:r>
        <w:rPr>
          <w:rFonts w:hint="eastAsia" w:ascii="宋体" w:hAnsi="宋体" w:eastAsia="宋体" w:cs="宋体"/>
          <w:color w:val="auto"/>
          <w:szCs w:val="21"/>
          <w:highlight w:val="none"/>
          <w:lang w:bidi="ar"/>
        </w:rPr>
        <w:t>预付款后的款项，即</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元。</w:t>
      </w:r>
      <w:r>
        <w:rPr>
          <w:rFonts w:hint="eastAsia" w:ascii="宋体" w:hAnsi="宋体" w:cs="宋体"/>
          <w:color w:val="auto"/>
          <w:szCs w:val="21"/>
          <w:highlight w:val="none"/>
          <w:lang w:val="en-US" w:eastAsia="zh-CN" w:bidi="ar"/>
        </w:rPr>
        <w:t>甲、乙</w:t>
      </w:r>
      <w:r>
        <w:rPr>
          <w:rFonts w:hint="eastAsia" w:ascii="宋体" w:hAnsi="宋体" w:eastAsia="宋体" w:cs="宋体"/>
          <w:color w:val="auto"/>
          <w:szCs w:val="21"/>
          <w:highlight w:val="none"/>
          <w:lang w:bidi="ar"/>
        </w:rPr>
        <w:t>双方需签订三方资金监管协议后支付至双方及监管银行约定的三方</w:t>
      </w:r>
      <w:r>
        <w:rPr>
          <w:rFonts w:hint="eastAsia" w:ascii="宋体" w:hAnsi="宋体" w:cs="宋体"/>
          <w:color w:val="auto"/>
          <w:szCs w:val="21"/>
          <w:highlight w:val="none"/>
          <w:lang w:val="en-US" w:eastAsia="zh-CN" w:bidi="ar"/>
        </w:rPr>
        <w:t>监管</w:t>
      </w:r>
      <w:r>
        <w:rPr>
          <w:rFonts w:hint="eastAsia" w:ascii="宋体" w:hAnsi="宋体" w:eastAsia="宋体" w:cs="宋体"/>
          <w:color w:val="auto"/>
          <w:szCs w:val="21"/>
          <w:highlight w:val="none"/>
          <w:lang w:bidi="ar"/>
        </w:rPr>
        <w:t>账户。该笔款项按甲方及丙方审核后的每期工程进度款进行抵扣，直至抵扣完毕后再支付余下工程款。</w:t>
      </w:r>
    </w:p>
    <w:p w14:paraId="70AA2730">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进度款支付：本项目施工进度款按当月实际完成工程量（不包括工程实施过程中的工程变更，除非另有约定）计算，经监理人员核实且丙方认可后，由甲方支付给乙方，进度款按当月完成工程价款的80%支付（不包括工程实施过程中的工程变更导致的工程造价增加，除非另有约定）。</w:t>
      </w:r>
    </w:p>
    <w:p w14:paraId="58BED55E">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4、乙方最终完成的工程量以中山市坦能科技有限公司委托的第三方审核单位出具的审核结果为准。</w:t>
      </w:r>
    </w:p>
    <w:p w14:paraId="6DCFB707">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5、工程款的结算：工程竣工验收合格后支付至已完成工程价款的80%（不包括工程实施过程中的工程变更导致的工程造价增加，除非另有约定），工程完成结算审核后支付至工程结算价的97%（若</w:t>
      </w:r>
      <w:r>
        <w:rPr>
          <w:rFonts w:hint="eastAsia" w:ascii="宋体" w:hAnsi="宋体" w:eastAsia="宋体" w:cs="宋体"/>
          <w:color w:val="auto"/>
          <w:szCs w:val="21"/>
          <w:highlight w:val="none"/>
          <w:lang w:val="en-US" w:eastAsia="zh-CN" w:bidi="ar"/>
        </w:rPr>
        <w:t>甲方</w:t>
      </w:r>
      <w:r>
        <w:rPr>
          <w:rFonts w:hint="eastAsia" w:ascii="宋体" w:hAnsi="宋体" w:eastAsia="宋体" w:cs="宋体"/>
          <w:color w:val="auto"/>
          <w:szCs w:val="21"/>
          <w:highlight w:val="none"/>
          <w:lang w:bidi="ar"/>
        </w:rPr>
        <w:t>已支付的工程进度款超过工程结算价，则乙方应在收到丙方的通知后30日内退还多收取的工程款），工程结算价的3%作为工程质量保证金。质量保证金在缺陷责任期（2年）满后由乙方提出申请，经丙方审核后甲方一次性返还给乙方（不计利息）。</w:t>
      </w:r>
    </w:p>
    <w:p w14:paraId="77BC2C7B">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6、乙方必须在收到工程进度款后，于每月15日前发放工人工资并做好发放记录，不得以任何借口拒绝发放工人工资，同时，若由此引起的任何纠纷，均由乙方负责。</w:t>
      </w:r>
    </w:p>
    <w:p w14:paraId="5326B0BD">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7、若《施工合同》履行期间，乙方公司名称发生变更，需提前书面告知丙方及甲方，并办好相关名称变更手续。否则，因此造成的工程款或合同款无法正常支付等后果均由乙方承担，甲方、丙方不负任何责任，乙方还需赔偿由此给甲方及丙方造成的损失。</w:t>
      </w:r>
    </w:p>
    <w:p w14:paraId="633ADA89">
      <w:pPr>
        <w:spacing w:line="500" w:lineRule="exact"/>
        <w:ind w:firstLine="472" w:firstLineChars="224"/>
        <w:rPr>
          <w:rFonts w:hint="eastAsia" w:ascii="宋体" w:hAnsi="宋体" w:eastAsia="宋体" w:cs="宋体"/>
          <w:b/>
          <w:bCs/>
          <w:color w:val="auto"/>
          <w:szCs w:val="21"/>
          <w:highlight w:val="none"/>
          <w:lang w:bidi="ar"/>
        </w:rPr>
      </w:pPr>
      <w:r>
        <w:rPr>
          <w:rFonts w:hint="eastAsia" w:ascii="宋体" w:hAnsi="宋体" w:eastAsia="宋体" w:cs="宋体"/>
          <w:b/>
          <w:bCs/>
          <w:color w:val="auto"/>
          <w:szCs w:val="21"/>
          <w:highlight w:val="none"/>
          <w:lang w:bidi="ar"/>
        </w:rPr>
        <w:t>五、工程结算</w:t>
      </w:r>
    </w:p>
    <w:p w14:paraId="5A9E66DC">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1、工程价款结算及调整</w:t>
      </w:r>
    </w:p>
    <w:p w14:paraId="7B448B65">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本工程采用固定总价方式，乙方负责按中标价完成施工设计图的所有工作内容，除丙方及甲方确认的变更外，结算价不予调整；如乙方没有完成施工设计图的工作内容，则丙方对没有完成的部分相应扣减乙方的工程款。</w:t>
      </w:r>
    </w:p>
    <w:p w14:paraId="19F5C1C8">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如因丙方及甲方要求或同意的修改、变更，其承包价的增、减部分按乙方的分项工程清单项目的综合单价调整结算，如果乙方的分项工程清单项目的综合单价超出投标控制价上限价（即甲方中介预算分项工程清单项目的综合单价乘以上限下浮率）时，按中介预算单价乘以中标浮动率（中标浮动率=中标价与中介预算价的比率）得出后的单价调整结算；如中标预算中无该项目单价的，按本施工招标说明书的规定做出预算经丙方审核后结算，结算单价按中标浮动率折算执行。但如果乙方的分项清单综合单价超高或需扣减的工程内容乙方清单综合单价超低，经丙方审核，已严重偏离预算编制原则及市场价格的，则由丙方按本施工招标说明书的规定做出预算后结算，结算单价按甲方预算单价乘以中标浮动率执行。最终结算价以中山市坦能科技有限公司委托的第三方审核单位出具的审核结果为准。</w:t>
      </w:r>
    </w:p>
    <w:p w14:paraId="08767965">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变更、修改设计的工程内容，乙方不得拒绝承担。因设计、规划调整等原因导致工程内容增加或工期延误的，甲方或丙方有权调整招标范围及内容，并相应调整合同工期及价款。工期调整天数以定额工期为准，如定额工期无法计算的，则以三方协商为准，增加的工程费用按合同约定的计价方式结算。</w:t>
      </w:r>
    </w:p>
    <w:p w14:paraId="4B8FAD6D">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2、工程合同履行期间，合同价差调整按市财政局、市住房城乡建设局《关于解决政府投资项目建筑主材调差问题的指导性意见》（中府办【2018】12号文）执行。</w:t>
      </w:r>
    </w:p>
    <w:p w14:paraId="56CE8484">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3、造价风险</w:t>
      </w:r>
    </w:p>
    <w:p w14:paraId="5093DFE9">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（1）外运土石方或建筑废料等按5公里包干，任何情况下均不予调整。如有设计变更涉及到土方外运，也按此处理。</w:t>
      </w:r>
    </w:p>
    <w:p w14:paraId="6EB26B5E">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投标报价范围内的工程造价除设计变更或招标文件、招标答疑中允许的调整范围以及中山市人民政府办公室中府办〔2018〕12号文件允许的建筑主材调差外，其余不因市场价格变化而调整。在计费时，乙方确认已将施工风险系数等费用考虑入工程投标总报价中。</w:t>
      </w:r>
    </w:p>
    <w:p w14:paraId="794F079C">
      <w:pPr>
        <w:spacing w:line="500" w:lineRule="exact"/>
        <w:ind w:firstLine="472" w:firstLineChars="224"/>
        <w:rPr>
          <w:rFonts w:hint="eastAsia" w:ascii="宋体" w:hAnsi="宋体" w:eastAsia="宋体" w:cs="宋体"/>
          <w:b/>
          <w:bCs/>
          <w:color w:val="auto"/>
          <w:szCs w:val="21"/>
          <w:highlight w:val="none"/>
          <w:lang w:bidi="ar"/>
        </w:rPr>
      </w:pPr>
      <w:r>
        <w:rPr>
          <w:rFonts w:hint="eastAsia" w:ascii="宋体" w:hAnsi="宋体" w:eastAsia="宋体" w:cs="宋体"/>
          <w:b/>
          <w:bCs/>
          <w:color w:val="auto"/>
          <w:szCs w:val="21"/>
          <w:highlight w:val="none"/>
          <w:lang w:bidi="ar"/>
        </w:rPr>
        <w:t>六、违约处罚</w:t>
      </w:r>
    </w:p>
    <w:p w14:paraId="31AD9810">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乙方通过贿赂、伪造资质等手段非法骗取中标的，被行政机关查实并出具相关文书等情形的，视为乙方违约，甲方及丙方有权单方解除《施工合同》及本补充协议，不予退还乙方的履约保证金，由此给甲方及丙方造成经济损失的，应予以赔偿。</w:t>
      </w:r>
    </w:p>
    <w:p w14:paraId="65B4C072">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本工程乙方不得转包或违法分包，若乙方被行政机关依法出具非法转包或分包行政处罚决定书等情形的，视为乙方违约，并处签约合同价的3%作为违约金，同时甲方及丙方有权单方解除《施工合同》及《施工合同补充协议》、不予退还履约保证金（若乙方是通过履约保函的方式提供担保的，乙方已提交的履约保函原件不予退还，</w:t>
      </w:r>
      <w:r>
        <w:rPr>
          <w:rFonts w:hint="eastAsia" w:ascii="宋体" w:hAnsi="宋体" w:eastAsia="宋体" w:cs="宋体"/>
          <w:color w:val="auto"/>
          <w:szCs w:val="21"/>
          <w:highlight w:val="none"/>
          <w:lang w:bidi="ar"/>
        </w:rPr>
        <w:t>丙方有权要求出具履约保函的第三方将履约保证金支付到甲方指定账户；若保函无法兑现，则乙方需要赔偿甲方与履约保证金等额的款项），甲方无需向乙方支付剩余合同工程款，乙方给甲方和丙方所造成的一切损失由乙方承担。</w:t>
      </w:r>
    </w:p>
    <w:p w14:paraId="039148D3">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如乙方竣工验收时达不到要求工程等级或工程质量要求或竣工验收资料不齐全、不符合丙方要求的，乙方应采取一切可能的措施进行补救，所需费用由乙方全部无条件承担，并向甲方和丙方补偿因此所造成的一切损失。</w:t>
      </w:r>
    </w:p>
    <w:p w14:paraId="6384FB7A">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4、如乙方擅自改动设计图纸或使用不当材料而造成的质量事故，乙方负全部责任并赔偿一切损失；乙方未经设计单位及丙方许可，不得擅自改动图纸或施工方案，否则，甲方及丙方有权解除《施工合同》及《施工合同补充协议》，且无须支付剩余的工程款，甲方及丙方由此遭受的损失由乙方承担。</w:t>
      </w:r>
    </w:p>
    <w:p w14:paraId="721B2ECC">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5、施工过程中，若因为施工原因（包括施工方法、保护措施失当等因素）而对现有已建工程造成损坏，由乙方负责处理和解决，并赔偿甲方和丙方因此而产生的一切损失。</w:t>
      </w:r>
    </w:p>
    <w:p w14:paraId="2382A026">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6、因乙方责任达不到合同工期的，作不良行为记录。</w:t>
      </w:r>
    </w:p>
    <w:p w14:paraId="13F57F74">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7、对乙方无视安全施工和文明施工要求，且未能按丙方、监理工程师等所提的整改意见进行整改，丙方将上报主管职能部门，由职能部门按《生产安全事故报告和调查处理条例》和《广东省住房和城乡建设厅关于印发&lt;房屋建筑和市政基础设施工程施工质量安全动态管理办法&gt;的通知》进行处罚。</w:t>
      </w:r>
    </w:p>
    <w:p w14:paraId="6C519E22">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8、乙方实际投入的施工管理人员必须与乙方投标书和《施工合同》中的施工管理人员相符，一经中标且签订《施工合同》后，需按投标时的人员办理施工许可，不得随意更改。如确需更换，须按广东省住房和城乡建设厅印发《广东省住房和城乡建设厅关于建设工程项目招标中标后监督检查的办法》的通知（粤建市〔2009〕8号）的有关规定进行申请，提供更换原因的凭证，并经丙方同意，同时，乙方仍需要按照下表向甲方支付违约金。如乙方未经丙方同意擅自更换施工管理人员，甲方及丙方有权选择：（1）解除《施工合同》及本补充协议，乙方按下表向甲方支付违约金。同时甲方有权将乙方的情况提交主管部门作不诚信单位予以备案。（2）乙方继续履行合同，并按下表向甲方支付违约金。</w:t>
      </w:r>
    </w:p>
    <w:p w14:paraId="12EEA54E">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9、如因监理人认为已委派的项目经理或主要人员的工作能力和业务水平不称职的需要更换人员的，经丙方同意后更换，并按下表更换人员的违约金额进行扣罚，甲方有权在待支付的工程款中进行抵扣。</w:t>
      </w:r>
    </w:p>
    <w:p w14:paraId="31E79990">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10、所有经过丙方同意更换的人员均需经监理单位审核并报丙方批准后，用同等或以上资质和经历的人员替换，否则不予以更换。</w:t>
      </w:r>
    </w:p>
    <w:p w14:paraId="172D5695">
      <w:pPr>
        <w:spacing w:line="500" w:lineRule="exact"/>
        <w:ind w:firstLine="470" w:firstLineChars="224"/>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 xml:space="preserve"> 11、如因重大疾病等不可抗力原因导致更换人员的，经监理单位及丙方核实后，乙方用同等或以上资质和经历的人员替换，无需扣罚违约金。</w:t>
      </w:r>
    </w:p>
    <w:p w14:paraId="4977736B">
      <w:pPr>
        <w:spacing w:line="500" w:lineRule="exact"/>
        <w:ind w:firstLine="470" w:firstLineChars="224"/>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更换人员违约金处罚明细：</w:t>
      </w:r>
    </w:p>
    <w:tbl>
      <w:tblPr>
        <w:tblStyle w:val="26"/>
        <w:tblW w:w="8837" w:type="dxa"/>
        <w:tblInd w:w="0" w:type="dxa"/>
        <w:tblLayout w:type="fixed"/>
        <w:tblCellMar>
          <w:top w:w="0" w:type="dxa"/>
          <w:left w:w="108" w:type="dxa"/>
          <w:bottom w:w="0" w:type="dxa"/>
          <w:right w:w="108" w:type="dxa"/>
        </w:tblCellMar>
      </w:tblPr>
      <w:tblGrid>
        <w:gridCol w:w="2416"/>
        <w:gridCol w:w="1539"/>
        <w:gridCol w:w="1700"/>
        <w:gridCol w:w="1591"/>
        <w:gridCol w:w="1591"/>
      </w:tblGrid>
      <w:tr w14:paraId="08D6FFE8">
        <w:tblPrEx>
          <w:tblCellMar>
            <w:top w:w="0" w:type="dxa"/>
            <w:left w:w="108" w:type="dxa"/>
            <w:bottom w:w="0" w:type="dxa"/>
            <w:right w:w="108" w:type="dxa"/>
          </w:tblCellMar>
        </w:tblPrEx>
        <w:trPr>
          <w:trHeight w:val="1147" w:hRule="atLeast"/>
        </w:trPr>
        <w:tc>
          <w:tcPr>
            <w:tcW w:w="2416" w:type="dxa"/>
            <w:tcBorders>
              <w:top w:val="single" w:color="auto" w:sz="4" w:space="0"/>
              <w:left w:val="single" w:color="auto" w:sz="4" w:space="0"/>
              <w:bottom w:val="single" w:color="auto" w:sz="4" w:space="0"/>
              <w:right w:val="single" w:color="auto" w:sz="4" w:space="0"/>
              <w:tl2br w:val="single" w:color="auto" w:sz="4" w:space="0"/>
            </w:tcBorders>
            <w:noWrap w:val="0"/>
            <w:vAlign w:val="center"/>
          </w:tcPr>
          <w:p w14:paraId="65490D9E">
            <w:pPr>
              <w:keepNext w:val="0"/>
              <w:keepLines w:val="0"/>
              <w:pageBreakBefore w:val="0"/>
              <w:widowControl/>
              <w:kinsoku/>
              <w:wordWrap/>
              <w:overflowPunct/>
              <w:topLinePunct w:val="0"/>
              <w:autoSpaceDE/>
              <w:autoSpaceDN/>
              <w:bidi w:val="0"/>
              <w:adjustRightInd/>
              <w:snapToGrid/>
              <w:spacing w:line="360" w:lineRule="auto"/>
              <w:ind w:left="279" w:leftChars="-67" w:hanging="420" w:hanging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vertAlign w:val="superscript"/>
                <w:lang w:bidi="ar"/>
              </w:rPr>
              <w:t xml:space="preserve">           </w:t>
            </w:r>
            <w:r>
              <w:rPr>
                <w:rFonts w:hint="eastAsia" w:ascii="宋体" w:hAnsi="宋体" w:eastAsia="宋体" w:cs="宋体"/>
                <w:color w:val="auto"/>
                <w:kern w:val="0"/>
                <w:szCs w:val="21"/>
                <w:highlight w:val="none"/>
                <w:lang w:bidi="ar"/>
              </w:rPr>
              <w:t xml:space="preserve">         人员                 明细</w:t>
            </w:r>
          </w:p>
        </w:tc>
        <w:tc>
          <w:tcPr>
            <w:tcW w:w="1539" w:type="dxa"/>
            <w:tcBorders>
              <w:top w:val="single" w:color="auto" w:sz="4" w:space="0"/>
              <w:left w:val="nil"/>
              <w:bottom w:val="single" w:color="auto" w:sz="4" w:space="0"/>
              <w:right w:val="single" w:color="auto" w:sz="4" w:space="0"/>
            </w:tcBorders>
            <w:noWrap w:val="0"/>
            <w:vAlign w:val="center"/>
          </w:tcPr>
          <w:p w14:paraId="75971AA5">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更换项目负责人（《施工合同》签订前）</w:t>
            </w:r>
          </w:p>
        </w:tc>
        <w:tc>
          <w:tcPr>
            <w:tcW w:w="1700" w:type="dxa"/>
            <w:tcBorders>
              <w:top w:val="single" w:color="auto" w:sz="4" w:space="0"/>
              <w:left w:val="nil"/>
              <w:bottom w:val="single" w:color="auto" w:sz="4" w:space="0"/>
              <w:right w:val="single" w:color="auto" w:sz="4" w:space="0"/>
            </w:tcBorders>
            <w:noWrap w:val="0"/>
            <w:vAlign w:val="center"/>
          </w:tcPr>
          <w:p w14:paraId="29A2708E">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更换其他管理人员（《施工合同》签订前）</w:t>
            </w:r>
          </w:p>
        </w:tc>
        <w:tc>
          <w:tcPr>
            <w:tcW w:w="1591" w:type="dxa"/>
            <w:tcBorders>
              <w:top w:val="single" w:color="auto" w:sz="4" w:space="0"/>
              <w:left w:val="nil"/>
              <w:bottom w:val="single" w:color="auto" w:sz="4" w:space="0"/>
              <w:right w:val="single" w:color="auto" w:sz="4" w:space="0"/>
            </w:tcBorders>
            <w:noWrap w:val="0"/>
            <w:vAlign w:val="center"/>
          </w:tcPr>
          <w:p w14:paraId="1F107C4F">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更换项目负责人（《施工合同》签订后）</w:t>
            </w:r>
          </w:p>
        </w:tc>
        <w:tc>
          <w:tcPr>
            <w:tcW w:w="1591" w:type="dxa"/>
            <w:tcBorders>
              <w:top w:val="single" w:color="auto" w:sz="4" w:space="0"/>
              <w:left w:val="nil"/>
              <w:bottom w:val="single" w:color="auto" w:sz="4" w:space="0"/>
              <w:right w:val="single" w:color="auto" w:sz="4" w:space="0"/>
            </w:tcBorders>
            <w:noWrap w:val="0"/>
            <w:vAlign w:val="center"/>
          </w:tcPr>
          <w:p w14:paraId="26D8BC57">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更换其他管理人员（《施工合同》签订后）</w:t>
            </w:r>
          </w:p>
        </w:tc>
      </w:tr>
      <w:tr w14:paraId="0799039E">
        <w:tblPrEx>
          <w:tblCellMar>
            <w:top w:w="0" w:type="dxa"/>
            <w:left w:w="108" w:type="dxa"/>
            <w:bottom w:w="0" w:type="dxa"/>
            <w:right w:w="108" w:type="dxa"/>
          </w:tblCellMar>
        </w:tblPrEx>
        <w:trPr>
          <w:trHeight w:val="873" w:hRule="atLeast"/>
        </w:trPr>
        <w:tc>
          <w:tcPr>
            <w:tcW w:w="2416" w:type="dxa"/>
            <w:tcBorders>
              <w:top w:val="single" w:color="auto" w:sz="4" w:space="0"/>
              <w:left w:val="single" w:color="auto" w:sz="4" w:space="0"/>
              <w:bottom w:val="single" w:color="auto" w:sz="4" w:space="0"/>
              <w:right w:val="single" w:color="auto" w:sz="4" w:space="0"/>
            </w:tcBorders>
            <w:noWrap w:val="0"/>
            <w:vAlign w:val="center"/>
          </w:tcPr>
          <w:p w14:paraId="4329959C">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1000万以下项目违约金（万元/人.次）</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16984552">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10</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38D3C2A0">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5</w:t>
            </w:r>
          </w:p>
        </w:tc>
        <w:tc>
          <w:tcPr>
            <w:tcW w:w="1591" w:type="dxa"/>
            <w:tcBorders>
              <w:top w:val="single" w:color="auto" w:sz="4" w:space="0"/>
              <w:left w:val="single" w:color="auto" w:sz="4" w:space="0"/>
              <w:bottom w:val="single" w:color="auto" w:sz="4" w:space="0"/>
              <w:right w:val="single" w:color="auto" w:sz="4" w:space="0"/>
            </w:tcBorders>
            <w:noWrap w:val="0"/>
            <w:vAlign w:val="center"/>
          </w:tcPr>
          <w:p w14:paraId="145EF204">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5</w:t>
            </w:r>
          </w:p>
        </w:tc>
        <w:tc>
          <w:tcPr>
            <w:tcW w:w="1591" w:type="dxa"/>
            <w:tcBorders>
              <w:top w:val="single" w:color="auto" w:sz="4" w:space="0"/>
              <w:left w:val="single" w:color="auto" w:sz="4" w:space="0"/>
              <w:bottom w:val="single" w:color="auto" w:sz="4" w:space="0"/>
              <w:right w:val="single" w:color="auto" w:sz="4" w:space="0"/>
            </w:tcBorders>
            <w:noWrap w:val="0"/>
            <w:vAlign w:val="center"/>
          </w:tcPr>
          <w:p w14:paraId="17992435">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2</w:t>
            </w:r>
          </w:p>
        </w:tc>
      </w:tr>
      <w:tr w14:paraId="71B342E9">
        <w:tblPrEx>
          <w:tblCellMar>
            <w:top w:w="0" w:type="dxa"/>
            <w:left w:w="108" w:type="dxa"/>
            <w:bottom w:w="0" w:type="dxa"/>
            <w:right w:w="108" w:type="dxa"/>
          </w:tblCellMar>
        </w:tblPrEx>
        <w:trPr>
          <w:trHeight w:val="768" w:hRule="atLeast"/>
        </w:trPr>
        <w:tc>
          <w:tcPr>
            <w:tcW w:w="2416" w:type="dxa"/>
            <w:tcBorders>
              <w:top w:val="single" w:color="auto" w:sz="4" w:space="0"/>
              <w:left w:val="single" w:color="auto" w:sz="4" w:space="0"/>
              <w:bottom w:val="single" w:color="auto" w:sz="4" w:space="0"/>
              <w:right w:val="single" w:color="auto" w:sz="4" w:space="0"/>
            </w:tcBorders>
            <w:noWrap w:val="0"/>
            <w:vAlign w:val="center"/>
          </w:tcPr>
          <w:p w14:paraId="503E27BF">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1000~2000万项目违约金（万元/人.次）</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4584308D">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20</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19D3D107">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10</w:t>
            </w:r>
          </w:p>
        </w:tc>
        <w:tc>
          <w:tcPr>
            <w:tcW w:w="1591" w:type="dxa"/>
            <w:tcBorders>
              <w:top w:val="single" w:color="auto" w:sz="4" w:space="0"/>
              <w:left w:val="single" w:color="auto" w:sz="4" w:space="0"/>
              <w:bottom w:val="single" w:color="auto" w:sz="4" w:space="0"/>
              <w:right w:val="single" w:color="auto" w:sz="4" w:space="0"/>
            </w:tcBorders>
            <w:noWrap w:val="0"/>
            <w:vAlign w:val="center"/>
          </w:tcPr>
          <w:p w14:paraId="5A1AD9E4">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10</w:t>
            </w:r>
          </w:p>
        </w:tc>
        <w:tc>
          <w:tcPr>
            <w:tcW w:w="1591" w:type="dxa"/>
            <w:tcBorders>
              <w:top w:val="single" w:color="auto" w:sz="4" w:space="0"/>
              <w:left w:val="single" w:color="auto" w:sz="4" w:space="0"/>
              <w:bottom w:val="single" w:color="auto" w:sz="4" w:space="0"/>
              <w:right w:val="single" w:color="auto" w:sz="4" w:space="0"/>
            </w:tcBorders>
            <w:noWrap w:val="0"/>
            <w:vAlign w:val="center"/>
          </w:tcPr>
          <w:p w14:paraId="5EBD608F">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5</w:t>
            </w:r>
          </w:p>
        </w:tc>
      </w:tr>
      <w:tr w14:paraId="5A1A0DAA">
        <w:tblPrEx>
          <w:tblCellMar>
            <w:top w:w="0" w:type="dxa"/>
            <w:left w:w="108" w:type="dxa"/>
            <w:bottom w:w="0" w:type="dxa"/>
            <w:right w:w="108" w:type="dxa"/>
          </w:tblCellMar>
        </w:tblPrEx>
        <w:trPr>
          <w:trHeight w:val="778" w:hRule="atLeast"/>
        </w:trPr>
        <w:tc>
          <w:tcPr>
            <w:tcW w:w="2416" w:type="dxa"/>
            <w:tcBorders>
              <w:top w:val="single" w:color="auto" w:sz="4" w:space="0"/>
              <w:left w:val="single" w:color="auto" w:sz="4" w:space="0"/>
              <w:bottom w:val="single" w:color="auto" w:sz="4" w:space="0"/>
              <w:right w:val="single" w:color="auto" w:sz="4" w:space="0"/>
            </w:tcBorders>
            <w:noWrap w:val="0"/>
            <w:vAlign w:val="center"/>
          </w:tcPr>
          <w:p w14:paraId="7F1B52D6">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2000万以上项目违约金（万元/人.次）</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3E059145">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30</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21D46931">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10</w:t>
            </w:r>
          </w:p>
        </w:tc>
        <w:tc>
          <w:tcPr>
            <w:tcW w:w="1591" w:type="dxa"/>
            <w:tcBorders>
              <w:top w:val="single" w:color="auto" w:sz="4" w:space="0"/>
              <w:left w:val="single" w:color="auto" w:sz="4" w:space="0"/>
              <w:bottom w:val="single" w:color="auto" w:sz="4" w:space="0"/>
              <w:right w:val="single" w:color="auto" w:sz="4" w:space="0"/>
            </w:tcBorders>
            <w:noWrap w:val="0"/>
            <w:vAlign w:val="center"/>
          </w:tcPr>
          <w:p w14:paraId="6F5098E3">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10</w:t>
            </w:r>
          </w:p>
        </w:tc>
        <w:tc>
          <w:tcPr>
            <w:tcW w:w="1591" w:type="dxa"/>
            <w:tcBorders>
              <w:top w:val="single" w:color="auto" w:sz="4" w:space="0"/>
              <w:left w:val="single" w:color="auto" w:sz="4" w:space="0"/>
              <w:bottom w:val="single" w:color="auto" w:sz="4" w:space="0"/>
              <w:right w:val="single" w:color="auto" w:sz="4" w:space="0"/>
            </w:tcBorders>
            <w:noWrap w:val="0"/>
            <w:vAlign w:val="center"/>
          </w:tcPr>
          <w:p w14:paraId="24F151E2">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bidi="ar"/>
              </w:rPr>
              <w:t>5</w:t>
            </w:r>
          </w:p>
        </w:tc>
      </w:tr>
    </w:tbl>
    <w:p w14:paraId="5B4BA382">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 xml:space="preserve">   12、本工程的项目负责人，必须在现场实施全过程、全方位的施工管理，不得承担其他工程项目的管理工作。在丙方组织的不定期检查中，若发现违反有关规定的，在丙方提出整改要求后，若没有及时改进或没有实质性响应的，情节严重的甲方及丙方有权单方解除《施工合同》及本补充协议，同时提交给主管部门作不诚信单位予以备案。乙方应承担全部责任。</w:t>
      </w:r>
    </w:p>
    <w:p w14:paraId="3790176F">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13、乙方超过限期不递交结算资料的或递交的结算资料不完整、不符合丙方要求的，每逾期1天，甲方及丙方有权扣减工程签约合同价的0.5%（最高扣减不超过10万元）且甲方有权直接在待付工程款中直接扣除，同时不予结算，待乙方提交完整的符合丙方要求的结算资料后再进行结算。若乙方不按上述规定时间报送结算，丙方可对乙方发催报书面通知；乙方在通知规定期限内仍不报送结算的，甲方和丙方有权按已有资料或按已付工程款办理单方结算，该结算结果对乙方具有约束力，由此产生的一切损失和不利后果由乙方承担，丙方还有权将情况提交给主管部门作不诚信单位予以备案。</w:t>
      </w:r>
    </w:p>
    <w:p w14:paraId="3AAC845F">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14、乙方需积极采取有效措施推进项目进度。在工程开工前7个日历天内，乙方应编制本工程的总进度计划，按照项目实际进度进行关键节点设置，且总进度计划中应明确：</w:t>
      </w:r>
    </w:p>
    <w:p w14:paraId="7EDBF509">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（1）工程关键施工节点完成时间：软基处理、给排水工程、道路工程、人行道工程、绿化工程、照明工程等(时间节点完成情况以监理月报为判断依据) 。</w:t>
      </w:r>
    </w:p>
    <w:p w14:paraId="0771B9C3">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（2）完工时间完成节点为监理单位发出开工令之日起</w:t>
      </w:r>
      <w:r>
        <w:rPr>
          <w:rFonts w:hint="eastAsia" w:ascii="宋体" w:hAnsi="宋体" w:cs="宋体"/>
          <w:color w:val="auto"/>
          <w:szCs w:val="21"/>
          <w:highlight w:val="none"/>
          <w:lang w:val="en-US" w:eastAsia="zh-CN" w:bidi="ar"/>
        </w:rPr>
        <w:t>150</w:t>
      </w:r>
      <w:r>
        <w:rPr>
          <w:rFonts w:hint="eastAsia" w:ascii="宋体" w:hAnsi="宋体" w:eastAsia="宋体" w:cs="宋体"/>
          <w:color w:val="auto"/>
          <w:szCs w:val="21"/>
          <w:highlight w:val="none"/>
          <w:u w:val="none"/>
          <w:lang w:bidi="ar"/>
        </w:rPr>
        <w:t>个日历天</w:t>
      </w:r>
      <w:r>
        <w:rPr>
          <w:rFonts w:hint="eastAsia" w:ascii="宋体" w:hAnsi="宋体" w:eastAsia="宋体" w:cs="宋体"/>
          <w:color w:val="auto"/>
          <w:szCs w:val="21"/>
          <w:highlight w:val="none"/>
          <w:lang w:bidi="ar"/>
        </w:rPr>
        <w:t>，按本协议书约定的工期执行。</w:t>
      </w:r>
    </w:p>
    <w:p w14:paraId="1016E7CE">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（3）竣工验收资料提交关键节点：完工后一个月内乙方需提交真实、准确、齐备、完整的竣工验收资料。</w:t>
      </w:r>
    </w:p>
    <w:p w14:paraId="4C9D1282">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4）除已约定的时间节点外，关键施工节点的工期以丙方审批同意为准。关键施工节点的工期，并报至本工程的监理人和丙方审批，若因乙方原因未按时完成总进度计划中的关键施工节点的，从超出关键施工节点15日起，每延期1天，由丙方计扣乙方违约金人民币50000元/天；经丙方两次书面发函要求整改后仍未按丙方要求整改，造成项目滞后进度计划节点45日以上的，甲方及丙方有权单方面终止合同，并没收乙方的履约保证金；若因乙方原因导致本工程未按照总进度计划中的工程完工时间及竣工时间完成的，从超出之日起，每延期1天，由丙方计扣乙方违约金人民币100000元/天，逾期违约金限额为签约合同价的10%。丙方计扣乙方的违约金，甲方可以从乙方应得的工程进度款、结算款或履约保证金中直接扣除。（若乙方是通过履约保函的方式提供担保的，乙方已提交的履约保函原件不予退还，甲方有权要求出具履约保函的银行将履约保证金支付到甲方指定账户；若保函无法兑现，则乙方需要赔偿甲方与履约保证金等额的款项）</w:t>
      </w:r>
    </w:p>
    <w:p w14:paraId="4BA17CA2">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15、除本补充协议另有约定外，出现以下任一情形时，甲方及丙方有权单方解除</w:t>
      </w:r>
      <w:r>
        <w:rPr>
          <w:rFonts w:hint="eastAsia" w:ascii="宋体" w:hAnsi="宋体" w:eastAsia="宋体" w:cs="宋体"/>
          <w:bCs/>
          <w:color w:val="auto"/>
          <w:sz w:val="21"/>
          <w:szCs w:val="21"/>
          <w:highlight w:val="none"/>
          <w:lang w:bidi="ar"/>
        </w:rPr>
        <w:t>本合同</w:t>
      </w:r>
      <w:r>
        <w:rPr>
          <w:rFonts w:hint="eastAsia" w:ascii="宋体" w:hAnsi="宋体" w:eastAsia="宋体" w:cs="宋体"/>
          <w:color w:val="auto"/>
          <w:szCs w:val="21"/>
          <w:highlight w:val="none"/>
          <w:lang w:bidi="ar"/>
        </w:rPr>
        <w:t>，不予退还乙方履约保证金（若乙方是通过履约保函的方式提供担保的，乙方已提交的履约保函原件不予退还，甲方有权要求出具履约保函的银行将履约保证金支付到甲方指定账户；若保函无法兑现，则乙方需要赔偿甲方与履约保证金等额的款项），如违约金和履约保证金不足以弥补甲方遭受的损失，乙方还应全额赔偿。</w:t>
      </w:r>
    </w:p>
    <w:p w14:paraId="3A2D548B">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(1)因乙方原因导致《施工合同》及《施工合同补充协议》提前解除的；</w:t>
      </w:r>
    </w:p>
    <w:p w14:paraId="0D075FF1">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(2)乙方迟延履行主要义务，经丙方催告后在合理期限内仍未履行的；</w:t>
      </w:r>
    </w:p>
    <w:p w14:paraId="5B92A3C5">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(3)因乙方原因导致不能实现合同目的的。</w:t>
      </w:r>
    </w:p>
    <w:p w14:paraId="3B61DC96">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16、乙方因违反《施工合同》及《施工合同补充协议》的约定，给甲方及丙方造成损失的，乙方需要向甲方及丙方赔偿的损失范围包括但不限于甲方及丙方因采取补救措施而支出的费用、项目延期造成的损失、第三方索赔、公证费、鉴定费、评估费、保全费、律师费、诉讼费等。</w:t>
      </w:r>
    </w:p>
    <w:p w14:paraId="1644209E">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17、乙方应向甲方及丙方支付的违约金、赔偿金、损失，甲方有权在应付款项中直接扣除，不足以弥补甲方及丙方损失的，甲方有权继续追偿。</w:t>
      </w:r>
    </w:p>
    <w:p w14:paraId="6FAB13F8">
      <w:pPr>
        <w:snapToGrid w:val="0"/>
        <w:spacing w:line="500" w:lineRule="exact"/>
        <w:ind w:firstLine="422" w:firstLineChars="200"/>
        <w:rPr>
          <w:rFonts w:hint="eastAsia" w:ascii="宋体" w:hAnsi="宋体" w:eastAsia="宋体" w:cs="宋体"/>
          <w:b/>
          <w:bCs/>
          <w:color w:val="auto"/>
          <w:szCs w:val="21"/>
          <w:highlight w:val="none"/>
          <w:lang w:bidi="ar"/>
        </w:rPr>
      </w:pPr>
      <w:r>
        <w:rPr>
          <w:rFonts w:hint="eastAsia" w:ascii="宋体" w:hAnsi="宋体" w:eastAsia="宋体" w:cs="宋体"/>
          <w:b/>
          <w:bCs/>
          <w:color w:val="auto"/>
          <w:szCs w:val="21"/>
          <w:highlight w:val="none"/>
          <w:lang w:bidi="ar"/>
        </w:rPr>
        <w:t>七、通知方式约定</w:t>
      </w:r>
    </w:p>
    <w:p w14:paraId="38FCBE55">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以</w:t>
      </w:r>
      <w:r>
        <w:rPr>
          <w:rFonts w:hint="eastAsia" w:ascii="宋体" w:hAnsi="宋体" w:eastAsia="宋体" w:cs="宋体"/>
          <w:color w:val="auto"/>
          <w:szCs w:val="21"/>
          <w:highlight w:val="none"/>
          <w:lang w:val="en-US" w:eastAsia="zh-CN" w:bidi="ar"/>
        </w:rPr>
        <w:t>三</w:t>
      </w:r>
      <w:r>
        <w:rPr>
          <w:rFonts w:hint="eastAsia" w:ascii="宋体" w:hAnsi="宋体" w:eastAsia="宋体" w:cs="宋体"/>
          <w:color w:val="auto"/>
          <w:szCs w:val="21"/>
          <w:highlight w:val="none"/>
          <w:lang w:bidi="ar"/>
        </w:rPr>
        <w:t>方各自住所地作为</w:t>
      </w:r>
      <w:r>
        <w:rPr>
          <w:rFonts w:hint="eastAsia" w:ascii="宋体" w:hAnsi="宋体" w:eastAsia="宋体" w:cs="宋体"/>
          <w:color w:val="auto"/>
          <w:szCs w:val="21"/>
          <w:highlight w:val="none"/>
          <w:lang w:val="en-US" w:eastAsia="zh-CN" w:bidi="ar"/>
        </w:rPr>
        <w:t>三</w:t>
      </w:r>
      <w:r>
        <w:rPr>
          <w:rFonts w:hint="eastAsia" w:ascii="宋体" w:hAnsi="宋体" w:eastAsia="宋体" w:cs="宋体"/>
          <w:color w:val="auto"/>
          <w:szCs w:val="21"/>
          <w:highlight w:val="none"/>
          <w:lang w:bidi="ar"/>
        </w:rPr>
        <w:t>方履行《施工合同》及补充协议过程中相关文书的送达地址，只要任何一方将有关文书送达该地址，即视为已送达对方。</w:t>
      </w:r>
    </w:p>
    <w:p w14:paraId="626E707E">
      <w:pPr>
        <w:snapToGrid w:val="0"/>
        <w:spacing w:line="500" w:lineRule="exact"/>
        <w:ind w:firstLine="422" w:firstLineChars="200"/>
        <w:rPr>
          <w:rFonts w:hint="eastAsia" w:ascii="宋体" w:hAnsi="宋体" w:eastAsia="宋体" w:cs="宋体"/>
          <w:b/>
          <w:bCs/>
          <w:color w:val="auto"/>
          <w:szCs w:val="21"/>
          <w:highlight w:val="none"/>
          <w:lang w:bidi="ar"/>
        </w:rPr>
      </w:pPr>
      <w:r>
        <w:rPr>
          <w:rFonts w:hint="eastAsia" w:ascii="宋体" w:hAnsi="宋体" w:eastAsia="宋体" w:cs="宋体"/>
          <w:b/>
          <w:bCs/>
          <w:color w:val="auto"/>
          <w:szCs w:val="21"/>
          <w:highlight w:val="none"/>
          <w:lang w:bidi="ar"/>
        </w:rPr>
        <w:t>八、附则</w:t>
      </w:r>
    </w:p>
    <w:p w14:paraId="30F6353F">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1、本补充协议自甲、乙、丙三方法定代表人或委托代理人签字、三方加盖公章且乙方按规定交纳履约担保之日起即时生效，本补充协议一式玖份，甲、乙、丙三方各执贰份，具同等法律效力。</w:t>
      </w:r>
    </w:p>
    <w:p w14:paraId="4590630B">
      <w:pPr>
        <w:snapToGrid w:val="0"/>
        <w:spacing w:line="500" w:lineRule="exact"/>
        <w:ind w:firstLine="420" w:firstLineChars="20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2、本补充协议、《招标文件》及《答疑文件》、《建设工程委托监理合同监理人权利、责任部分摘抄》均作为该工程广东省《建设工程施工合同》2017版的附件，具有相同的法律效力。</w:t>
      </w:r>
    </w:p>
    <w:p w14:paraId="4419A3AC">
      <w:pPr>
        <w:snapToGrid w:val="0"/>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3、本补充协议未详之处，均按国家有关法律、法规执行。</w:t>
      </w:r>
    </w:p>
    <w:p w14:paraId="7C55E449">
      <w:pPr>
        <w:snapToGrid w:val="0"/>
        <w:spacing w:line="500" w:lineRule="exact"/>
        <w:rPr>
          <w:rFonts w:hint="eastAsia" w:ascii="宋体" w:hAnsi="宋体" w:eastAsia="宋体" w:cs="宋体"/>
          <w:color w:val="auto"/>
          <w:szCs w:val="21"/>
          <w:highlight w:val="none"/>
        </w:rPr>
      </w:pPr>
    </w:p>
    <w:bookmarkEnd w:id="2409"/>
    <w:p w14:paraId="0FAB7537">
      <w:pPr>
        <w:spacing w:line="480" w:lineRule="exact"/>
        <w:ind w:right="-98"/>
        <w:rPr>
          <w:rFonts w:hint="eastAsia" w:ascii="宋体" w:hAnsi="宋体" w:eastAsia="宋体" w:cs="宋体"/>
          <w:bCs/>
          <w:color w:val="auto"/>
          <w:szCs w:val="21"/>
          <w:highlight w:val="none"/>
          <w:lang w:bidi="ar"/>
        </w:rPr>
      </w:pPr>
      <w:r>
        <w:rPr>
          <w:rFonts w:hint="eastAsia" w:ascii="宋体" w:hAnsi="宋体" w:eastAsia="宋体" w:cs="宋体"/>
          <w:bCs/>
          <w:color w:val="auto"/>
          <w:szCs w:val="21"/>
          <w:highlight w:val="none"/>
          <w:lang w:bidi="ar"/>
        </w:rPr>
        <w:t>甲方（公章）：                   乙方（公章）：</w:t>
      </w:r>
    </w:p>
    <w:p w14:paraId="30548AA4">
      <w:pPr>
        <w:spacing w:line="480" w:lineRule="exact"/>
        <w:ind w:right="-98"/>
        <w:rPr>
          <w:rFonts w:hint="eastAsia" w:ascii="宋体" w:hAnsi="宋体" w:eastAsia="宋体" w:cs="宋体"/>
          <w:bCs/>
          <w:color w:val="auto"/>
          <w:szCs w:val="21"/>
          <w:highlight w:val="none"/>
          <w:lang w:bidi="ar"/>
        </w:rPr>
      </w:pPr>
      <w:r>
        <w:rPr>
          <w:rFonts w:hint="eastAsia" w:ascii="宋体" w:hAnsi="宋体" w:eastAsia="宋体" w:cs="宋体"/>
          <w:bCs/>
          <w:color w:val="auto"/>
          <w:szCs w:val="21"/>
          <w:highlight w:val="none"/>
          <w:lang w:bidi="ar"/>
        </w:rPr>
        <w:t>法定代表人（签字）：             法定代表人（签字）：</w:t>
      </w:r>
    </w:p>
    <w:p w14:paraId="2EA45BAC">
      <w:pPr>
        <w:spacing w:line="480" w:lineRule="exact"/>
        <w:ind w:right="-98"/>
        <w:rPr>
          <w:rFonts w:hint="eastAsia" w:ascii="宋体" w:hAnsi="宋体" w:eastAsia="宋体" w:cs="宋体"/>
          <w:bCs/>
          <w:color w:val="auto"/>
          <w:szCs w:val="21"/>
          <w:highlight w:val="none"/>
          <w:lang w:bidi="ar"/>
        </w:rPr>
      </w:pPr>
      <w:r>
        <w:rPr>
          <w:rFonts w:hint="eastAsia" w:ascii="宋体" w:hAnsi="宋体" w:eastAsia="宋体" w:cs="宋体"/>
          <w:bCs/>
          <w:color w:val="auto"/>
          <w:szCs w:val="21"/>
          <w:highlight w:val="none"/>
          <w:lang w:bidi="ar"/>
        </w:rPr>
        <w:t xml:space="preserve">或委托代理人（签字）：           或委托代理人（签字）：               </w:t>
      </w:r>
    </w:p>
    <w:p w14:paraId="4E108063">
      <w:pPr>
        <w:spacing w:line="480" w:lineRule="exact"/>
        <w:ind w:right="-98"/>
        <w:rPr>
          <w:rFonts w:hint="eastAsia" w:ascii="宋体" w:hAnsi="宋体" w:eastAsia="宋体" w:cs="宋体"/>
          <w:bCs/>
          <w:color w:val="auto"/>
          <w:szCs w:val="21"/>
          <w:highlight w:val="none"/>
          <w:lang w:bidi="ar"/>
        </w:rPr>
      </w:pPr>
      <w:r>
        <w:rPr>
          <w:rFonts w:hint="eastAsia" w:ascii="宋体" w:hAnsi="宋体" w:eastAsia="宋体" w:cs="宋体"/>
          <w:bCs/>
          <w:color w:val="auto"/>
          <w:szCs w:val="21"/>
          <w:highlight w:val="none"/>
          <w:lang w:bidi="ar"/>
        </w:rPr>
        <w:t>项目负责人（签字）：             项目负责人（签字）：</w:t>
      </w:r>
    </w:p>
    <w:p w14:paraId="54E57A0C">
      <w:pPr>
        <w:spacing w:line="480" w:lineRule="exact"/>
        <w:ind w:right="-98"/>
        <w:rPr>
          <w:rFonts w:hint="eastAsia" w:ascii="宋体" w:hAnsi="宋体" w:eastAsia="宋体" w:cs="宋体"/>
          <w:bCs/>
          <w:color w:val="auto"/>
          <w:szCs w:val="21"/>
          <w:highlight w:val="none"/>
          <w:lang w:bidi="ar"/>
        </w:rPr>
      </w:pPr>
    </w:p>
    <w:p w14:paraId="16AD4035">
      <w:pPr>
        <w:spacing w:line="480" w:lineRule="exact"/>
        <w:ind w:right="-98"/>
        <w:rPr>
          <w:rFonts w:hint="eastAsia" w:ascii="宋体" w:hAnsi="宋体" w:eastAsia="宋体" w:cs="宋体"/>
          <w:bCs/>
          <w:color w:val="auto"/>
          <w:szCs w:val="21"/>
          <w:highlight w:val="none"/>
          <w:lang w:bidi="ar"/>
        </w:rPr>
      </w:pPr>
      <w:r>
        <w:rPr>
          <w:rFonts w:hint="eastAsia" w:ascii="宋体" w:hAnsi="宋体" w:eastAsia="宋体" w:cs="宋体"/>
          <w:bCs/>
          <w:color w:val="auto"/>
          <w:szCs w:val="21"/>
          <w:highlight w:val="none"/>
          <w:lang w:bidi="ar"/>
        </w:rPr>
        <w:t xml:space="preserve">丙方（公章）：                   </w:t>
      </w:r>
    </w:p>
    <w:p w14:paraId="0217EE9B">
      <w:pPr>
        <w:spacing w:line="480" w:lineRule="exact"/>
        <w:ind w:right="-98"/>
        <w:rPr>
          <w:rFonts w:hint="eastAsia" w:ascii="宋体" w:hAnsi="宋体" w:eastAsia="宋体" w:cs="宋体"/>
          <w:bCs/>
          <w:color w:val="auto"/>
          <w:szCs w:val="21"/>
          <w:highlight w:val="none"/>
          <w:lang w:bidi="ar"/>
        </w:rPr>
      </w:pPr>
      <w:r>
        <w:rPr>
          <w:rFonts w:hint="eastAsia" w:ascii="宋体" w:hAnsi="宋体" w:eastAsia="宋体" w:cs="宋体"/>
          <w:bCs/>
          <w:color w:val="auto"/>
          <w:szCs w:val="21"/>
          <w:highlight w:val="none"/>
          <w:lang w:bidi="ar"/>
        </w:rPr>
        <w:t xml:space="preserve">法定代表人（签字）：           </w:t>
      </w:r>
    </w:p>
    <w:p w14:paraId="57759126">
      <w:pPr>
        <w:spacing w:line="480" w:lineRule="exact"/>
        <w:ind w:right="-98"/>
        <w:rPr>
          <w:rFonts w:hint="eastAsia" w:ascii="宋体" w:hAnsi="宋体" w:eastAsia="宋体" w:cs="宋体"/>
          <w:bCs/>
          <w:color w:val="auto"/>
          <w:szCs w:val="21"/>
          <w:highlight w:val="none"/>
          <w:lang w:bidi="ar"/>
        </w:rPr>
      </w:pPr>
      <w:r>
        <w:rPr>
          <w:rFonts w:hint="eastAsia" w:ascii="宋体" w:hAnsi="宋体" w:eastAsia="宋体" w:cs="宋体"/>
          <w:bCs/>
          <w:color w:val="auto"/>
          <w:szCs w:val="21"/>
          <w:highlight w:val="none"/>
          <w:lang w:bidi="ar"/>
        </w:rPr>
        <w:t xml:space="preserve">或委托代理人（签字）：             </w:t>
      </w:r>
    </w:p>
    <w:p w14:paraId="042C0B9C">
      <w:pPr>
        <w:spacing w:line="480" w:lineRule="exact"/>
        <w:ind w:right="-98"/>
        <w:rPr>
          <w:rFonts w:hint="eastAsia" w:ascii="宋体" w:hAnsi="宋体" w:eastAsia="宋体" w:cs="宋体"/>
          <w:bCs/>
          <w:color w:val="auto"/>
          <w:szCs w:val="21"/>
          <w:highlight w:val="none"/>
          <w:lang w:bidi="ar"/>
        </w:rPr>
      </w:pPr>
      <w:r>
        <w:rPr>
          <w:rFonts w:hint="eastAsia" w:ascii="宋体" w:hAnsi="宋体" w:eastAsia="宋体" w:cs="宋体"/>
          <w:bCs/>
          <w:color w:val="auto"/>
          <w:szCs w:val="21"/>
          <w:highlight w:val="none"/>
          <w:lang w:bidi="ar"/>
        </w:rPr>
        <w:t>项目负责人（签字）：</w:t>
      </w:r>
    </w:p>
    <w:p w14:paraId="0D1D08DA">
      <w:pPr>
        <w:spacing w:line="480" w:lineRule="exact"/>
        <w:ind w:right="-98"/>
        <w:rPr>
          <w:rFonts w:hint="eastAsia" w:ascii="宋体" w:hAnsi="宋体" w:eastAsia="宋体" w:cs="宋体"/>
          <w:color w:val="auto"/>
          <w:kern w:val="0"/>
          <w:szCs w:val="21"/>
          <w:highlight w:val="none"/>
          <w:lang w:bidi="ar"/>
        </w:rPr>
      </w:pPr>
    </w:p>
    <w:p w14:paraId="72B6023C">
      <w:pPr>
        <w:spacing w:line="480" w:lineRule="exact"/>
        <w:ind w:right="-98"/>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 xml:space="preserve">签订日期：     年  月  日      </w:t>
      </w:r>
    </w:p>
    <w:p w14:paraId="6A2BB8AB">
      <w:pPr>
        <w:spacing w:line="360" w:lineRule="auto"/>
        <w:ind w:firstLine="420" w:firstLineChars="200"/>
        <w:jc w:val="left"/>
        <w:rPr>
          <w:rFonts w:hint="eastAsia" w:ascii="宋体" w:hAnsi="宋体" w:eastAsia="宋体" w:cs="宋体"/>
          <w:color w:val="auto"/>
          <w:szCs w:val="21"/>
          <w:highlight w:val="none"/>
          <w:u w:val="single"/>
        </w:rPr>
      </w:pPr>
    </w:p>
    <w:p w14:paraId="13A0E541">
      <w:pPr>
        <w:spacing w:line="360" w:lineRule="auto"/>
        <w:ind w:firstLine="420" w:firstLineChars="200"/>
        <w:jc w:val="left"/>
        <w:rPr>
          <w:rFonts w:hint="eastAsia" w:ascii="宋体" w:hAnsi="宋体" w:eastAsia="宋体" w:cs="宋体"/>
          <w:color w:val="auto"/>
          <w:szCs w:val="21"/>
          <w:highlight w:val="none"/>
          <w:u w:val="single"/>
        </w:rPr>
      </w:pPr>
    </w:p>
    <w:p w14:paraId="544DC399">
      <w:pPr>
        <w:spacing w:line="360" w:lineRule="auto"/>
        <w:ind w:firstLine="420" w:firstLineChars="200"/>
        <w:jc w:val="left"/>
        <w:rPr>
          <w:rFonts w:hint="eastAsia" w:ascii="宋体" w:hAnsi="宋体" w:eastAsia="宋体" w:cs="宋体"/>
          <w:color w:val="auto"/>
          <w:szCs w:val="21"/>
          <w:highlight w:val="none"/>
          <w:u w:val="single"/>
        </w:rPr>
      </w:pPr>
    </w:p>
    <w:p w14:paraId="01358F9C">
      <w:pPr>
        <w:spacing w:line="360" w:lineRule="auto"/>
        <w:ind w:firstLine="420" w:firstLineChars="200"/>
        <w:jc w:val="left"/>
        <w:rPr>
          <w:rFonts w:hint="eastAsia" w:ascii="宋体" w:hAnsi="宋体" w:eastAsia="宋体" w:cs="宋体"/>
          <w:color w:val="auto"/>
          <w:szCs w:val="21"/>
          <w:highlight w:val="none"/>
          <w:u w:val="single"/>
        </w:rPr>
      </w:pPr>
    </w:p>
    <w:p w14:paraId="040B2BBF">
      <w:pPr>
        <w:spacing w:line="360" w:lineRule="auto"/>
        <w:ind w:firstLine="420" w:firstLineChars="200"/>
        <w:jc w:val="left"/>
        <w:rPr>
          <w:rFonts w:hint="eastAsia" w:ascii="宋体" w:hAnsi="宋体" w:eastAsia="宋体" w:cs="宋体"/>
          <w:color w:val="auto"/>
          <w:szCs w:val="21"/>
          <w:highlight w:val="none"/>
          <w:u w:val="single"/>
        </w:rPr>
      </w:pPr>
    </w:p>
    <w:p w14:paraId="2C5E56C5">
      <w:pPr>
        <w:spacing w:line="360" w:lineRule="auto"/>
        <w:ind w:firstLine="420" w:firstLineChars="200"/>
        <w:jc w:val="left"/>
        <w:rPr>
          <w:rFonts w:hint="eastAsia" w:ascii="宋体" w:hAnsi="宋体" w:eastAsia="宋体" w:cs="宋体"/>
          <w:color w:val="auto"/>
          <w:szCs w:val="21"/>
          <w:highlight w:val="none"/>
          <w:u w:val="single"/>
        </w:rPr>
      </w:pPr>
    </w:p>
    <w:p w14:paraId="69163057">
      <w:pPr>
        <w:spacing w:line="360" w:lineRule="auto"/>
        <w:ind w:firstLine="420" w:firstLineChars="200"/>
        <w:jc w:val="left"/>
        <w:rPr>
          <w:rFonts w:hint="eastAsia" w:ascii="宋体" w:hAnsi="宋体" w:eastAsia="宋体" w:cs="宋体"/>
          <w:color w:val="auto"/>
          <w:szCs w:val="21"/>
          <w:highlight w:val="none"/>
          <w:u w:val="single"/>
        </w:rPr>
      </w:pPr>
    </w:p>
    <w:p w14:paraId="41ECF639">
      <w:pPr>
        <w:spacing w:line="360" w:lineRule="auto"/>
        <w:ind w:firstLine="420" w:firstLineChars="200"/>
        <w:jc w:val="left"/>
        <w:rPr>
          <w:rFonts w:hint="eastAsia" w:ascii="宋体" w:hAnsi="宋体" w:eastAsia="宋体" w:cs="宋体"/>
          <w:color w:val="auto"/>
          <w:szCs w:val="21"/>
          <w:highlight w:val="none"/>
          <w:u w:val="single"/>
        </w:rPr>
      </w:pPr>
    </w:p>
    <w:p w14:paraId="04752DF4">
      <w:pPr>
        <w:spacing w:line="360" w:lineRule="auto"/>
        <w:ind w:firstLine="420" w:firstLineChars="200"/>
        <w:jc w:val="left"/>
        <w:rPr>
          <w:rFonts w:hint="eastAsia" w:ascii="宋体" w:hAnsi="宋体" w:eastAsia="宋体" w:cs="宋体"/>
          <w:color w:val="auto"/>
          <w:szCs w:val="21"/>
          <w:highlight w:val="none"/>
          <w:u w:val="single"/>
        </w:rPr>
      </w:pPr>
    </w:p>
    <w:p w14:paraId="6159FC6D">
      <w:pPr>
        <w:spacing w:line="360" w:lineRule="auto"/>
        <w:ind w:firstLine="420" w:firstLineChars="200"/>
        <w:jc w:val="left"/>
        <w:rPr>
          <w:rFonts w:hint="eastAsia" w:ascii="宋体" w:hAnsi="宋体" w:eastAsia="宋体" w:cs="宋体"/>
          <w:color w:val="auto"/>
          <w:szCs w:val="21"/>
          <w:highlight w:val="none"/>
          <w:u w:val="single"/>
        </w:rPr>
      </w:pPr>
    </w:p>
    <w:p w14:paraId="78C0BF75">
      <w:pPr>
        <w:spacing w:line="360" w:lineRule="auto"/>
        <w:ind w:firstLine="420" w:firstLineChars="200"/>
        <w:jc w:val="left"/>
        <w:rPr>
          <w:rFonts w:hint="eastAsia" w:ascii="宋体" w:hAnsi="宋体" w:eastAsia="宋体" w:cs="宋体"/>
          <w:color w:val="auto"/>
          <w:szCs w:val="21"/>
          <w:highlight w:val="none"/>
          <w:u w:val="single"/>
        </w:rPr>
      </w:pPr>
    </w:p>
    <w:p w14:paraId="5158CFE7">
      <w:pPr>
        <w:spacing w:line="360" w:lineRule="auto"/>
        <w:ind w:firstLine="420" w:firstLineChars="200"/>
        <w:jc w:val="left"/>
        <w:rPr>
          <w:rFonts w:hint="eastAsia" w:ascii="宋体" w:hAnsi="宋体" w:eastAsia="宋体" w:cs="宋体"/>
          <w:color w:val="auto"/>
          <w:szCs w:val="21"/>
          <w:highlight w:val="none"/>
          <w:u w:val="single"/>
        </w:rPr>
      </w:pPr>
    </w:p>
    <w:p w14:paraId="6827524F">
      <w:pPr>
        <w:spacing w:line="360" w:lineRule="auto"/>
        <w:ind w:firstLine="420" w:firstLineChars="200"/>
        <w:jc w:val="left"/>
        <w:rPr>
          <w:rFonts w:hint="eastAsia" w:ascii="宋体" w:hAnsi="宋体" w:eastAsia="宋体" w:cs="宋体"/>
          <w:color w:val="auto"/>
          <w:szCs w:val="21"/>
          <w:highlight w:val="none"/>
          <w:u w:val="single"/>
        </w:rPr>
      </w:pPr>
    </w:p>
    <w:p w14:paraId="66220B21">
      <w:pPr>
        <w:spacing w:line="360" w:lineRule="auto"/>
        <w:ind w:firstLine="420" w:firstLineChars="200"/>
        <w:jc w:val="left"/>
        <w:rPr>
          <w:rFonts w:hint="eastAsia" w:ascii="宋体" w:hAnsi="宋体" w:eastAsia="宋体" w:cs="宋体"/>
          <w:color w:val="auto"/>
          <w:szCs w:val="21"/>
          <w:highlight w:val="none"/>
          <w:u w:val="single"/>
        </w:rPr>
      </w:pPr>
    </w:p>
    <w:p w14:paraId="27412EC8">
      <w:pPr>
        <w:spacing w:line="360" w:lineRule="auto"/>
        <w:ind w:firstLine="420" w:firstLineChars="200"/>
        <w:jc w:val="left"/>
        <w:rPr>
          <w:rFonts w:hint="eastAsia" w:ascii="宋体" w:hAnsi="宋体" w:eastAsia="宋体" w:cs="宋体"/>
          <w:color w:val="auto"/>
          <w:szCs w:val="21"/>
          <w:highlight w:val="none"/>
          <w:u w:val="single"/>
        </w:rPr>
      </w:pPr>
    </w:p>
    <w:p w14:paraId="387A7BE4">
      <w:pPr>
        <w:spacing w:line="360" w:lineRule="auto"/>
        <w:ind w:firstLine="420" w:firstLineChars="200"/>
        <w:jc w:val="left"/>
        <w:rPr>
          <w:rFonts w:hint="eastAsia" w:ascii="宋体" w:hAnsi="宋体" w:eastAsia="宋体" w:cs="宋体"/>
          <w:color w:val="auto"/>
          <w:szCs w:val="21"/>
          <w:highlight w:val="none"/>
          <w:u w:val="single"/>
        </w:rPr>
      </w:pPr>
    </w:p>
    <w:p w14:paraId="76D96B53">
      <w:pPr>
        <w:spacing w:line="360" w:lineRule="auto"/>
        <w:ind w:firstLine="420" w:firstLineChars="200"/>
        <w:jc w:val="left"/>
        <w:rPr>
          <w:rFonts w:hint="eastAsia" w:ascii="宋体" w:hAnsi="宋体" w:eastAsia="宋体" w:cs="宋体"/>
          <w:color w:val="auto"/>
          <w:szCs w:val="21"/>
          <w:highlight w:val="none"/>
          <w:u w:val="single"/>
        </w:rPr>
      </w:pPr>
    </w:p>
    <w:p w14:paraId="7B2BBA21">
      <w:pPr>
        <w:spacing w:line="360" w:lineRule="auto"/>
        <w:ind w:firstLine="420" w:firstLineChars="200"/>
        <w:jc w:val="left"/>
        <w:rPr>
          <w:rFonts w:hint="eastAsia" w:ascii="宋体" w:hAnsi="宋体" w:eastAsia="宋体" w:cs="宋体"/>
          <w:color w:val="auto"/>
          <w:szCs w:val="21"/>
          <w:highlight w:val="none"/>
          <w:u w:val="single"/>
        </w:rPr>
      </w:pPr>
    </w:p>
    <w:p w14:paraId="5FB49508">
      <w:pPr>
        <w:spacing w:line="360" w:lineRule="auto"/>
        <w:ind w:firstLine="420" w:firstLineChars="200"/>
        <w:jc w:val="left"/>
        <w:rPr>
          <w:rFonts w:hint="eastAsia" w:ascii="宋体" w:hAnsi="宋体" w:eastAsia="宋体" w:cs="宋体"/>
          <w:color w:val="auto"/>
          <w:szCs w:val="21"/>
          <w:highlight w:val="none"/>
          <w:u w:val="single"/>
        </w:rPr>
      </w:pPr>
    </w:p>
    <w:p w14:paraId="47B3D730">
      <w:pPr>
        <w:spacing w:line="360" w:lineRule="auto"/>
        <w:ind w:firstLine="420" w:firstLineChars="200"/>
        <w:jc w:val="left"/>
        <w:rPr>
          <w:rFonts w:hint="eastAsia" w:ascii="宋体" w:hAnsi="宋体" w:eastAsia="宋体" w:cs="宋体"/>
          <w:color w:val="auto"/>
          <w:szCs w:val="21"/>
          <w:highlight w:val="none"/>
          <w:u w:val="single"/>
        </w:rPr>
      </w:pPr>
    </w:p>
    <w:p w14:paraId="5242C2C0">
      <w:pPr>
        <w:spacing w:line="360" w:lineRule="auto"/>
        <w:ind w:firstLine="420" w:firstLineChars="200"/>
        <w:jc w:val="left"/>
        <w:rPr>
          <w:rFonts w:hint="eastAsia" w:ascii="宋体" w:hAnsi="宋体" w:eastAsia="宋体" w:cs="宋体"/>
          <w:color w:val="auto"/>
          <w:szCs w:val="21"/>
          <w:highlight w:val="none"/>
          <w:u w:val="single"/>
        </w:rPr>
      </w:pPr>
    </w:p>
    <w:p w14:paraId="15868247">
      <w:pPr>
        <w:spacing w:line="360" w:lineRule="auto"/>
        <w:ind w:firstLine="420" w:firstLineChars="200"/>
        <w:jc w:val="left"/>
        <w:rPr>
          <w:rFonts w:hint="eastAsia" w:ascii="宋体" w:hAnsi="宋体" w:eastAsia="宋体" w:cs="宋体"/>
          <w:color w:val="auto"/>
          <w:szCs w:val="21"/>
          <w:highlight w:val="none"/>
          <w:u w:val="single"/>
        </w:rPr>
      </w:pPr>
    </w:p>
    <w:p w14:paraId="43B066F9">
      <w:pPr>
        <w:spacing w:line="360" w:lineRule="auto"/>
        <w:ind w:firstLine="420" w:firstLineChars="200"/>
        <w:jc w:val="left"/>
        <w:rPr>
          <w:rFonts w:hint="eastAsia" w:ascii="宋体" w:hAnsi="宋体" w:eastAsia="宋体" w:cs="宋体"/>
          <w:color w:val="auto"/>
          <w:szCs w:val="21"/>
          <w:highlight w:val="none"/>
          <w:u w:val="single"/>
        </w:rPr>
      </w:pPr>
    </w:p>
    <w:p w14:paraId="7CBE1DD9">
      <w:pPr>
        <w:spacing w:line="360" w:lineRule="auto"/>
        <w:ind w:firstLine="420" w:firstLineChars="200"/>
        <w:jc w:val="left"/>
        <w:rPr>
          <w:rFonts w:hint="eastAsia" w:ascii="宋体" w:hAnsi="宋体" w:eastAsia="宋体" w:cs="宋体"/>
          <w:color w:val="auto"/>
          <w:szCs w:val="21"/>
          <w:highlight w:val="none"/>
          <w:u w:val="single"/>
        </w:rPr>
      </w:pPr>
    </w:p>
    <w:p w14:paraId="4CCD243D">
      <w:pPr>
        <w:spacing w:line="360" w:lineRule="auto"/>
        <w:ind w:firstLine="420" w:firstLineChars="200"/>
        <w:jc w:val="left"/>
        <w:rPr>
          <w:rFonts w:hint="eastAsia" w:ascii="宋体" w:hAnsi="宋体" w:eastAsia="宋体" w:cs="宋体"/>
          <w:color w:val="auto"/>
          <w:szCs w:val="21"/>
          <w:highlight w:val="none"/>
          <w:u w:val="single"/>
        </w:rPr>
      </w:pPr>
    </w:p>
    <w:p w14:paraId="2E5E6A3A">
      <w:pPr>
        <w:spacing w:line="360" w:lineRule="auto"/>
        <w:ind w:firstLine="420" w:firstLineChars="200"/>
        <w:jc w:val="left"/>
        <w:rPr>
          <w:rFonts w:hint="eastAsia" w:ascii="宋体" w:hAnsi="宋体" w:eastAsia="宋体" w:cs="宋体"/>
          <w:color w:val="auto"/>
          <w:szCs w:val="21"/>
          <w:highlight w:val="none"/>
          <w:u w:val="single"/>
        </w:rPr>
      </w:pPr>
    </w:p>
    <w:p w14:paraId="4F452006">
      <w:pPr>
        <w:spacing w:line="360" w:lineRule="auto"/>
        <w:ind w:firstLine="420" w:firstLineChars="200"/>
        <w:jc w:val="left"/>
        <w:rPr>
          <w:rFonts w:hint="eastAsia" w:ascii="宋体" w:hAnsi="宋体" w:eastAsia="宋体" w:cs="宋体"/>
          <w:color w:val="auto"/>
          <w:szCs w:val="21"/>
          <w:highlight w:val="none"/>
          <w:u w:val="single"/>
        </w:rPr>
      </w:pPr>
    </w:p>
    <w:p w14:paraId="0E3FF475">
      <w:pPr>
        <w:spacing w:line="360" w:lineRule="auto"/>
        <w:ind w:firstLine="420" w:firstLineChars="200"/>
        <w:jc w:val="left"/>
        <w:rPr>
          <w:rFonts w:hint="eastAsia" w:ascii="宋体" w:hAnsi="宋体" w:eastAsia="宋体" w:cs="宋体"/>
          <w:color w:val="auto"/>
          <w:szCs w:val="21"/>
          <w:highlight w:val="none"/>
          <w:u w:val="single"/>
        </w:rPr>
      </w:pPr>
    </w:p>
    <w:p w14:paraId="68555F92">
      <w:pPr>
        <w:widowControl/>
        <w:snapToGrid w:val="0"/>
        <w:spacing w:line="460" w:lineRule="exact"/>
        <w:jc w:val="left"/>
        <w:rPr>
          <w:rFonts w:hint="eastAsia" w:ascii="宋体" w:hAnsi="宋体" w:cs="宋体"/>
          <w:b w:val="0"/>
          <w:bCs/>
          <w:color w:val="auto"/>
          <w:spacing w:val="20"/>
          <w:sz w:val="21"/>
          <w:szCs w:val="21"/>
          <w:highlight w:val="none"/>
          <w:lang w:eastAsia="zh-CN"/>
        </w:rPr>
      </w:pPr>
      <w:r>
        <w:rPr>
          <w:rFonts w:hint="eastAsia" w:ascii="Times New Roman" w:hAnsi="Times New Roman" w:cs="Times New Roman"/>
          <w:b w:val="0"/>
          <w:bCs/>
          <w:snapToGrid w:val="0"/>
          <w:color w:val="auto"/>
          <w:spacing w:val="60"/>
          <w:sz w:val="21"/>
          <w:szCs w:val="21"/>
          <w:highlight w:val="none"/>
          <w:lang w:eastAsia="zh-CN"/>
        </w:rPr>
        <w:t>附件：</w:t>
      </w:r>
    </w:p>
    <w:p w14:paraId="0AC1E831">
      <w:pPr>
        <w:widowControl/>
        <w:snapToGrid w:val="0"/>
        <w:spacing w:line="460" w:lineRule="exact"/>
        <w:jc w:val="left"/>
        <w:rPr>
          <w:rFonts w:hint="eastAsia" w:ascii="宋体" w:hAnsi="宋体" w:cs="宋体"/>
          <w:b w:val="0"/>
          <w:bCs/>
          <w:color w:val="auto"/>
          <w:spacing w:val="20"/>
          <w:sz w:val="21"/>
          <w:szCs w:val="21"/>
          <w:highlight w:val="none"/>
          <w:lang w:eastAsia="zh-CN"/>
        </w:rPr>
      </w:pPr>
    </w:p>
    <w:p w14:paraId="7D13FD34">
      <w:pPr>
        <w:widowControl/>
        <w:snapToGrid w:val="0"/>
        <w:spacing w:before="100" w:beforeAutospacing="1" w:after="100" w:afterAutospacing="1" w:line="460" w:lineRule="exact"/>
        <w:jc w:val="center"/>
        <w:rPr>
          <w:rFonts w:hint="eastAsia" w:ascii="宋体" w:hAnsi="宋体" w:eastAsia="宋体" w:cs="宋体"/>
          <w:b/>
          <w:bCs/>
          <w:snapToGrid w:val="0"/>
          <w:color w:val="auto"/>
          <w:spacing w:val="60"/>
          <w:kern w:val="0"/>
          <w:sz w:val="28"/>
          <w:szCs w:val="28"/>
          <w:highlight w:val="none"/>
          <w:lang w:val="en-US" w:eastAsia="zh-CN" w:bidi="ar-SA"/>
        </w:rPr>
      </w:pPr>
      <w:r>
        <w:rPr>
          <w:rFonts w:hint="eastAsia" w:ascii="宋体" w:hAnsi="宋体" w:eastAsia="宋体" w:cs="宋体"/>
          <w:b/>
          <w:bCs/>
          <w:snapToGrid w:val="0"/>
          <w:color w:val="auto"/>
          <w:spacing w:val="60"/>
          <w:kern w:val="0"/>
          <w:sz w:val="28"/>
          <w:szCs w:val="28"/>
          <w:highlight w:val="none"/>
          <w:lang w:val="en-US" w:eastAsia="zh-CN" w:bidi="ar-SA"/>
        </w:rPr>
        <w:t>《建设工程委托监理合同》</w:t>
      </w:r>
    </w:p>
    <w:p w14:paraId="1E470D7B">
      <w:pPr>
        <w:widowControl/>
        <w:snapToGrid w:val="0"/>
        <w:spacing w:before="100" w:beforeAutospacing="1" w:after="100" w:afterAutospacing="1" w:line="460" w:lineRule="exact"/>
        <w:jc w:val="center"/>
        <w:rPr>
          <w:rFonts w:hint="eastAsia" w:ascii="宋体" w:hAnsi="宋体" w:eastAsia="宋体" w:cs="宋体"/>
          <w:b/>
          <w:snapToGrid w:val="0"/>
          <w:color w:val="auto"/>
          <w:spacing w:val="60"/>
          <w:kern w:val="0"/>
          <w:sz w:val="21"/>
          <w:szCs w:val="21"/>
          <w:highlight w:val="none"/>
          <w:lang w:val="en-US" w:eastAsia="zh-CN" w:bidi="ar-SA"/>
        </w:rPr>
      </w:pPr>
      <w:r>
        <w:rPr>
          <w:rFonts w:hint="eastAsia" w:ascii="宋体" w:hAnsi="宋体" w:eastAsia="宋体" w:cs="宋体"/>
          <w:b/>
          <w:bCs/>
          <w:snapToGrid w:val="0"/>
          <w:color w:val="auto"/>
          <w:spacing w:val="60"/>
          <w:kern w:val="0"/>
          <w:sz w:val="28"/>
          <w:szCs w:val="28"/>
          <w:highlight w:val="none"/>
          <w:lang w:val="en-US" w:eastAsia="zh-CN" w:bidi="ar-SA"/>
        </w:rPr>
        <w:t>监理人权利、责任条款</w:t>
      </w:r>
    </w:p>
    <w:p w14:paraId="1B4885C0">
      <w:pPr>
        <w:widowControl/>
        <w:snapToGrid w:val="0"/>
        <w:spacing w:line="460" w:lineRule="exact"/>
        <w:jc w:val="left"/>
        <w:rPr>
          <w:rFonts w:hint="eastAsia" w:ascii="宋体" w:hAnsi="宋体" w:cs="宋体"/>
          <w:b/>
          <w:bCs/>
          <w:color w:val="auto"/>
          <w:spacing w:val="20"/>
          <w:sz w:val="21"/>
          <w:szCs w:val="21"/>
          <w:highlight w:val="none"/>
          <w:lang w:eastAsia="zh-CN"/>
        </w:rPr>
      </w:pPr>
    </w:p>
    <w:p w14:paraId="4EB3EFEC">
      <w:pPr>
        <w:widowControl/>
        <w:snapToGrid w:val="0"/>
        <w:spacing w:line="460" w:lineRule="exact"/>
        <w:ind w:firstLine="502" w:firstLineChars="200"/>
        <w:jc w:val="left"/>
        <w:rPr>
          <w:rFonts w:hint="eastAsia" w:ascii="宋体" w:hAnsi="宋体" w:cs="宋体"/>
          <w:b/>
          <w:bCs/>
          <w:color w:val="auto"/>
          <w:spacing w:val="20"/>
          <w:sz w:val="21"/>
          <w:szCs w:val="21"/>
          <w:highlight w:val="none"/>
          <w:lang w:val="en-US" w:eastAsia="zh-CN"/>
        </w:rPr>
      </w:pPr>
      <w:r>
        <w:rPr>
          <w:rFonts w:hint="eastAsia" w:ascii="宋体" w:hAnsi="宋体" w:cs="宋体"/>
          <w:b/>
          <w:bCs/>
          <w:color w:val="auto"/>
          <w:spacing w:val="20"/>
          <w:sz w:val="21"/>
          <w:szCs w:val="21"/>
          <w:highlight w:val="none"/>
          <w:lang w:val="en-US" w:eastAsia="zh-CN"/>
        </w:rPr>
        <w:t>......</w:t>
      </w:r>
    </w:p>
    <w:p w14:paraId="648AB7DC">
      <w:pPr>
        <w:widowControl/>
        <w:snapToGrid w:val="0"/>
        <w:spacing w:line="460" w:lineRule="exact"/>
        <w:jc w:val="left"/>
        <w:rPr>
          <w:rFonts w:hint="eastAsia" w:ascii="宋体" w:hAnsi="宋体" w:cs="宋体"/>
          <w:b/>
          <w:bCs/>
          <w:color w:val="auto"/>
          <w:spacing w:val="20"/>
          <w:sz w:val="21"/>
          <w:szCs w:val="21"/>
          <w:highlight w:val="none"/>
          <w:lang w:val="en-US" w:eastAsia="zh-CN"/>
        </w:rPr>
      </w:pPr>
    </w:p>
    <w:p w14:paraId="1578BE72">
      <w:pPr>
        <w:widowControl/>
        <w:snapToGrid w:val="0"/>
        <w:spacing w:line="460" w:lineRule="exact"/>
        <w:jc w:val="center"/>
        <w:rPr>
          <w:rFonts w:ascii="宋体" w:hAnsi="宋体" w:cs="宋体"/>
          <w:color w:val="auto"/>
          <w:spacing w:val="20"/>
          <w:sz w:val="21"/>
          <w:szCs w:val="21"/>
          <w:highlight w:val="none"/>
        </w:rPr>
      </w:pPr>
      <w:r>
        <w:rPr>
          <w:rFonts w:hint="eastAsia" w:ascii="宋体" w:hAnsi="宋体" w:cs="宋体"/>
          <w:b/>
          <w:bCs/>
          <w:color w:val="auto"/>
          <w:spacing w:val="20"/>
          <w:sz w:val="21"/>
          <w:szCs w:val="21"/>
          <w:highlight w:val="none"/>
        </w:rPr>
        <w:t>监理人权利</w:t>
      </w:r>
    </w:p>
    <w:p w14:paraId="21B329D4">
      <w:pPr>
        <w:widowControl/>
        <w:snapToGrid w:val="0"/>
        <w:spacing w:line="460" w:lineRule="exact"/>
        <w:ind w:firstLine="555"/>
        <w:jc w:val="left"/>
        <w:rPr>
          <w:rFonts w:hint="eastAsia" w:ascii="宋体" w:hAnsi="宋体" w:cs="宋体"/>
          <w:color w:val="auto"/>
          <w:spacing w:val="24"/>
          <w:sz w:val="21"/>
          <w:szCs w:val="21"/>
          <w:highlight w:val="none"/>
        </w:rPr>
      </w:pPr>
      <w:r>
        <w:rPr>
          <w:rFonts w:hint="eastAsia" w:ascii="宋体" w:hAnsi="宋体" w:cs="宋体"/>
          <w:b/>
          <w:bCs/>
          <w:color w:val="auto"/>
          <w:spacing w:val="24"/>
          <w:sz w:val="21"/>
          <w:szCs w:val="21"/>
          <w:highlight w:val="none"/>
        </w:rPr>
        <w:t>第十七条</w:t>
      </w:r>
      <w:r>
        <w:rPr>
          <w:rFonts w:hint="eastAsia" w:ascii="宋体" w:hAnsi="宋体" w:cs="宋体"/>
          <w:color w:val="auto"/>
          <w:spacing w:val="24"/>
          <w:sz w:val="21"/>
          <w:szCs w:val="21"/>
          <w:highlight w:val="none"/>
        </w:rPr>
        <w:t>　监理人在委托人委托的工程范围内，根据委托人的授权享有以下权利：</w:t>
      </w:r>
    </w:p>
    <w:p w14:paraId="447DF9A7">
      <w:pPr>
        <w:widowControl/>
        <w:snapToGrid w:val="0"/>
        <w:spacing w:line="460" w:lineRule="exact"/>
        <w:ind w:firstLine="555"/>
        <w:jc w:val="left"/>
        <w:rPr>
          <w:rFonts w:hint="eastAsia" w:ascii="宋体" w:hAnsi="宋体" w:cs="宋体"/>
          <w:color w:val="auto"/>
          <w:spacing w:val="24"/>
          <w:sz w:val="21"/>
          <w:szCs w:val="21"/>
          <w:highlight w:val="none"/>
        </w:rPr>
      </w:pPr>
      <w:r>
        <w:rPr>
          <w:rFonts w:hint="eastAsia" w:ascii="宋体" w:hAnsi="宋体" w:cs="宋体"/>
          <w:color w:val="auto"/>
          <w:spacing w:val="24"/>
          <w:sz w:val="21"/>
          <w:szCs w:val="21"/>
          <w:highlight w:val="none"/>
        </w:rPr>
        <w:t>（1）对工程建设有关事项包括工程规模、设计标准、规划设计、生产工艺设计和使用功能要求，向委托人的建议权；</w:t>
      </w:r>
    </w:p>
    <w:p w14:paraId="4F358974">
      <w:pPr>
        <w:widowControl/>
        <w:snapToGrid w:val="0"/>
        <w:spacing w:line="460" w:lineRule="exact"/>
        <w:ind w:firstLine="555"/>
        <w:jc w:val="left"/>
        <w:rPr>
          <w:rFonts w:hint="eastAsia" w:ascii="宋体" w:hAnsi="宋体" w:cs="宋体"/>
          <w:color w:val="auto"/>
          <w:spacing w:val="24"/>
          <w:sz w:val="21"/>
          <w:szCs w:val="21"/>
          <w:highlight w:val="none"/>
        </w:rPr>
      </w:pPr>
      <w:r>
        <w:rPr>
          <w:rFonts w:hint="eastAsia" w:ascii="宋体" w:hAnsi="宋体" w:cs="宋体"/>
          <w:color w:val="auto"/>
          <w:spacing w:val="24"/>
          <w:sz w:val="21"/>
          <w:szCs w:val="21"/>
          <w:highlight w:val="none"/>
        </w:rPr>
        <w:t>（2）对工程设计中的技术问题，按照安全和优化的原则，向设计人提出建议；如果拟提出的建议可能会提高工程造价，或延长工期，应当事先征得委托人的同意。当发现工程设计不符合国家颁布的建设工程质量标准或设计合同约定的质量标准时，监理人应当书面报告委托人并要求设计人更正；</w:t>
      </w:r>
    </w:p>
    <w:p w14:paraId="477E5731">
      <w:pPr>
        <w:widowControl/>
        <w:snapToGrid w:val="0"/>
        <w:spacing w:line="460" w:lineRule="exact"/>
        <w:ind w:firstLine="555"/>
        <w:jc w:val="left"/>
        <w:rPr>
          <w:rFonts w:hint="eastAsia" w:ascii="宋体" w:hAnsi="宋体" w:cs="宋体"/>
          <w:color w:val="auto"/>
          <w:spacing w:val="24"/>
          <w:sz w:val="21"/>
          <w:szCs w:val="21"/>
          <w:highlight w:val="none"/>
        </w:rPr>
      </w:pPr>
      <w:r>
        <w:rPr>
          <w:rFonts w:hint="eastAsia" w:ascii="宋体" w:hAnsi="宋体" w:cs="宋体"/>
          <w:color w:val="auto"/>
          <w:spacing w:val="24"/>
          <w:sz w:val="21"/>
          <w:szCs w:val="21"/>
          <w:highlight w:val="none"/>
        </w:rPr>
        <w:t>（3）审批工程施工组织设计和技术方案，按照保质量、保工期和降低成本的原则，向承包人提出建议，并向委托人提出书面报告；</w:t>
      </w:r>
    </w:p>
    <w:p w14:paraId="36C6C40B">
      <w:pPr>
        <w:widowControl/>
        <w:snapToGrid w:val="0"/>
        <w:spacing w:line="460" w:lineRule="exact"/>
        <w:ind w:firstLine="555"/>
        <w:jc w:val="left"/>
        <w:rPr>
          <w:rFonts w:hint="eastAsia" w:ascii="宋体" w:hAnsi="宋体" w:cs="宋体"/>
          <w:b w:val="0"/>
          <w:bCs w:val="0"/>
          <w:color w:val="auto"/>
          <w:spacing w:val="24"/>
          <w:sz w:val="21"/>
          <w:szCs w:val="21"/>
          <w:highlight w:val="none"/>
        </w:rPr>
      </w:pPr>
      <w:r>
        <w:rPr>
          <w:rFonts w:hint="eastAsia" w:ascii="宋体" w:hAnsi="宋体" w:cs="宋体"/>
          <w:b w:val="0"/>
          <w:bCs w:val="0"/>
          <w:color w:val="auto"/>
          <w:spacing w:val="24"/>
          <w:sz w:val="21"/>
          <w:szCs w:val="21"/>
          <w:highlight w:val="none"/>
        </w:rPr>
        <w:t>（4）征得委托人同意，监理人有权发布开工令、停工令、复工令，但必须事先向委托人报告并征得同意；</w:t>
      </w:r>
    </w:p>
    <w:p w14:paraId="15A78476">
      <w:pPr>
        <w:widowControl/>
        <w:snapToGrid w:val="0"/>
        <w:spacing w:line="460" w:lineRule="exact"/>
        <w:ind w:firstLine="555"/>
        <w:jc w:val="left"/>
        <w:rPr>
          <w:rFonts w:hint="eastAsia" w:ascii="宋体" w:hAnsi="宋体" w:cs="宋体"/>
          <w:color w:val="auto"/>
          <w:spacing w:val="24"/>
          <w:sz w:val="21"/>
          <w:szCs w:val="21"/>
          <w:highlight w:val="none"/>
        </w:rPr>
      </w:pPr>
      <w:r>
        <w:rPr>
          <w:rFonts w:hint="eastAsia" w:ascii="宋体" w:hAnsi="宋体" w:cs="宋体"/>
          <w:color w:val="auto"/>
          <w:spacing w:val="24"/>
          <w:sz w:val="21"/>
          <w:szCs w:val="21"/>
          <w:highlight w:val="none"/>
        </w:rPr>
        <w:t>（5）工程上使用的材料和施工质量的检验权。对于不符合设计要求和合同约定及国家质量标准的材料、构配件、设备，有权通知承包人停止使用；对于不符合规范和质量标准的工序、分部、分项工程和不安全施工作业，有权通知承包人停工整改、返工。承包人得到监理机构复工令后才能复工；</w:t>
      </w:r>
    </w:p>
    <w:p w14:paraId="51999E91">
      <w:pPr>
        <w:widowControl/>
        <w:snapToGrid w:val="0"/>
        <w:spacing w:line="460" w:lineRule="exact"/>
        <w:ind w:firstLine="555"/>
        <w:jc w:val="left"/>
        <w:rPr>
          <w:rFonts w:hint="eastAsia" w:ascii="宋体" w:hAnsi="宋体" w:cs="宋体"/>
          <w:color w:val="auto"/>
          <w:spacing w:val="24"/>
          <w:sz w:val="21"/>
          <w:szCs w:val="21"/>
          <w:highlight w:val="none"/>
        </w:rPr>
      </w:pPr>
      <w:r>
        <w:rPr>
          <w:rFonts w:hint="eastAsia" w:ascii="宋体" w:hAnsi="宋体" w:cs="宋体"/>
          <w:color w:val="auto"/>
          <w:spacing w:val="24"/>
          <w:sz w:val="21"/>
          <w:szCs w:val="21"/>
          <w:highlight w:val="none"/>
        </w:rPr>
        <w:t>（6）工程施工进度的检查、监督权；</w:t>
      </w:r>
    </w:p>
    <w:p w14:paraId="3780148A">
      <w:pPr>
        <w:widowControl/>
        <w:snapToGrid w:val="0"/>
        <w:spacing w:line="460" w:lineRule="exact"/>
        <w:ind w:firstLine="555"/>
        <w:jc w:val="left"/>
        <w:rPr>
          <w:rFonts w:hint="eastAsia" w:ascii="宋体" w:hAnsi="宋体" w:cs="宋体"/>
          <w:color w:val="auto"/>
          <w:spacing w:val="24"/>
          <w:sz w:val="21"/>
          <w:szCs w:val="21"/>
          <w:highlight w:val="none"/>
        </w:rPr>
      </w:pPr>
      <w:r>
        <w:rPr>
          <w:rFonts w:hint="eastAsia" w:ascii="宋体" w:hAnsi="宋体" w:cs="宋体"/>
          <w:color w:val="auto"/>
          <w:spacing w:val="24"/>
          <w:sz w:val="21"/>
          <w:szCs w:val="21"/>
          <w:highlight w:val="none"/>
        </w:rPr>
        <w:t>（7）在工程施工合同约定的工程价格范围内，工程款支付的审核和签认权，以及工程结算的复核权。若委托人另有认定和复核结果，则以委托人的认定和复核结果为准；</w:t>
      </w:r>
    </w:p>
    <w:p w14:paraId="7A84385E">
      <w:pPr>
        <w:widowControl/>
        <w:snapToGrid w:val="0"/>
        <w:spacing w:line="460" w:lineRule="exact"/>
        <w:ind w:firstLine="555"/>
        <w:jc w:val="left"/>
        <w:rPr>
          <w:rFonts w:hint="eastAsia" w:ascii="宋体" w:hAnsi="宋体" w:cs="宋体"/>
          <w:color w:val="auto"/>
          <w:spacing w:val="24"/>
          <w:sz w:val="21"/>
          <w:szCs w:val="21"/>
          <w:highlight w:val="none"/>
        </w:rPr>
      </w:pPr>
      <w:r>
        <w:rPr>
          <w:rFonts w:hint="eastAsia" w:ascii="宋体" w:hAnsi="宋体" w:cs="宋体"/>
          <w:color w:val="auto"/>
          <w:spacing w:val="24"/>
          <w:sz w:val="21"/>
          <w:szCs w:val="21"/>
          <w:highlight w:val="none"/>
        </w:rPr>
        <w:t>（8）在有影响结构安全或施工人员本身安全或对其他人构成危险的紧急情况下，监理人必须立即对有关施工单位，按照国家有关施工规范及当地法规作出适当的指示，并在2小时内将情况报告委托人。</w:t>
      </w:r>
    </w:p>
    <w:p w14:paraId="56D89542">
      <w:pPr>
        <w:widowControl/>
        <w:snapToGrid w:val="0"/>
        <w:spacing w:line="460" w:lineRule="exact"/>
        <w:ind w:firstLine="555"/>
        <w:jc w:val="left"/>
        <w:rPr>
          <w:rFonts w:hint="eastAsia" w:ascii="宋体" w:hAnsi="宋体" w:cs="宋体"/>
          <w:color w:val="auto"/>
          <w:spacing w:val="24"/>
          <w:sz w:val="21"/>
          <w:szCs w:val="21"/>
          <w:highlight w:val="none"/>
        </w:rPr>
      </w:pPr>
      <w:r>
        <w:rPr>
          <w:rFonts w:hint="eastAsia" w:ascii="宋体" w:hAnsi="宋体" w:cs="宋体"/>
          <w:b/>
          <w:color w:val="auto"/>
          <w:spacing w:val="24"/>
          <w:sz w:val="21"/>
          <w:szCs w:val="21"/>
          <w:highlight w:val="none"/>
        </w:rPr>
        <w:t>第十八条</w:t>
      </w:r>
      <w:r>
        <w:rPr>
          <w:rFonts w:hint="eastAsia" w:ascii="宋体" w:hAnsi="宋体" w:cs="宋体"/>
          <w:color w:val="auto"/>
          <w:spacing w:val="24"/>
          <w:sz w:val="21"/>
          <w:szCs w:val="21"/>
          <w:highlight w:val="none"/>
        </w:rPr>
        <w:t xml:space="preserve"> 所有由监理人发出的书面通知、指示、同意、批准、证书、决定及其它通讯联络，承包人应无条件执行。但只要与本工程的合同价格、款项支付、计量、计价、工期、工期延长、建筑使用功能、分包人和供应商的选择等的事项，须经过委托人的书面审核并书面批准，并有委托人代表(或其合法授权人)的签字且由委托人加盖公章，以及委托人正式发文确认方可成为建设工程施工合同双方之间有合同约束力的文件。</w:t>
      </w:r>
    </w:p>
    <w:p w14:paraId="6451DE49">
      <w:pPr>
        <w:widowControl/>
        <w:snapToGrid w:val="0"/>
        <w:spacing w:line="460" w:lineRule="exact"/>
        <w:ind w:firstLine="555"/>
        <w:jc w:val="left"/>
        <w:rPr>
          <w:rFonts w:hint="eastAsia" w:ascii="宋体" w:hAnsi="宋体" w:cs="宋体"/>
          <w:color w:val="auto"/>
          <w:spacing w:val="24"/>
          <w:sz w:val="21"/>
          <w:szCs w:val="21"/>
          <w:highlight w:val="none"/>
        </w:rPr>
      </w:pPr>
      <w:r>
        <w:rPr>
          <w:rFonts w:ascii="宋体" w:hAnsi="宋体" w:cs="宋体"/>
          <w:color w:val="auto"/>
          <w:spacing w:val="24"/>
          <w:sz w:val="21"/>
          <w:szCs w:val="21"/>
          <w:highlight w:val="none"/>
        </w:rPr>
        <w:t>委托人有权在监理人无法或没有能力完成某些职责时决定将本合同中约定的监理工程师的相应职责和权力委托给其他机构、咨询单位或个人。委托人在做这种决定后7日内，应将这种决定的细节以书面通知包括监理工程师、承包人在内的各有关方。如果发生这种委托，则本合同中约定的监理工程师的相应职责和权力应按照委托人的委托由委托人委托的其他机构、咨询单位或个人来行使，合同中相关条款也应做相应的解释。</w:t>
      </w:r>
    </w:p>
    <w:p w14:paraId="32F3F372">
      <w:pPr>
        <w:widowControl/>
        <w:snapToGrid w:val="0"/>
        <w:spacing w:line="460" w:lineRule="exact"/>
        <w:ind w:firstLine="555"/>
        <w:jc w:val="left"/>
        <w:rPr>
          <w:rFonts w:hint="eastAsia" w:ascii="宋体" w:hAnsi="宋体" w:cs="宋体"/>
          <w:color w:val="auto"/>
          <w:spacing w:val="24"/>
          <w:sz w:val="21"/>
          <w:szCs w:val="21"/>
          <w:highlight w:val="none"/>
        </w:rPr>
      </w:pPr>
      <w:r>
        <w:rPr>
          <w:rFonts w:ascii="宋体" w:hAnsi="宋体" w:cs="宋体"/>
          <w:color w:val="auto"/>
          <w:spacing w:val="24"/>
          <w:sz w:val="21"/>
          <w:szCs w:val="21"/>
          <w:highlight w:val="none"/>
        </w:rPr>
        <w:t>在必要时委托人可直接向承包人发出任何书面通知、指示、同意、批准、证书、决定及其它通讯联络，但应同时抄送一份副本给监理人。</w:t>
      </w:r>
    </w:p>
    <w:p w14:paraId="47E3C74B">
      <w:pPr>
        <w:widowControl/>
        <w:snapToGrid w:val="0"/>
        <w:spacing w:line="460" w:lineRule="exact"/>
        <w:ind w:firstLine="555"/>
        <w:jc w:val="left"/>
        <w:rPr>
          <w:rFonts w:hint="eastAsia" w:ascii="宋体" w:hAnsi="宋体" w:cs="宋体"/>
          <w:color w:val="auto"/>
          <w:spacing w:val="24"/>
          <w:sz w:val="21"/>
          <w:szCs w:val="21"/>
          <w:highlight w:val="none"/>
        </w:rPr>
      </w:pPr>
      <w:r>
        <w:rPr>
          <w:rFonts w:ascii="宋体" w:hAnsi="宋体" w:cs="宋体"/>
          <w:color w:val="auto"/>
          <w:spacing w:val="24"/>
          <w:sz w:val="21"/>
          <w:szCs w:val="21"/>
          <w:highlight w:val="none"/>
        </w:rPr>
        <w:t>当委托人和监理人各自的任何书面通知、指示、同意、批准、证书、决定及其它通讯联络之间出现冲突、矛盾或不一致时，委托人的决定应是最终的、权威的和具有合同约束力的。</w:t>
      </w:r>
    </w:p>
    <w:p w14:paraId="377CAFD4">
      <w:pPr>
        <w:widowControl/>
        <w:snapToGrid w:val="0"/>
        <w:spacing w:line="460" w:lineRule="exact"/>
        <w:ind w:firstLine="502" w:firstLineChars="200"/>
        <w:jc w:val="left"/>
        <w:rPr>
          <w:rFonts w:ascii="宋体" w:hAnsi="宋体" w:cs="宋体"/>
          <w:color w:val="auto"/>
          <w:spacing w:val="20"/>
          <w:sz w:val="21"/>
          <w:szCs w:val="21"/>
          <w:highlight w:val="none"/>
        </w:rPr>
      </w:pPr>
      <w:r>
        <w:rPr>
          <w:rFonts w:hint="eastAsia" w:ascii="宋体" w:hAnsi="宋体" w:cs="宋体"/>
          <w:b/>
          <w:bCs/>
          <w:color w:val="auto"/>
          <w:spacing w:val="20"/>
          <w:sz w:val="21"/>
          <w:szCs w:val="21"/>
          <w:highlight w:val="none"/>
        </w:rPr>
        <w:t>第十九条</w:t>
      </w:r>
      <w:r>
        <w:rPr>
          <w:rFonts w:hint="eastAsia" w:ascii="宋体" w:hAnsi="宋体" w:cs="宋体"/>
          <w:color w:val="auto"/>
          <w:spacing w:val="20"/>
          <w:sz w:val="21"/>
          <w:szCs w:val="21"/>
          <w:highlight w:val="none"/>
        </w:rPr>
        <w:t>　监理人在委托人授权下，可对任何承包人合同规定的义务提出变更，但不得对工程费用或质量、或进度有较大影响，而且这种变更须经委托人事先批准。在紧急情况下未能事先报委托人批准时，监理人所做的变更也应尽快通知委托人。在监理过程中如发现工程承包人人员工作不力，监理机构可要求承包人调换有关人员。</w:t>
      </w:r>
    </w:p>
    <w:p w14:paraId="6CA598B3">
      <w:pPr>
        <w:widowControl/>
        <w:snapToGrid w:val="0"/>
        <w:spacing w:line="460" w:lineRule="exact"/>
        <w:jc w:val="left"/>
        <w:rPr>
          <w:rFonts w:ascii="宋体" w:hAnsi="宋体" w:cs="宋体"/>
          <w:color w:val="auto"/>
          <w:spacing w:val="20"/>
          <w:sz w:val="21"/>
          <w:szCs w:val="21"/>
          <w:highlight w:val="none"/>
        </w:rPr>
      </w:pPr>
      <w:r>
        <w:rPr>
          <w:rFonts w:hint="eastAsia" w:ascii="宋体" w:hAnsi="宋体" w:cs="宋体"/>
          <w:color w:val="auto"/>
          <w:spacing w:val="20"/>
          <w:sz w:val="21"/>
          <w:szCs w:val="21"/>
          <w:highlight w:val="none"/>
        </w:rPr>
        <w:t>　　</w:t>
      </w:r>
      <w:r>
        <w:rPr>
          <w:rFonts w:hint="eastAsia" w:ascii="宋体" w:hAnsi="宋体" w:cs="宋体"/>
          <w:b/>
          <w:bCs/>
          <w:color w:val="auto"/>
          <w:spacing w:val="20"/>
          <w:sz w:val="21"/>
          <w:szCs w:val="21"/>
          <w:highlight w:val="none"/>
        </w:rPr>
        <w:t>第二十条</w:t>
      </w:r>
      <w:r>
        <w:rPr>
          <w:rFonts w:hint="eastAsia" w:ascii="宋体" w:hAnsi="宋体" w:cs="宋体"/>
          <w:color w:val="auto"/>
          <w:spacing w:val="20"/>
          <w:sz w:val="21"/>
          <w:szCs w:val="21"/>
          <w:highlight w:val="none"/>
        </w:rPr>
        <w:t>　在委托的工程范围内，委托人或承包人对对方的任何意见和要求（不包括涉及调整合同价款、工期的要求），应先向监理机构提出，由监理机构研究处置意见，再同双方协商确定。当委托人和承包人发生争议时，监理机构应根据自己的职能，以独立的身份判断，公正地进行调解。当双方的争议由政府建设行政主管部门调解或仲裁机关仲裁时，应当提供作证的事实材料。</w:t>
      </w:r>
    </w:p>
    <w:p w14:paraId="665AF43A">
      <w:pPr>
        <w:widowControl/>
        <w:snapToGrid w:val="0"/>
        <w:spacing w:line="460" w:lineRule="exact"/>
        <w:jc w:val="left"/>
        <w:rPr>
          <w:rFonts w:ascii="宋体" w:hAnsi="宋体" w:cs="宋体"/>
          <w:b/>
          <w:bCs/>
          <w:color w:val="auto"/>
          <w:spacing w:val="20"/>
          <w:sz w:val="21"/>
          <w:szCs w:val="21"/>
          <w:highlight w:val="none"/>
        </w:rPr>
      </w:pPr>
    </w:p>
    <w:p w14:paraId="4D01F980">
      <w:pPr>
        <w:widowControl/>
        <w:spacing w:line="460" w:lineRule="exact"/>
        <w:jc w:val="center"/>
        <w:rPr>
          <w:rFonts w:ascii="宋体" w:hAnsi="宋体" w:cs="宋体"/>
          <w:color w:val="auto"/>
          <w:spacing w:val="20"/>
          <w:sz w:val="21"/>
          <w:szCs w:val="21"/>
          <w:highlight w:val="none"/>
        </w:rPr>
      </w:pPr>
      <w:r>
        <w:rPr>
          <w:rFonts w:hint="eastAsia" w:ascii="宋体" w:hAnsi="宋体" w:cs="宋体"/>
          <w:b/>
          <w:bCs/>
          <w:color w:val="auto"/>
          <w:spacing w:val="20"/>
          <w:sz w:val="21"/>
          <w:szCs w:val="21"/>
          <w:highlight w:val="none"/>
        </w:rPr>
        <w:t>监理人责任</w:t>
      </w:r>
    </w:p>
    <w:p w14:paraId="6299CCBF">
      <w:pPr>
        <w:keepNext w:val="0"/>
        <w:keepLines w:val="0"/>
        <w:pageBreakBefore w:val="0"/>
        <w:widowControl/>
        <w:kinsoku/>
        <w:wordWrap/>
        <w:overflowPunct/>
        <w:topLinePunct w:val="0"/>
        <w:autoSpaceDE/>
        <w:autoSpaceDN/>
        <w:bidi w:val="0"/>
        <w:adjustRightInd/>
        <w:snapToGrid w:val="0"/>
        <w:spacing w:beforeAutospacing="0" w:afterAutospacing="0" w:line="360" w:lineRule="auto"/>
        <w:textAlignment w:val="auto"/>
        <w:outlineLvl w:val="9"/>
        <w:rPr>
          <w:rFonts w:ascii="宋体" w:hAnsi="Times New Roman" w:cs="宋体"/>
          <w:color w:val="auto"/>
          <w:spacing w:val="20"/>
          <w:sz w:val="21"/>
          <w:szCs w:val="21"/>
        </w:rPr>
      </w:pPr>
      <w:r>
        <w:rPr>
          <w:rFonts w:hint="eastAsia" w:ascii="宋体" w:hAnsi="宋体" w:cs="宋体"/>
          <w:color w:val="auto"/>
          <w:spacing w:val="20"/>
          <w:sz w:val="21"/>
          <w:szCs w:val="21"/>
          <w:highlight w:val="none"/>
        </w:rPr>
        <w:t>　　</w:t>
      </w:r>
      <w:r>
        <w:rPr>
          <w:rFonts w:hint="eastAsia" w:ascii="宋体" w:hAnsi="宋体" w:cs="宋体"/>
          <w:b/>
          <w:bCs/>
          <w:color w:val="auto"/>
          <w:spacing w:val="20"/>
          <w:sz w:val="21"/>
          <w:szCs w:val="21"/>
        </w:rPr>
        <w:t>第二十五条</w:t>
      </w:r>
      <w:r>
        <w:rPr>
          <w:rFonts w:hint="eastAsia" w:ascii="宋体" w:hAnsi="宋体" w:cs="宋体"/>
          <w:color w:val="auto"/>
          <w:spacing w:val="20"/>
          <w:sz w:val="21"/>
          <w:szCs w:val="21"/>
        </w:rPr>
        <w:t>　监理人的责任期即委托监理合同有效期。在监理过程中，如果因工程建设进度的推迟或延误而超过书面约定的日期，双方应进一步约定相应延长的合同期。</w:t>
      </w:r>
    </w:p>
    <w:p w14:paraId="600DC894">
      <w:pPr>
        <w:keepNext w:val="0"/>
        <w:keepLines w:val="0"/>
        <w:pageBreakBefore w:val="0"/>
        <w:widowControl/>
        <w:kinsoku/>
        <w:wordWrap/>
        <w:overflowPunct/>
        <w:topLinePunct w:val="0"/>
        <w:autoSpaceDE/>
        <w:autoSpaceDN/>
        <w:bidi w:val="0"/>
        <w:adjustRightInd/>
        <w:snapToGrid w:val="0"/>
        <w:spacing w:beforeAutospacing="0" w:afterAutospacing="0" w:line="360" w:lineRule="auto"/>
        <w:textAlignment w:val="auto"/>
        <w:outlineLvl w:val="9"/>
        <w:rPr>
          <w:rFonts w:ascii="宋体" w:hAnsi="Times New Roman" w:cs="宋体"/>
          <w:color w:val="auto"/>
          <w:spacing w:val="20"/>
          <w:sz w:val="21"/>
          <w:szCs w:val="21"/>
        </w:rPr>
      </w:pPr>
      <w:r>
        <w:rPr>
          <w:rFonts w:hint="eastAsia" w:ascii="宋体" w:hAnsi="宋体" w:cs="宋体"/>
          <w:color w:val="auto"/>
          <w:spacing w:val="20"/>
          <w:sz w:val="21"/>
          <w:szCs w:val="21"/>
        </w:rPr>
        <w:t>　　</w:t>
      </w:r>
      <w:r>
        <w:rPr>
          <w:rFonts w:hint="eastAsia" w:ascii="宋体" w:hAnsi="宋体" w:cs="宋体"/>
          <w:b/>
          <w:bCs/>
          <w:color w:val="auto"/>
          <w:spacing w:val="20"/>
          <w:sz w:val="21"/>
          <w:szCs w:val="21"/>
        </w:rPr>
        <w:t>第二十六条</w:t>
      </w:r>
      <w:r>
        <w:rPr>
          <w:rFonts w:hint="eastAsia" w:ascii="宋体" w:hAnsi="宋体" w:cs="宋体"/>
          <w:color w:val="auto"/>
          <w:spacing w:val="20"/>
          <w:sz w:val="21"/>
          <w:szCs w:val="21"/>
        </w:rPr>
        <w:t>　监理人在责任期内，应当履行约定的义务，如果因监理人过失而造成了委托人的经济损失，应当向委托人赔偿。累计赔偿总额（除本合同第二十四条规定以外）不应超过监理报酬总额（除去税金）。监理人在责任期内，应当认真执行施工合同中要求施工单位每</w:t>
      </w:r>
      <w:r>
        <w:rPr>
          <w:rFonts w:ascii="宋体" w:hAnsi="宋体" w:cs="宋体"/>
          <w:color w:val="auto"/>
          <w:spacing w:val="20"/>
          <w:sz w:val="21"/>
          <w:szCs w:val="21"/>
        </w:rPr>
        <w:t>15</w:t>
      </w:r>
      <w:r>
        <w:rPr>
          <w:rFonts w:hint="eastAsia" w:ascii="宋体" w:hAnsi="宋体" w:cs="宋体"/>
          <w:color w:val="auto"/>
          <w:spacing w:val="20"/>
          <w:sz w:val="21"/>
          <w:szCs w:val="21"/>
        </w:rPr>
        <w:t>天报送形象进度计划的事项，认真核对施工单位工程进度是否滞后，分析滞后的原因及明确滞后的时间，针对工程滞后原因提出相应措施并及时报送委托人。</w:t>
      </w:r>
    </w:p>
    <w:p w14:paraId="6EB40912">
      <w:pPr>
        <w:keepNext w:val="0"/>
        <w:keepLines w:val="0"/>
        <w:pageBreakBefore w:val="0"/>
        <w:widowControl/>
        <w:kinsoku/>
        <w:wordWrap/>
        <w:overflowPunct/>
        <w:topLinePunct w:val="0"/>
        <w:autoSpaceDE/>
        <w:autoSpaceDN/>
        <w:bidi w:val="0"/>
        <w:adjustRightInd/>
        <w:snapToGrid w:val="0"/>
        <w:spacing w:beforeAutospacing="0" w:afterAutospacing="0" w:line="360" w:lineRule="auto"/>
        <w:ind w:firstLine="480"/>
        <w:textAlignment w:val="auto"/>
        <w:outlineLvl w:val="9"/>
        <w:rPr>
          <w:rFonts w:ascii="宋体" w:hAnsi="Times New Roman" w:cs="Times New Roman"/>
          <w:color w:val="auto"/>
          <w:sz w:val="21"/>
          <w:szCs w:val="21"/>
        </w:rPr>
      </w:pPr>
      <w:r>
        <w:rPr>
          <w:rFonts w:hint="eastAsia" w:ascii="宋体" w:hAnsi="宋体" w:cs="宋体"/>
          <w:b/>
          <w:bCs/>
          <w:color w:val="auto"/>
          <w:spacing w:val="20"/>
          <w:sz w:val="21"/>
          <w:szCs w:val="21"/>
        </w:rPr>
        <w:t>第二十七条</w:t>
      </w:r>
      <w:r>
        <w:rPr>
          <w:rFonts w:hint="eastAsia" w:ascii="宋体" w:hAnsi="宋体" w:cs="宋体"/>
          <w:color w:val="auto"/>
          <w:spacing w:val="20"/>
          <w:sz w:val="21"/>
          <w:szCs w:val="21"/>
        </w:rPr>
        <w:t>　监理人对承包人违反合同规定的质量要求和完工（交图、交货）时限，不承担责任；但必须尽最大能力采取各种措施督促承包人按照招投标文件和施工合同的进度要求完成工作。如经委托方判定监理人对施工方监管不力或不作为而造成拖延工期等的情况发生时，则扣罚监理人合同价款的</w:t>
      </w:r>
      <w:r>
        <w:rPr>
          <w:rFonts w:ascii="宋体" w:hAnsi="宋体" w:cs="宋体"/>
          <w:color w:val="auto"/>
          <w:spacing w:val="20"/>
          <w:sz w:val="21"/>
          <w:szCs w:val="21"/>
        </w:rPr>
        <w:t>30%</w:t>
      </w:r>
      <w:r>
        <w:rPr>
          <w:rFonts w:hint="eastAsia" w:ascii="宋体" w:hAnsi="宋体" w:cs="宋体"/>
          <w:color w:val="auto"/>
          <w:spacing w:val="20"/>
          <w:sz w:val="21"/>
          <w:szCs w:val="21"/>
        </w:rPr>
        <w:t>以补偿委托人的损失，同时</w:t>
      </w:r>
      <w:r>
        <w:rPr>
          <w:rFonts w:hint="eastAsia" w:ascii="宋体" w:hAnsi="宋体" w:cs="Times New Roman"/>
          <w:color w:val="auto"/>
          <w:sz w:val="21"/>
          <w:szCs w:val="21"/>
        </w:rPr>
        <w:t>委托人有权单方面解除合同。</w:t>
      </w:r>
      <w:r>
        <w:rPr>
          <w:rFonts w:hint="eastAsia" w:ascii="宋体" w:hAnsi="宋体" w:cs="宋体"/>
          <w:color w:val="auto"/>
          <w:spacing w:val="20"/>
          <w:sz w:val="21"/>
          <w:szCs w:val="21"/>
        </w:rPr>
        <w:t>因不可抗力导致委托监理合同不能全部或部分履行，监理人不承担责任。但对违反第五条规定引起的与之有关的事宜，向委托人承担赔偿责任。</w:t>
      </w:r>
    </w:p>
    <w:p w14:paraId="25A0A178">
      <w:pPr>
        <w:keepNext w:val="0"/>
        <w:keepLines w:val="0"/>
        <w:pageBreakBefore w:val="0"/>
        <w:widowControl/>
        <w:kinsoku/>
        <w:wordWrap/>
        <w:overflowPunct/>
        <w:topLinePunct w:val="0"/>
        <w:autoSpaceDE/>
        <w:autoSpaceDN/>
        <w:bidi w:val="0"/>
        <w:adjustRightInd/>
        <w:snapToGrid w:val="0"/>
        <w:spacing w:beforeAutospacing="0" w:afterAutospacing="0" w:line="360" w:lineRule="auto"/>
        <w:ind w:firstLine="480"/>
        <w:textAlignment w:val="auto"/>
        <w:outlineLvl w:val="9"/>
        <w:rPr>
          <w:rFonts w:ascii="宋体" w:hAnsi="Times New Roman" w:cs="宋体"/>
          <w:color w:val="auto"/>
          <w:spacing w:val="20"/>
          <w:sz w:val="21"/>
          <w:szCs w:val="21"/>
        </w:rPr>
      </w:pPr>
      <w:r>
        <w:rPr>
          <w:rFonts w:hint="eastAsia" w:ascii="宋体" w:hAnsi="宋体" w:cs="宋体"/>
          <w:b/>
          <w:bCs/>
          <w:color w:val="auto"/>
          <w:spacing w:val="20"/>
          <w:sz w:val="21"/>
          <w:szCs w:val="21"/>
        </w:rPr>
        <w:t>第二十八条</w:t>
      </w:r>
      <w:r>
        <w:rPr>
          <w:rFonts w:hint="eastAsia" w:ascii="宋体" w:hAnsi="宋体" w:cs="宋体"/>
          <w:color w:val="auto"/>
          <w:spacing w:val="20"/>
          <w:sz w:val="21"/>
          <w:szCs w:val="21"/>
        </w:rPr>
        <w:t>　监理人向委托人提出赔偿要求不能成立</w:t>
      </w:r>
      <w:r>
        <w:rPr>
          <w:rFonts w:hint="eastAsia" w:ascii="宋体" w:hAnsi="宋体" w:cs="宋体"/>
          <w:color w:val="auto"/>
          <w:spacing w:val="24"/>
          <w:sz w:val="21"/>
          <w:szCs w:val="21"/>
        </w:rPr>
        <w:t>时，监理人应当补偿由于该索赔所导致委托人的各种费用支</w:t>
      </w:r>
      <w:r>
        <w:rPr>
          <w:rFonts w:hint="eastAsia" w:ascii="宋体" w:hAnsi="宋体" w:cs="宋体"/>
          <w:color w:val="auto"/>
          <w:spacing w:val="20"/>
          <w:sz w:val="21"/>
          <w:szCs w:val="21"/>
        </w:rPr>
        <w:t>出。</w:t>
      </w:r>
    </w:p>
    <w:p w14:paraId="4E35C00A">
      <w:pPr>
        <w:widowControl/>
        <w:snapToGrid w:val="0"/>
        <w:spacing w:line="460" w:lineRule="exact"/>
        <w:jc w:val="left"/>
        <w:rPr>
          <w:rFonts w:ascii="宋体" w:hAnsi="宋体" w:cs="宋体"/>
          <w:b/>
          <w:bCs/>
          <w:color w:val="auto"/>
          <w:spacing w:val="20"/>
          <w:sz w:val="21"/>
          <w:szCs w:val="21"/>
          <w:highlight w:val="none"/>
        </w:rPr>
      </w:pPr>
    </w:p>
    <w:p w14:paraId="6C98D6A2">
      <w:pPr>
        <w:widowControl/>
        <w:snapToGrid w:val="0"/>
        <w:spacing w:line="460" w:lineRule="exact"/>
        <w:ind w:firstLine="480"/>
        <w:jc w:val="left"/>
        <w:rPr>
          <w:rFonts w:hint="eastAsia" w:ascii="宋体" w:hAnsi="宋体" w:cs="宋体"/>
          <w:b/>
          <w:bCs/>
          <w:color w:val="auto"/>
          <w:spacing w:val="20"/>
          <w:sz w:val="21"/>
          <w:szCs w:val="21"/>
          <w:highlight w:val="none"/>
          <w:lang w:val="en-US" w:eastAsia="zh-CN"/>
        </w:rPr>
      </w:pPr>
      <w:r>
        <w:rPr>
          <w:rFonts w:hint="eastAsia" w:ascii="宋体" w:hAnsi="宋体" w:cs="宋体"/>
          <w:b/>
          <w:bCs/>
          <w:color w:val="auto"/>
          <w:spacing w:val="20"/>
          <w:sz w:val="21"/>
          <w:szCs w:val="21"/>
          <w:highlight w:val="none"/>
          <w:lang w:val="en-US" w:eastAsia="zh-CN"/>
        </w:rPr>
        <w:t>......</w:t>
      </w:r>
    </w:p>
    <w:p w14:paraId="71A51676">
      <w:pPr>
        <w:widowControl/>
        <w:snapToGrid w:val="0"/>
        <w:spacing w:line="460" w:lineRule="exact"/>
        <w:ind w:firstLine="480"/>
        <w:jc w:val="left"/>
        <w:rPr>
          <w:rFonts w:hint="eastAsia" w:ascii="宋体" w:hAnsi="宋体" w:cs="宋体"/>
          <w:b/>
          <w:bCs/>
          <w:color w:val="auto"/>
          <w:spacing w:val="20"/>
          <w:sz w:val="21"/>
          <w:szCs w:val="21"/>
          <w:highlight w:val="none"/>
          <w:lang w:val="en-US" w:eastAsia="zh-CN"/>
        </w:rPr>
      </w:pPr>
    </w:p>
    <w:p w14:paraId="1F056F4A">
      <w:pPr>
        <w:widowControl/>
        <w:snapToGrid w:val="0"/>
        <w:spacing w:line="460" w:lineRule="exact"/>
        <w:jc w:val="center"/>
        <w:rPr>
          <w:rFonts w:ascii="宋体" w:hAnsi="宋体" w:cs="宋体"/>
          <w:b/>
          <w:bCs/>
          <w:color w:val="auto"/>
          <w:spacing w:val="20"/>
          <w:sz w:val="21"/>
          <w:szCs w:val="21"/>
          <w:highlight w:val="none"/>
        </w:rPr>
      </w:pPr>
      <w:r>
        <w:rPr>
          <w:rFonts w:hint="eastAsia" w:ascii="宋体" w:hAnsi="宋体" w:cs="宋体"/>
          <w:b/>
          <w:bCs/>
          <w:color w:val="auto"/>
          <w:spacing w:val="20"/>
          <w:sz w:val="21"/>
          <w:szCs w:val="21"/>
          <w:highlight w:val="none"/>
        </w:rPr>
        <w:t>第三部分</w:t>
      </w:r>
      <w:r>
        <w:rPr>
          <w:rFonts w:ascii="宋体" w:hAnsi="宋体" w:cs="宋体"/>
          <w:b/>
          <w:bCs/>
          <w:color w:val="auto"/>
          <w:spacing w:val="20"/>
          <w:sz w:val="21"/>
          <w:szCs w:val="21"/>
          <w:highlight w:val="none"/>
        </w:rPr>
        <w:t xml:space="preserve"> </w:t>
      </w:r>
      <w:r>
        <w:rPr>
          <w:rFonts w:hint="eastAsia" w:ascii="宋体" w:hAnsi="宋体" w:cs="宋体"/>
          <w:b/>
          <w:bCs/>
          <w:color w:val="auto"/>
          <w:spacing w:val="20"/>
          <w:sz w:val="21"/>
          <w:szCs w:val="21"/>
          <w:highlight w:val="none"/>
        </w:rPr>
        <w:t>专用条件</w:t>
      </w:r>
    </w:p>
    <w:p w14:paraId="1546E5B4">
      <w:pPr>
        <w:widowControl/>
        <w:snapToGrid w:val="0"/>
        <w:spacing w:line="460" w:lineRule="exact"/>
        <w:ind w:firstLine="492" w:firstLineChars="196"/>
        <w:jc w:val="left"/>
        <w:rPr>
          <w:rFonts w:hint="eastAsia" w:ascii="宋体" w:hAnsi="宋体" w:cs="宋体"/>
          <w:b/>
          <w:bCs/>
          <w:color w:val="auto"/>
          <w:spacing w:val="20"/>
          <w:sz w:val="21"/>
          <w:szCs w:val="21"/>
          <w:highlight w:val="none"/>
          <w:lang w:val="en-US" w:eastAsia="zh-CN"/>
        </w:rPr>
      </w:pPr>
      <w:r>
        <w:rPr>
          <w:rFonts w:hint="eastAsia" w:ascii="宋体" w:hAnsi="宋体" w:cs="宋体"/>
          <w:b/>
          <w:bCs/>
          <w:color w:val="auto"/>
          <w:spacing w:val="20"/>
          <w:sz w:val="21"/>
          <w:szCs w:val="21"/>
          <w:highlight w:val="none"/>
          <w:lang w:val="en-US" w:eastAsia="zh-CN"/>
        </w:rPr>
        <w:t>......</w:t>
      </w:r>
    </w:p>
    <w:p w14:paraId="58F89466">
      <w:pPr>
        <w:widowControl/>
        <w:snapToGrid w:val="0"/>
        <w:spacing w:line="460" w:lineRule="exact"/>
        <w:ind w:firstLine="492" w:firstLineChars="196"/>
        <w:jc w:val="left"/>
        <w:rPr>
          <w:rFonts w:ascii="宋体" w:hAnsi="宋体" w:cs="宋体"/>
          <w:color w:val="auto"/>
          <w:spacing w:val="20"/>
          <w:sz w:val="21"/>
          <w:szCs w:val="21"/>
          <w:highlight w:val="none"/>
        </w:rPr>
      </w:pPr>
      <w:r>
        <w:rPr>
          <w:rFonts w:hint="eastAsia" w:ascii="宋体" w:hAnsi="宋体" w:cs="宋体"/>
          <w:b/>
          <w:bCs/>
          <w:color w:val="auto"/>
          <w:spacing w:val="20"/>
          <w:sz w:val="21"/>
          <w:szCs w:val="21"/>
          <w:highlight w:val="none"/>
        </w:rPr>
        <w:t>第二条</w:t>
      </w:r>
      <w:r>
        <w:rPr>
          <w:rFonts w:hint="eastAsia" w:ascii="宋体" w:hAnsi="宋体" w:cs="宋体"/>
          <w:color w:val="auto"/>
          <w:spacing w:val="20"/>
          <w:sz w:val="21"/>
          <w:szCs w:val="21"/>
          <w:highlight w:val="none"/>
        </w:rPr>
        <w:t>　监理范围和监理工作内容：委托人提供给监理人的设计施工图纸所包括的全部工程的监理工作。</w:t>
      </w:r>
    </w:p>
    <w:p w14:paraId="710C62FA">
      <w:pPr>
        <w:widowControl/>
        <w:spacing w:before="0" w:beforeAutospacing="0" w:after="0" w:afterAutospacing="0" w:line="460" w:lineRule="exact"/>
        <w:ind w:firstLine="502" w:firstLineChars="200"/>
        <w:jc w:val="left"/>
        <w:rPr>
          <w:rFonts w:ascii="宋体" w:hAnsi="宋体" w:eastAsia="宋体" w:cs="宋体"/>
          <w:color w:val="auto"/>
          <w:spacing w:val="20"/>
          <w:kern w:val="0"/>
          <w:sz w:val="21"/>
          <w:szCs w:val="21"/>
          <w:highlight w:val="none"/>
          <w:lang w:val="en-US" w:eastAsia="zh-CN" w:bidi="ar-SA"/>
        </w:rPr>
      </w:pPr>
      <w:r>
        <w:rPr>
          <w:rFonts w:hint="eastAsia" w:ascii="宋体" w:hAnsi="宋体" w:eastAsia="宋体" w:cs="宋体"/>
          <w:b/>
          <w:bCs/>
          <w:color w:val="auto"/>
          <w:spacing w:val="20"/>
          <w:kern w:val="0"/>
          <w:sz w:val="21"/>
          <w:szCs w:val="21"/>
          <w:highlight w:val="none"/>
          <w:lang w:val="en-US" w:eastAsia="zh-CN" w:bidi="ar-SA"/>
        </w:rPr>
        <w:t>监理范围：</w:t>
      </w:r>
      <w:r>
        <w:rPr>
          <w:rFonts w:hint="eastAsia" w:ascii="宋体" w:hAnsi="宋体" w:eastAsia="宋体" w:cs="宋体"/>
          <w:color w:val="auto"/>
          <w:spacing w:val="20"/>
          <w:kern w:val="0"/>
          <w:sz w:val="21"/>
          <w:szCs w:val="21"/>
          <w:highlight w:val="none"/>
          <w:lang w:val="en-US" w:eastAsia="zh-CN" w:bidi="ar-SA"/>
        </w:rPr>
        <w:t>本工程监理服务期包括施工准备阶段、施工阶段、竣工验收阶段、保修阶段、缺陷责任阶段等，并经建设单位认可为止。</w:t>
      </w:r>
    </w:p>
    <w:p w14:paraId="03A76405">
      <w:pPr>
        <w:widowControl/>
        <w:snapToGrid w:val="0"/>
        <w:spacing w:line="460" w:lineRule="exact"/>
        <w:ind w:firstLine="502" w:firstLineChars="200"/>
        <w:jc w:val="left"/>
        <w:rPr>
          <w:rFonts w:hint="eastAsia" w:ascii="宋体" w:hAnsi="宋体" w:cs="Times New Roman"/>
          <w:color w:val="auto"/>
          <w:sz w:val="21"/>
          <w:szCs w:val="21"/>
          <w:highlight w:val="none"/>
        </w:rPr>
      </w:pPr>
      <w:r>
        <w:rPr>
          <w:rFonts w:hint="eastAsia" w:ascii="宋体" w:hAnsi="宋体" w:cs="宋体"/>
          <w:b/>
          <w:bCs/>
          <w:color w:val="auto"/>
          <w:spacing w:val="20"/>
          <w:sz w:val="21"/>
          <w:szCs w:val="21"/>
          <w:highlight w:val="none"/>
        </w:rPr>
        <w:t>监理工作内容：</w:t>
      </w:r>
      <w:r>
        <w:rPr>
          <w:rFonts w:hint="eastAsia" w:ascii="宋体" w:hAnsi="宋体" w:cs="宋体"/>
          <w:color w:val="auto"/>
          <w:spacing w:val="20"/>
          <w:sz w:val="21"/>
          <w:szCs w:val="21"/>
          <w:highlight w:val="none"/>
        </w:rPr>
        <w:t>在施工合同范围内，对工程质量、进度、投资目标、施工安全四大控制实施全过程监控，并实施信息管理、合同管理和协调各参建单位的工作关系，</w:t>
      </w:r>
      <w:r>
        <w:rPr>
          <w:rFonts w:hint="eastAsia" w:ascii="宋体" w:hAnsi="宋体" w:cs="Times New Roman"/>
          <w:color w:val="auto"/>
          <w:sz w:val="21"/>
          <w:szCs w:val="21"/>
          <w:highlight w:val="none"/>
        </w:rPr>
        <w:t xml:space="preserve">以及完成委托人交办的与本工程监理有关的相关业务。 </w:t>
      </w:r>
    </w:p>
    <w:p w14:paraId="40967275">
      <w:pPr>
        <w:widowControl/>
        <w:snapToGrid w:val="0"/>
        <w:spacing w:line="460" w:lineRule="exact"/>
        <w:ind w:firstLine="422" w:firstLineChars="200"/>
        <w:jc w:val="left"/>
        <w:rPr>
          <w:rFonts w:hint="eastAsia" w:ascii="宋体" w:hAnsi="宋体" w:cs="Times New Roman"/>
          <w:color w:val="auto"/>
          <w:sz w:val="21"/>
          <w:szCs w:val="21"/>
          <w:highlight w:val="none"/>
        </w:rPr>
      </w:pPr>
      <w:r>
        <w:rPr>
          <w:rFonts w:hint="eastAsia" w:ascii="宋体" w:hAnsi="宋体" w:cs="Times New Roman"/>
          <w:b/>
          <w:bCs/>
          <w:color w:val="auto"/>
          <w:sz w:val="21"/>
          <w:szCs w:val="21"/>
          <w:highlight w:val="none"/>
        </w:rPr>
        <w:t>投资控制目标：</w:t>
      </w:r>
      <w:r>
        <w:rPr>
          <w:rFonts w:hint="eastAsia" w:ascii="宋体" w:hAnsi="宋体" w:cs="Times New Roman"/>
          <w:color w:val="auto"/>
          <w:sz w:val="21"/>
          <w:szCs w:val="21"/>
          <w:highlight w:val="none"/>
        </w:rPr>
        <w:t>以中标价为准；进度控制目标：按本工程的施工合同；质量控制目标：合格工程；安全文明控制目标：没有安全事故，达到中山市安全和文明施工工地标准。</w:t>
      </w:r>
    </w:p>
    <w:p w14:paraId="5117F8B8">
      <w:pPr>
        <w:widowControl/>
        <w:snapToGrid w:val="0"/>
        <w:spacing w:line="460" w:lineRule="exact"/>
        <w:ind w:firstLine="420" w:firstLineChars="200"/>
        <w:jc w:val="left"/>
        <w:rPr>
          <w:rFonts w:hint="eastAsia" w:ascii="宋体" w:hAnsi="宋体" w:cs="Times New Roman"/>
          <w:color w:val="auto"/>
          <w:sz w:val="21"/>
          <w:szCs w:val="21"/>
          <w:highlight w:val="none"/>
        </w:rPr>
      </w:pPr>
    </w:p>
    <w:p w14:paraId="6A5E2CE8">
      <w:pPr>
        <w:widowControl/>
        <w:snapToGrid w:val="0"/>
        <w:spacing w:line="460" w:lineRule="exact"/>
        <w:ind w:firstLine="502" w:firstLineChars="200"/>
        <w:jc w:val="left"/>
        <w:rPr>
          <w:rFonts w:hint="eastAsia" w:ascii="宋体" w:hAnsi="宋体" w:cs="宋体"/>
          <w:b/>
          <w:bCs/>
          <w:color w:val="auto"/>
          <w:spacing w:val="20"/>
          <w:sz w:val="21"/>
          <w:szCs w:val="21"/>
          <w:highlight w:val="none"/>
          <w:lang w:val="en-US" w:eastAsia="zh-CN"/>
        </w:rPr>
      </w:pPr>
      <w:r>
        <w:rPr>
          <w:rFonts w:hint="eastAsia" w:ascii="宋体" w:hAnsi="宋体" w:cs="宋体"/>
          <w:b/>
          <w:bCs/>
          <w:color w:val="auto"/>
          <w:spacing w:val="20"/>
          <w:sz w:val="21"/>
          <w:szCs w:val="21"/>
          <w:highlight w:val="none"/>
          <w:lang w:val="en-US" w:eastAsia="zh-CN"/>
        </w:rPr>
        <w:t>......</w:t>
      </w:r>
    </w:p>
    <w:p w14:paraId="071C744F">
      <w:pPr>
        <w:widowControl/>
        <w:snapToGrid w:val="0"/>
        <w:spacing w:line="460" w:lineRule="exact"/>
        <w:ind w:firstLine="502" w:firstLineChars="200"/>
        <w:jc w:val="left"/>
        <w:rPr>
          <w:rFonts w:hint="eastAsia" w:ascii="宋体" w:hAnsi="宋体" w:cs="宋体"/>
          <w:b/>
          <w:bCs/>
          <w:color w:val="auto"/>
          <w:spacing w:val="20"/>
          <w:sz w:val="21"/>
          <w:szCs w:val="21"/>
          <w:highlight w:val="none"/>
          <w:lang w:val="en-US" w:eastAsia="zh-CN"/>
        </w:rPr>
      </w:pPr>
    </w:p>
    <w:p w14:paraId="6E85E33C">
      <w:pPr>
        <w:widowControl/>
        <w:snapToGrid w:val="0"/>
        <w:spacing w:line="460" w:lineRule="exact"/>
        <w:ind w:firstLine="502" w:firstLineChars="200"/>
        <w:jc w:val="left"/>
        <w:rPr>
          <w:rFonts w:hint="eastAsia" w:ascii="宋体" w:hAnsi="宋体" w:cs="宋体"/>
          <w:b/>
          <w:bCs/>
          <w:color w:val="auto"/>
          <w:spacing w:val="20"/>
          <w:sz w:val="21"/>
          <w:szCs w:val="21"/>
          <w:highlight w:val="none"/>
        </w:rPr>
      </w:pPr>
      <w:r>
        <w:rPr>
          <w:rFonts w:hint="eastAsia" w:ascii="宋体" w:hAnsi="宋体" w:cs="宋体"/>
          <w:b/>
          <w:bCs/>
          <w:color w:val="auto"/>
          <w:spacing w:val="20"/>
          <w:sz w:val="21"/>
          <w:szCs w:val="21"/>
          <w:highlight w:val="none"/>
        </w:rPr>
        <w:t>第十二条  补充条款：</w:t>
      </w:r>
    </w:p>
    <w:p w14:paraId="5F0492B5">
      <w:pPr>
        <w:widowControl/>
        <w:snapToGrid w:val="0"/>
        <w:spacing w:line="460" w:lineRule="exact"/>
        <w:ind w:firstLine="500" w:firstLineChars="200"/>
        <w:jc w:val="left"/>
        <w:rPr>
          <w:rFonts w:hint="eastAsia" w:ascii="宋体" w:hAnsi="宋体" w:cs="Arial Unicode MS"/>
          <w:color w:val="auto"/>
          <w:spacing w:val="20"/>
          <w:sz w:val="21"/>
          <w:szCs w:val="21"/>
          <w:highlight w:val="none"/>
        </w:rPr>
      </w:pPr>
      <w:r>
        <w:rPr>
          <w:rFonts w:hint="eastAsia" w:ascii="宋体" w:hAnsi="宋体" w:cs="Arial Unicode MS"/>
          <w:color w:val="auto"/>
          <w:spacing w:val="20"/>
          <w:sz w:val="21"/>
          <w:szCs w:val="21"/>
          <w:highlight w:val="none"/>
        </w:rPr>
        <w:t>（</w:t>
      </w:r>
      <w:r>
        <w:rPr>
          <w:rFonts w:ascii="宋体" w:hAnsi="宋体" w:cs="Arial Unicode MS"/>
          <w:color w:val="auto"/>
          <w:spacing w:val="20"/>
          <w:sz w:val="21"/>
          <w:szCs w:val="21"/>
          <w:highlight w:val="none"/>
        </w:rPr>
        <w:t>1</w:t>
      </w:r>
      <w:r>
        <w:rPr>
          <w:rFonts w:hint="eastAsia" w:ascii="宋体" w:hAnsi="宋体" w:cs="Arial Unicode MS"/>
          <w:color w:val="auto"/>
          <w:spacing w:val="20"/>
          <w:sz w:val="21"/>
          <w:szCs w:val="21"/>
          <w:highlight w:val="none"/>
        </w:rPr>
        <w:t>）监理人必须按监理规划和监理实施细则的有关规定进行监理。监理人对涉及工期延长及涉及工程造价的签认不视为委托人对顺延工期及调整工程造价的确认，凡涉及此类事项均需得到委托人的书面批准，</w:t>
      </w:r>
      <w:r>
        <w:rPr>
          <w:rFonts w:hint="eastAsia" w:ascii="宋体" w:hAnsi="宋体" w:cs="宋体"/>
          <w:color w:val="auto"/>
          <w:spacing w:val="24"/>
          <w:sz w:val="21"/>
          <w:szCs w:val="21"/>
          <w:highlight w:val="none"/>
        </w:rPr>
        <w:t>并有委托人代表(或其合法授权人)的签字且由委托人加盖公章，以及委托人正式发文确认方可成为建设工程施工合同双方之间有合同约束力的文件</w:t>
      </w:r>
      <w:r>
        <w:rPr>
          <w:rFonts w:hint="eastAsia" w:ascii="宋体" w:hAnsi="宋体" w:cs="Arial Unicode MS"/>
          <w:color w:val="auto"/>
          <w:spacing w:val="20"/>
          <w:sz w:val="21"/>
          <w:szCs w:val="21"/>
          <w:highlight w:val="none"/>
        </w:rPr>
        <w:t>；</w:t>
      </w:r>
    </w:p>
    <w:p w14:paraId="23EECEEF">
      <w:pPr>
        <w:widowControl/>
        <w:snapToGrid w:val="0"/>
        <w:spacing w:line="460" w:lineRule="exact"/>
        <w:ind w:firstLine="502" w:firstLineChars="200"/>
        <w:jc w:val="left"/>
        <w:rPr>
          <w:rFonts w:hint="eastAsia" w:ascii="宋体" w:hAnsi="宋体" w:cs="宋体"/>
          <w:bCs/>
          <w:color w:val="auto"/>
          <w:spacing w:val="20"/>
          <w:sz w:val="21"/>
          <w:szCs w:val="21"/>
          <w:highlight w:val="none"/>
        </w:rPr>
      </w:pPr>
      <w:r>
        <w:rPr>
          <w:rFonts w:hint="eastAsia" w:ascii="宋体" w:hAnsi="宋体" w:cs="宋体"/>
          <w:b/>
          <w:bCs w:val="0"/>
          <w:color w:val="auto"/>
          <w:spacing w:val="20"/>
          <w:sz w:val="21"/>
          <w:szCs w:val="21"/>
          <w:highlight w:val="none"/>
        </w:rPr>
        <w:t>（2）监理人行使以下权利时应事先得到委托人的书面同意：</w:t>
      </w:r>
      <w:r>
        <w:rPr>
          <w:rFonts w:hint="eastAsia" w:ascii="宋体" w:hAnsi="宋体" w:cs="宋体"/>
          <w:bCs/>
          <w:color w:val="auto"/>
          <w:spacing w:val="20"/>
          <w:sz w:val="21"/>
          <w:szCs w:val="21"/>
          <w:highlight w:val="none"/>
        </w:rPr>
        <w:t>①批准工程延期；②发布工程开工令、停工令、复工令；③发布工程变更；④批准材料代换；⑤其他</w:t>
      </w:r>
      <w:r>
        <w:rPr>
          <w:rFonts w:hint="eastAsia" w:ascii="宋体" w:hAnsi="宋体" w:cs="宋体"/>
          <w:color w:val="auto"/>
          <w:spacing w:val="24"/>
          <w:sz w:val="21"/>
          <w:szCs w:val="21"/>
          <w:highlight w:val="none"/>
        </w:rPr>
        <w:t>只要与本工程的合同价格、款项支付、计量、计价、工期、工期延长、建筑使用功能、分包人和供应商的选择等的事项</w:t>
      </w:r>
      <w:r>
        <w:rPr>
          <w:rFonts w:hint="eastAsia" w:ascii="宋体" w:hAnsi="宋体" w:cs="宋体"/>
          <w:bCs/>
          <w:color w:val="auto"/>
          <w:spacing w:val="20"/>
          <w:sz w:val="21"/>
          <w:szCs w:val="21"/>
          <w:highlight w:val="none"/>
        </w:rPr>
        <w:t>。</w:t>
      </w:r>
    </w:p>
    <w:p w14:paraId="386044AE">
      <w:pPr>
        <w:widowControl/>
        <w:snapToGrid w:val="0"/>
        <w:spacing w:line="460" w:lineRule="exact"/>
        <w:ind w:firstLine="502" w:firstLineChars="200"/>
        <w:jc w:val="left"/>
        <w:rPr>
          <w:rFonts w:hint="eastAsia" w:ascii="宋体" w:hAnsi="宋体" w:cs="宋体"/>
          <w:b/>
          <w:bCs w:val="0"/>
          <w:color w:val="auto"/>
          <w:spacing w:val="20"/>
          <w:sz w:val="21"/>
          <w:szCs w:val="21"/>
          <w:highlight w:val="none"/>
        </w:rPr>
      </w:pPr>
      <w:r>
        <w:rPr>
          <w:rFonts w:hint="eastAsia" w:ascii="宋体" w:hAnsi="宋体" w:cs="宋体"/>
          <w:b/>
          <w:bCs w:val="0"/>
          <w:color w:val="auto"/>
          <w:spacing w:val="20"/>
          <w:sz w:val="21"/>
          <w:szCs w:val="21"/>
          <w:highlight w:val="none"/>
        </w:rPr>
        <w:t>监理人违背上述规定签发的指令或批复意见无效，由此给委托人造成损失的，委托人保留进一步追究责任的权利。</w:t>
      </w:r>
    </w:p>
    <w:p w14:paraId="5885B1AA">
      <w:pPr>
        <w:spacing w:line="460" w:lineRule="exact"/>
        <w:ind w:firstLine="500" w:firstLineChars="200"/>
        <w:jc w:val="left"/>
        <w:rPr>
          <w:rFonts w:hint="eastAsia" w:ascii="宋体" w:hAnsi="宋体" w:cs="宋体"/>
          <w:color w:val="auto"/>
          <w:spacing w:val="20"/>
          <w:sz w:val="21"/>
          <w:szCs w:val="21"/>
          <w:highlight w:val="none"/>
        </w:rPr>
      </w:pPr>
    </w:p>
    <w:p w14:paraId="05AD1283">
      <w:pPr>
        <w:spacing w:line="460" w:lineRule="exact"/>
        <w:ind w:firstLine="500" w:firstLineChars="200"/>
        <w:jc w:val="left"/>
        <w:rPr>
          <w:rFonts w:hint="eastAsia" w:ascii="宋体" w:hAnsi="宋体" w:cs="宋体"/>
          <w:color w:val="auto"/>
          <w:spacing w:val="20"/>
          <w:sz w:val="21"/>
          <w:szCs w:val="21"/>
          <w:highlight w:val="none"/>
          <w:lang w:val="en-US" w:eastAsia="zh-CN"/>
        </w:rPr>
      </w:pPr>
      <w:r>
        <w:rPr>
          <w:rFonts w:hint="eastAsia" w:ascii="宋体" w:hAnsi="宋体" w:cs="宋体"/>
          <w:color w:val="auto"/>
          <w:spacing w:val="20"/>
          <w:sz w:val="21"/>
          <w:szCs w:val="21"/>
          <w:highlight w:val="none"/>
          <w:lang w:val="en-US" w:eastAsia="zh-CN"/>
        </w:rPr>
        <w:t>......</w:t>
      </w:r>
    </w:p>
    <w:p w14:paraId="7CE05582">
      <w:pPr>
        <w:spacing w:line="460" w:lineRule="exact"/>
        <w:ind w:firstLine="500" w:firstLineChars="200"/>
        <w:jc w:val="left"/>
        <w:rPr>
          <w:rFonts w:hint="eastAsia" w:ascii="宋体" w:hAnsi="宋体" w:cs="宋体"/>
          <w:color w:val="auto"/>
          <w:spacing w:val="20"/>
          <w:sz w:val="21"/>
          <w:szCs w:val="21"/>
          <w:highlight w:val="none"/>
          <w:lang w:val="en-US" w:eastAsia="zh-CN"/>
        </w:rPr>
      </w:pPr>
    </w:p>
    <w:p w14:paraId="1EFC9726">
      <w:pPr>
        <w:snapToGrid w:val="0"/>
        <w:spacing w:line="460" w:lineRule="exact"/>
        <w:ind w:firstLine="413" w:firstLineChars="196"/>
        <w:jc w:val="left"/>
        <w:rPr>
          <w:rFonts w:hint="eastAsia" w:ascii="宋体" w:hAnsi="宋体" w:cs="宋体"/>
          <w:color w:val="auto"/>
          <w:spacing w:val="20"/>
          <w:sz w:val="21"/>
          <w:szCs w:val="21"/>
          <w:highlight w:val="none"/>
        </w:rPr>
      </w:pPr>
      <w:r>
        <w:rPr>
          <w:rFonts w:hint="eastAsia" w:ascii="宋体" w:hAnsi="宋体" w:cs="宋体"/>
          <w:b/>
          <w:color w:val="auto"/>
          <w:sz w:val="21"/>
          <w:szCs w:val="21"/>
          <w:highlight w:val="none"/>
        </w:rPr>
        <w:t xml:space="preserve"> (8) 按照监理规划和监理实施细则规定必须实行旁站监理的部位必须实行旁站监理。委托人若发现有脱岗等未尽职责情况发生造成委托人损失的，监理人须赔偿委托人相应损失，委托人有权追究相关法律责任；</w:t>
      </w:r>
    </w:p>
    <w:p w14:paraId="539F4A43">
      <w:pPr>
        <w:snapToGrid w:val="0"/>
        <w:spacing w:line="460" w:lineRule="exact"/>
        <w:ind w:firstLine="490" w:firstLineChars="196"/>
        <w:jc w:val="left"/>
        <w:rPr>
          <w:rFonts w:hint="eastAsia" w:ascii="宋体" w:hAnsi="宋体" w:cs="宋体"/>
          <w:b/>
          <w:color w:val="auto"/>
          <w:sz w:val="21"/>
          <w:szCs w:val="21"/>
          <w:highlight w:val="none"/>
        </w:rPr>
      </w:pPr>
      <w:r>
        <w:rPr>
          <w:rFonts w:hint="eastAsia" w:ascii="宋体" w:hAnsi="宋体" w:cs="宋体"/>
          <w:color w:val="auto"/>
          <w:spacing w:val="20"/>
          <w:sz w:val="21"/>
          <w:szCs w:val="21"/>
          <w:highlight w:val="none"/>
        </w:rPr>
        <w:t>(9)监理人在收到施工单位提交的工程竣工资料后，应在十四日内审查完毕并交委托人；</w:t>
      </w:r>
    </w:p>
    <w:p w14:paraId="6EE1F110">
      <w:pPr>
        <w:tabs>
          <w:tab w:val="left" w:pos="540"/>
          <w:tab w:val="left" w:pos="720"/>
        </w:tabs>
        <w:adjustRightInd w:val="0"/>
        <w:snapToGrid w:val="0"/>
        <w:spacing w:line="460" w:lineRule="exact"/>
        <w:ind w:firstLine="420" w:firstLineChars="200"/>
        <w:jc w:val="left"/>
        <w:rPr>
          <w:rFonts w:hint="eastAsia" w:ascii="宋体" w:hAnsi="宋体" w:cs="Times New Roman"/>
          <w:color w:val="auto"/>
          <w:sz w:val="21"/>
          <w:szCs w:val="21"/>
          <w:highlight w:val="none"/>
          <w:lang w:val="en-US" w:eastAsia="zh-CN"/>
        </w:rPr>
      </w:pPr>
      <w:r>
        <w:rPr>
          <w:rFonts w:hint="eastAsia" w:ascii="宋体" w:hAnsi="宋体" w:cs="Times New Roman"/>
          <w:color w:val="auto"/>
          <w:sz w:val="21"/>
          <w:szCs w:val="21"/>
          <w:highlight w:val="none"/>
          <w:lang w:val="en-US" w:eastAsia="zh-CN"/>
        </w:rPr>
        <w:t>......</w:t>
      </w:r>
    </w:p>
    <w:p w14:paraId="4906D02B">
      <w:pPr>
        <w:spacing w:line="360" w:lineRule="auto"/>
        <w:ind w:firstLine="422" w:firstLineChars="200"/>
        <w:jc w:val="left"/>
        <w:rPr>
          <w:rFonts w:hint="eastAsia" w:ascii="宋体" w:hAnsi="宋体" w:cs="Times New Roman"/>
          <w:b/>
          <w:bCs/>
          <w:color w:val="auto"/>
          <w:sz w:val="21"/>
          <w:szCs w:val="21"/>
          <w:highlight w:val="none"/>
          <w:lang w:val="en-US" w:eastAsia="zh-CN"/>
        </w:rPr>
      </w:pPr>
      <w:r>
        <w:rPr>
          <w:rFonts w:hint="eastAsia" w:ascii="宋体" w:hAnsi="宋体" w:cs="Times New Roman"/>
          <w:b/>
          <w:bCs/>
          <w:color w:val="auto"/>
          <w:sz w:val="21"/>
          <w:szCs w:val="21"/>
          <w:highlight w:val="none"/>
          <w:lang w:val="en-US" w:eastAsia="zh-CN"/>
        </w:rPr>
        <w:t>以上监理人权利、责任条款具体详见《建设工程委托监理合同》。</w:t>
      </w:r>
    </w:p>
    <w:p w14:paraId="01476443">
      <w:pPr>
        <w:spacing w:line="360" w:lineRule="auto"/>
        <w:ind w:firstLine="422" w:firstLineChars="200"/>
        <w:jc w:val="left"/>
        <w:rPr>
          <w:rFonts w:hint="eastAsia" w:ascii="宋体" w:hAnsi="宋体" w:cs="Times New Roman"/>
          <w:b/>
          <w:bCs/>
          <w:color w:val="auto"/>
          <w:sz w:val="21"/>
          <w:szCs w:val="21"/>
          <w:highlight w:val="none"/>
          <w:lang w:val="en-US" w:eastAsia="zh-CN"/>
        </w:rPr>
      </w:pPr>
    </w:p>
    <w:p w14:paraId="7F8231A2">
      <w:pPr>
        <w:spacing w:line="360" w:lineRule="auto"/>
        <w:ind w:firstLine="422" w:firstLineChars="200"/>
        <w:jc w:val="left"/>
        <w:rPr>
          <w:rFonts w:hint="eastAsia" w:ascii="宋体" w:hAnsi="宋体" w:cs="Times New Roman"/>
          <w:b/>
          <w:bCs/>
          <w:color w:val="auto"/>
          <w:sz w:val="21"/>
          <w:szCs w:val="21"/>
          <w:highlight w:val="none"/>
          <w:lang w:val="en-US" w:eastAsia="zh-CN"/>
        </w:rPr>
      </w:pPr>
    </w:p>
    <w:p w14:paraId="2E667448">
      <w:pPr>
        <w:spacing w:line="360" w:lineRule="auto"/>
        <w:ind w:firstLine="422" w:firstLineChars="200"/>
        <w:jc w:val="left"/>
        <w:rPr>
          <w:rFonts w:hint="eastAsia" w:ascii="宋体" w:hAnsi="宋体" w:cs="Times New Roman"/>
          <w:b/>
          <w:bCs/>
          <w:color w:val="auto"/>
          <w:sz w:val="21"/>
          <w:szCs w:val="21"/>
          <w:highlight w:val="none"/>
          <w:lang w:val="en-US" w:eastAsia="zh-CN"/>
        </w:rPr>
      </w:pPr>
    </w:p>
    <w:p w14:paraId="1E71667E">
      <w:pPr>
        <w:spacing w:line="360" w:lineRule="auto"/>
        <w:ind w:firstLine="422" w:firstLineChars="200"/>
        <w:jc w:val="left"/>
        <w:rPr>
          <w:rFonts w:hint="eastAsia" w:ascii="宋体" w:hAnsi="宋体" w:cs="Times New Roman"/>
          <w:b/>
          <w:bCs/>
          <w:color w:val="auto"/>
          <w:sz w:val="21"/>
          <w:szCs w:val="21"/>
          <w:highlight w:val="none"/>
          <w:lang w:val="en-US" w:eastAsia="zh-CN"/>
        </w:rPr>
      </w:pPr>
    </w:p>
    <w:p w14:paraId="43F9C184">
      <w:pPr>
        <w:spacing w:line="360" w:lineRule="auto"/>
        <w:ind w:firstLine="422" w:firstLineChars="200"/>
        <w:jc w:val="left"/>
        <w:rPr>
          <w:rFonts w:hint="eastAsia" w:ascii="宋体" w:hAnsi="宋体" w:cs="Times New Roman"/>
          <w:b/>
          <w:bCs/>
          <w:color w:val="auto"/>
          <w:sz w:val="21"/>
          <w:szCs w:val="21"/>
          <w:highlight w:val="none"/>
          <w:lang w:val="en-US" w:eastAsia="zh-CN"/>
        </w:rPr>
      </w:pPr>
    </w:p>
    <w:p w14:paraId="43FCF4D2">
      <w:pPr>
        <w:spacing w:line="360" w:lineRule="auto"/>
        <w:ind w:firstLine="422" w:firstLineChars="200"/>
        <w:jc w:val="left"/>
        <w:rPr>
          <w:rFonts w:hint="eastAsia" w:ascii="宋体" w:hAnsi="宋体" w:cs="Times New Roman"/>
          <w:b/>
          <w:bCs/>
          <w:color w:val="auto"/>
          <w:sz w:val="21"/>
          <w:szCs w:val="21"/>
          <w:highlight w:val="none"/>
          <w:lang w:val="en-US" w:eastAsia="zh-CN"/>
        </w:rPr>
      </w:pPr>
    </w:p>
    <w:p w14:paraId="28EBCF03">
      <w:pPr>
        <w:spacing w:line="360" w:lineRule="auto"/>
        <w:jc w:val="left"/>
        <w:rPr>
          <w:rFonts w:hint="eastAsia" w:ascii="宋体" w:hAnsi="宋体" w:eastAsia="宋体" w:cs="宋体"/>
          <w:color w:val="auto"/>
          <w:kern w:val="0"/>
          <w:sz w:val="24"/>
          <w:highlight w:val="none"/>
        </w:rPr>
      </w:pPr>
      <w:r>
        <w:rPr>
          <w:rFonts w:hint="eastAsia" w:ascii="宋体" w:hAnsi="宋体" w:eastAsia="宋体" w:cs="宋体"/>
          <w:b/>
          <w:bCs/>
          <w:color w:val="auto"/>
          <w:szCs w:val="21"/>
          <w:highlight w:val="none"/>
          <w:lang w:bidi="ar"/>
        </w:rPr>
        <w:t>附件：履约担保（格式）</w:t>
      </w:r>
    </w:p>
    <w:p w14:paraId="009EF6A2">
      <w:pPr>
        <w:spacing w:line="480" w:lineRule="auto"/>
        <w:jc w:val="center"/>
        <w:rPr>
          <w:rFonts w:hint="eastAsia" w:ascii="宋体" w:hAnsi="宋体" w:eastAsia="宋体" w:cs="宋体"/>
          <w:color w:val="auto"/>
          <w:highlight w:val="none"/>
        </w:rPr>
      </w:pPr>
      <w:r>
        <w:rPr>
          <w:rFonts w:hint="eastAsia" w:ascii="宋体" w:hAnsi="宋体" w:eastAsia="宋体" w:cs="宋体"/>
          <w:b/>
          <w:bCs/>
          <w:color w:val="auto"/>
          <w:sz w:val="32"/>
          <w:szCs w:val="32"/>
          <w:highlight w:val="none"/>
          <w:lang w:bidi="ar"/>
        </w:rPr>
        <w:t>履约担保</w:t>
      </w:r>
    </w:p>
    <w:p w14:paraId="0A16FD1C">
      <w:pPr>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(发包人名称):</w:t>
      </w:r>
    </w:p>
    <w:p w14:paraId="0AA4AE4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鉴于</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(发包人名称,以下简称“发包人”)与</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(承包人名称)(以下称“承包人”)就</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工程名称)施工及有关事项协商一致共同签订《建设工程施工合同》（以下简称《施工合同》）和《建设工程施工合同补充协议》（以下简称《施工补充协议》），我方愿意无条件地、不可撤销地就承包人履行与你方签订的《施工合同》和《施工补充协议》,向你方提供连带责任担保。</w:t>
      </w:r>
    </w:p>
    <w:p w14:paraId="220506C0">
      <w:pPr>
        <w:numPr>
          <w:ilvl w:val="0"/>
          <w:numId w:val="8"/>
        </w:num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担保金额人民币(大写)</w:t>
      </w:r>
      <w:r>
        <w:rPr>
          <w:rFonts w:hint="eastAsia" w:ascii="宋体" w:hAnsi="宋体" w:eastAsia="宋体" w:cs="宋体"/>
          <w:color w:val="auto"/>
          <w:szCs w:val="21"/>
          <w:highlight w:val="none"/>
          <w:u w:val="single"/>
          <w:lang w:bidi="ar"/>
        </w:rPr>
        <w:t xml:space="preserve">                         元（￥          ）。</w:t>
      </w:r>
    </w:p>
    <w:p w14:paraId="29EC1CAD">
      <w:pPr>
        <w:numPr>
          <w:ilvl w:val="0"/>
          <w:numId w:val="8"/>
        </w:num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担保有效期自你方与承包人签订的《施工合同》生效之日起至你方签发或应签发工程接收证书之日止。</w:t>
      </w:r>
    </w:p>
    <w:p w14:paraId="521898E3">
      <w:pPr>
        <w:numPr>
          <w:ilvl w:val="0"/>
          <w:numId w:val="8"/>
        </w:num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在本担保有效期内，因承包人违反《施工合同》或《施工补充协议》约定的义务导致承包人须向你方承担赔偿责任、或发生你方有权不予退还承包人履约保证金情形时，我方在收到你方以书面形式提出的在担保金额内的赔偿要求后，在7个工作日内无条件支付。</w:t>
      </w:r>
    </w:p>
    <w:p w14:paraId="7703CBA6">
      <w:pPr>
        <w:numPr>
          <w:ilvl w:val="0"/>
          <w:numId w:val="8"/>
        </w:num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你方和承包人按合同约定变更合同时,我方承担本担保规定的义务不变。</w:t>
      </w:r>
    </w:p>
    <w:p w14:paraId="1A9A04C2">
      <w:pPr>
        <w:numPr>
          <w:ilvl w:val="0"/>
          <w:numId w:val="8"/>
        </w:num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因本保函发生的纠纷，双方应协商解决；协商不成的，任何一方均可向工程所在地有管辖权的人民法院提起诉讼。</w:t>
      </w:r>
    </w:p>
    <w:p w14:paraId="5DC4ABA6">
      <w:pPr>
        <w:numPr>
          <w:ilvl w:val="0"/>
          <w:numId w:val="8"/>
        </w:num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本保函自我方法定代表人(或其授权代理人)签字并加盖公章之日起生效。</w:t>
      </w:r>
    </w:p>
    <w:p w14:paraId="1678739A">
      <w:pPr>
        <w:spacing w:line="360" w:lineRule="auto"/>
        <w:ind w:left="420" w:left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担保人：</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（盖单位公章）</w:t>
      </w:r>
    </w:p>
    <w:p w14:paraId="1C47F92E">
      <w:pPr>
        <w:spacing w:line="360" w:lineRule="auto"/>
        <w:ind w:left="420" w:left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法定代表人或其委托代理人：</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（签字）</w:t>
      </w:r>
    </w:p>
    <w:p w14:paraId="11D2189C">
      <w:pPr>
        <w:spacing w:line="360" w:lineRule="auto"/>
        <w:ind w:left="420" w:left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bidi="ar"/>
        </w:rPr>
        <w:t>地址：</w:t>
      </w:r>
      <w:r>
        <w:rPr>
          <w:rFonts w:hint="eastAsia" w:ascii="宋体" w:hAnsi="宋体" w:eastAsia="宋体" w:cs="宋体"/>
          <w:color w:val="auto"/>
          <w:szCs w:val="21"/>
          <w:highlight w:val="none"/>
          <w:u w:val="single"/>
          <w:lang w:bidi="ar"/>
        </w:rPr>
        <w:t xml:space="preserve">                                     </w:t>
      </w:r>
    </w:p>
    <w:p w14:paraId="201E9E89">
      <w:pPr>
        <w:spacing w:line="360" w:lineRule="auto"/>
        <w:ind w:left="420" w:left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bidi="ar"/>
        </w:rPr>
        <w:t>邮政编码：</w:t>
      </w:r>
      <w:r>
        <w:rPr>
          <w:rFonts w:hint="eastAsia" w:ascii="宋体" w:hAnsi="宋体" w:eastAsia="宋体" w:cs="宋体"/>
          <w:color w:val="auto"/>
          <w:szCs w:val="21"/>
          <w:highlight w:val="none"/>
          <w:u w:val="single"/>
          <w:lang w:bidi="ar"/>
        </w:rPr>
        <w:t xml:space="preserve">                                      </w:t>
      </w:r>
    </w:p>
    <w:p w14:paraId="7783F3C4">
      <w:pPr>
        <w:spacing w:line="360" w:lineRule="auto"/>
        <w:ind w:left="420" w:left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bidi="ar"/>
        </w:rPr>
        <w:t>传真：</w:t>
      </w:r>
      <w:r>
        <w:rPr>
          <w:rFonts w:hint="eastAsia" w:ascii="宋体" w:hAnsi="宋体" w:eastAsia="宋体" w:cs="宋体"/>
          <w:color w:val="auto"/>
          <w:szCs w:val="21"/>
          <w:highlight w:val="none"/>
          <w:u w:val="single"/>
          <w:lang w:bidi="ar"/>
        </w:rPr>
        <w:t xml:space="preserve">                                            </w:t>
      </w:r>
    </w:p>
    <w:p w14:paraId="17B4F476">
      <w:pPr>
        <w:spacing w:line="360" w:lineRule="auto"/>
        <w:ind w:left="420" w:leftChars="200"/>
        <w:rPr>
          <w:rFonts w:hint="eastAsia" w:ascii="宋体" w:hAnsi="宋体" w:eastAsia="宋体" w:cs="宋体"/>
          <w:color w:val="auto"/>
          <w:szCs w:val="21"/>
          <w:highlight w:val="none"/>
          <w:u w:val="single"/>
        </w:rPr>
      </w:pPr>
    </w:p>
    <w:p w14:paraId="4B439A1E">
      <w:pPr>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bidi="ar"/>
        </w:rPr>
        <w:t xml:space="preserve">                              </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年</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月</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日</w:t>
      </w:r>
    </w:p>
    <w:permEnd w:id="166"/>
    <w:p w14:paraId="06ECC9FB">
      <w:pPr>
        <w:pStyle w:val="2"/>
        <w:bidi w:val="0"/>
        <w:jc w:val="center"/>
        <w:rPr>
          <w:rFonts w:hint="eastAsia" w:ascii="宋体" w:hAnsi="宋体" w:eastAsia="宋体" w:cs="宋体"/>
          <w:color w:val="auto"/>
          <w:szCs w:val="32"/>
          <w:highlight w:val="none"/>
        </w:rPr>
      </w:pPr>
      <w:bookmarkStart w:id="2410" w:name="_Toc785"/>
      <w:bookmarkStart w:id="2411" w:name="_Toc8201"/>
      <w:bookmarkStart w:id="2412" w:name="_Toc41404670"/>
      <w:r>
        <w:rPr>
          <w:rFonts w:hint="eastAsia" w:ascii="宋体" w:hAnsi="宋体" w:eastAsia="宋体" w:cs="宋体"/>
          <w:color w:val="auto"/>
          <w:szCs w:val="32"/>
          <w:highlight w:val="none"/>
        </w:rPr>
        <w:br w:type="page"/>
      </w:r>
      <w:bookmarkStart w:id="2413" w:name="_Toc410686602"/>
      <w:bookmarkStart w:id="2414" w:name="_Toc338476584"/>
      <w:bookmarkStart w:id="2415" w:name="_Toc302451363"/>
      <w:bookmarkStart w:id="2416" w:name="_Toc219204097"/>
      <w:bookmarkStart w:id="2417" w:name="_Toc1074372306"/>
      <w:bookmarkStart w:id="2418" w:name="_Toc1819141620"/>
      <w:bookmarkStart w:id="2419" w:name="_Toc1670316817"/>
      <w:bookmarkStart w:id="2420" w:name="_Toc1565554127"/>
      <w:bookmarkStart w:id="2421" w:name="_Toc1559364864"/>
      <w:bookmarkStart w:id="2422" w:name="_Toc1643277595"/>
      <w:bookmarkStart w:id="2423" w:name="_Toc243849171"/>
      <w:bookmarkStart w:id="2424" w:name="_Toc1881461253"/>
      <w:bookmarkStart w:id="2425" w:name="_Toc1955732572"/>
      <w:bookmarkStart w:id="2426" w:name="_Toc2047267065"/>
      <w:bookmarkStart w:id="2427" w:name="_Toc658514624"/>
      <w:bookmarkStart w:id="2428" w:name="_Toc1141506554"/>
      <w:bookmarkStart w:id="2429" w:name="_Toc1197872052"/>
      <w:bookmarkStart w:id="2430" w:name="_Toc2046443436"/>
      <w:bookmarkStart w:id="2431" w:name="_Toc1909796370"/>
      <w:bookmarkStart w:id="2432" w:name="_Toc723160752_WPSOffice_Level1"/>
      <w:bookmarkStart w:id="2433" w:name="_Toc152659161"/>
      <w:bookmarkStart w:id="2434" w:name="_Toc1927143932"/>
      <w:bookmarkStart w:id="2435" w:name="_Toc181196658"/>
      <w:bookmarkStart w:id="2436" w:name="_Toc15665"/>
      <w:bookmarkStart w:id="2437" w:name="_Toc1558179781"/>
      <w:bookmarkStart w:id="2438" w:name="_Toc914256893"/>
      <w:bookmarkStart w:id="2439" w:name="_Toc332445655"/>
      <w:bookmarkStart w:id="2440" w:name="_Toc831216428"/>
      <w:bookmarkStart w:id="2441" w:name="_Toc292162231"/>
      <w:bookmarkStart w:id="2442" w:name="_Toc566461200"/>
      <w:bookmarkStart w:id="2443" w:name="_Toc999345829"/>
      <w:bookmarkStart w:id="2444" w:name="_Toc294959701"/>
      <w:bookmarkStart w:id="2445" w:name="_Toc742787672"/>
      <w:bookmarkStart w:id="2446" w:name="_Toc2132368741"/>
      <w:bookmarkStart w:id="2447" w:name="_Toc783563579"/>
      <w:bookmarkStart w:id="2448" w:name="_Toc1354205056"/>
      <w:r>
        <w:rPr>
          <w:rFonts w:hint="eastAsia" w:ascii="宋体" w:hAnsi="宋体" w:eastAsia="宋体" w:cs="宋体"/>
          <w:color w:val="auto"/>
          <w:szCs w:val="32"/>
          <w:highlight w:val="none"/>
        </w:rPr>
        <w:t>第五章 工程量清单及工程量清单计价</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p>
    <w:p w14:paraId="733DCE3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Cs w:val="21"/>
          <w:highlight w:val="none"/>
        </w:rPr>
      </w:pPr>
      <w:bookmarkStart w:id="2449" w:name="_Toc1815720916_WPSOffice_Level2"/>
      <w:r>
        <w:rPr>
          <w:rFonts w:hint="eastAsia" w:ascii="宋体" w:hAnsi="宋体" w:eastAsia="宋体" w:cs="宋体"/>
          <w:b/>
          <w:color w:val="auto"/>
          <w:szCs w:val="21"/>
          <w:highlight w:val="none"/>
        </w:rPr>
        <w:t>1</w:t>
      </w:r>
      <w:r>
        <w:rPr>
          <w:rFonts w:hint="eastAsia" w:ascii="宋体" w:hAnsi="宋体" w:eastAsia="宋体" w:cs="宋体"/>
          <w:b/>
          <w:color w:val="auto"/>
          <w:szCs w:val="21"/>
          <w:highlight w:val="none"/>
          <w:lang w:val="en-US" w:eastAsia="zh-CN"/>
        </w:rPr>
        <w:t xml:space="preserve">. </w:t>
      </w:r>
      <w:r>
        <w:rPr>
          <w:rFonts w:hint="eastAsia" w:ascii="宋体" w:hAnsi="宋体" w:eastAsia="宋体" w:cs="宋体"/>
          <w:b/>
          <w:color w:val="auto"/>
          <w:szCs w:val="21"/>
          <w:highlight w:val="none"/>
        </w:rPr>
        <w:t>一般规定</w:t>
      </w:r>
      <w:bookmarkEnd w:id="2449"/>
    </w:p>
    <w:p w14:paraId="5E3EBAE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1.1采用工程量清单及工程量清单计价的应遵循有关工程量清单</w:t>
      </w:r>
      <w:r>
        <w:rPr>
          <w:rFonts w:hint="eastAsia" w:ascii="宋体" w:hAnsi="宋体" w:cs="宋体"/>
          <w:color w:val="auto"/>
          <w:szCs w:val="21"/>
          <w:highlight w:val="none"/>
          <w:lang w:eastAsia="zh-CN"/>
        </w:rPr>
        <w:t>计价标准</w:t>
      </w:r>
      <w:r>
        <w:rPr>
          <w:rFonts w:hint="eastAsia" w:ascii="宋体" w:hAnsi="宋体" w:eastAsia="宋体" w:cs="宋体"/>
          <w:color w:val="auto"/>
          <w:szCs w:val="21"/>
          <w:highlight w:val="none"/>
        </w:rPr>
        <w:t>、工程量</w:t>
      </w:r>
      <w:r>
        <w:rPr>
          <w:rFonts w:hint="eastAsia" w:ascii="宋体" w:hAnsi="宋体" w:cs="宋体"/>
          <w:color w:val="auto"/>
          <w:szCs w:val="21"/>
          <w:highlight w:val="none"/>
          <w:lang w:eastAsia="zh-CN"/>
        </w:rPr>
        <w:t>计算标准</w:t>
      </w:r>
      <w:r>
        <w:rPr>
          <w:rFonts w:hint="eastAsia" w:ascii="宋体" w:hAnsi="宋体" w:eastAsia="宋体" w:cs="宋体"/>
          <w:color w:val="auto"/>
          <w:szCs w:val="21"/>
          <w:highlight w:val="none"/>
        </w:rPr>
        <w:t>的国家标准及省、市建设主管部门的相关规定。</w:t>
      </w:r>
    </w:p>
    <w:p w14:paraId="6F88D61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Cs w:val="21"/>
          <w:highlight w:val="none"/>
        </w:rPr>
      </w:pPr>
      <w:bookmarkStart w:id="2450" w:name="_Toc393448443_WPSOffice_Level2"/>
      <w:r>
        <w:rPr>
          <w:rFonts w:hint="eastAsia" w:ascii="宋体" w:hAnsi="宋体" w:eastAsia="宋体" w:cs="宋体"/>
          <w:b/>
          <w:color w:val="auto"/>
          <w:szCs w:val="21"/>
          <w:highlight w:val="none"/>
        </w:rPr>
        <w:t>2</w:t>
      </w:r>
      <w:r>
        <w:rPr>
          <w:rFonts w:hint="eastAsia" w:ascii="宋体" w:hAnsi="宋体" w:eastAsia="宋体" w:cs="宋体"/>
          <w:b/>
          <w:color w:val="auto"/>
          <w:szCs w:val="21"/>
          <w:highlight w:val="none"/>
          <w:lang w:val="en-US" w:eastAsia="zh-CN"/>
        </w:rPr>
        <w:t xml:space="preserve">. </w:t>
      </w:r>
      <w:r>
        <w:rPr>
          <w:rFonts w:hint="eastAsia" w:ascii="宋体" w:hAnsi="宋体" w:eastAsia="宋体" w:cs="宋体"/>
          <w:b/>
          <w:color w:val="auto"/>
          <w:szCs w:val="21"/>
          <w:highlight w:val="none"/>
        </w:rPr>
        <w:t>工程量清单说明</w:t>
      </w:r>
      <w:bookmarkEnd w:id="2450"/>
    </w:p>
    <w:p w14:paraId="2569E2F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2.1工程量清单由</w:t>
      </w:r>
      <w:permStart w:id="167" w:edGrp="everyone"/>
      <w:r>
        <w:rPr>
          <w:rFonts w:hint="eastAsia" w:ascii="宋体" w:hAnsi="宋体" w:eastAsia="宋体" w:cs="宋体"/>
          <w:color w:val="auto"/>
          <w:szCs w:val="21"/>
          <w:highlight w:val="none"/>
          <w:u w:val="single"/>
        </w:rPr>
        <w:t xml:space="preserve">  广东旋凌工程管理咨询有限公司 </w:t>
      </w:r>
      <w:permEnd w:id="167"/>
      <w:r>
        <w:rPr>
          <w:rFonts w:hint="eastAsia" w:ascii="宋体" w:hAnsi="宋体" w:eastAsia="宋体" w:cs="宋体"/>
          <w:color w:val="auto"/>
          <w:szCs w:val="21"/>
          <w:highlight w:val="none"/>
        </w:rPr>
        <w:t>编制。</w:t>
      </w:r>
    </w:p>
    <w:p w14:paraId="64B7EAD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 本工程量清单的主要编制依据包括但不限于下列内容：</w:t>
      </w:r>
    </w:p>
    <w:p w14:paraId="0257D00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68" w:edGrp="everyone"/>
      <w:r>
        <w:rPr>
          <w:rFonts w:hint="eastAsia" w:ascii="宋体" w:hAnsi="宋体" w:eastAsia="宋体" w:cs="宋体"/>
          <w:color w:val="auto"/>
          <w:szCs w:val="21"/>
          <w:highlight w:val="none"/>
          <w:u w:val="single"/>
        </w:rPr>
        <w:t>（1）有关工程量清单</w:t>
      </w:r>
      <w:r>
        <w:rPr>
          <w:rFonts w:hint="eastAsia" w:ascii="宋体" w:hAnsi="宋体" w:cs="宋体"/>
          <w:color w:val="auto"/>
          <w:szCs w:val="21"/>
          <w:highlight w:val="none"/>
          <w:u w:val="single"/>
          <w:lang w:eastAsia="zh-CN"/>
        </w:rPr>
        <w:t>计价标准</w:t>
      </w:r>
      <w:r>
        <w:rPr>
          <w:rFonts w:hint="eastAsia" w:ascii="宋体" w:hAnsi="宋体" w:eastAsia="宋体" w:cs="宋体"/>
          <w:color w:val="auto"/>
          <w:szCs w:val="21"/>
          <w:highlight w:val="none"/>
          <w:u w:val="single"/>
        </w:rPr>
        <w:t>、工程量</w:t>
      </w:r>
      <w:r>
        <w:rPr>
          <w:rFonts w:hint="eastAsia" w:ascii="宋体" w:hAnsi="宋体" w:cs="宋体"/>
          <w:color w:val="auto"/>
          <w:szCs w:val="21"/>
          <w:highlight w:val="none"/>
          <w:u w:val="single"/>
          <w:lang w:eastAsia="zh-CN"/>
        </w:rPr>
        <w:t>计算标准</w:t>
      </w:r>
      <w:r>
        <w:rPr>
          <w:rFonts w:hint="eastAsia" w:ascii="宋体" w:hAnsi="宋体" w:eastAsia="宋体" w:cs="宋体"/>
          <w:color w:val="auto"/>
          <w:szCs w:val="21"/>
          <w:highlight w:val="none"/>
          <w:u w:val="single"/>
        </w:rPr>
        <w:t>的国家标准</w:t>
      </w:r>
      <w:r>
        <w:rPr>
          <w:rFonts w:hint="eastAsia" w:ascii="宋体" w:hAnsi="宋体" w:cs="宋体"/>
          <w:color w:val="auto"/>
          <w:szCs w:val="21"/>
          <w:highlight w:val="none"/>
          <w:u w:val="single"/>
          <w:lang w:eastAsia="zh-CN"/>
        </w:rPr>
        <w:t>；</w:t>
      </w:r>
      <w:permEnd w:id="168"/>
    </w:p>
    <w:p w14:paraId="33C89CD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69" w:edGrp="everyone"/>
      <w:r>
        <w:rPr>
          <w:rFonts w:hint="eastAsia" w:ascii="宋体" w:hAnsi="宋体" w:eastAsia="宋体" w:cs="宋体"/>
          <w:color w:val="auto"/>
          <w:szCs w:val="21"/>
          <w:highlight w:val="none"/>
          <w:u w:val="single"/>
        </w:rPr>
        <w:t>（2）《建筑工程建筑面积计算规范》（GB/T50353-20</w:t>
      </w:r>
      <w:r>
        <w:rPr>
          <w:rFonts w:hint="eastAsia" w:ascii="宋体" w:hAnsi="宋体" w:eastAsia="宋体" w:cs="宋体"/>
          <w:color w:val="auto"/>
          <w:szCs w:val="21"/>
          <w:highlight w:val="none"/>
          <w:u w:val="single"/>
          <w:lang w:val="en-US" w:eastAsia="zh-CN"/>
        </w:rPr>
        <w:t>13</w:t>
      </w:r>
      <w:r>
        <w:rPr>
          <w:rFonts w:hint="eastAsia" w:ascii="宋体" w:hAnsi="宋体" w:eastAsia="宋体" w:cs="宋体"/>
          <w:color w:val="auto"/>
          <w:szCs w:val="21"/>
          <w:highlight w:val="none"/>
          <w:u w:val="single"/>
        </w:rPr>
        <w:t>）</w:t>
      </w:r>
      <w:r>
        <w:rPr>
          <w:rFonts w:hint="eastAsia" w:ascii="宋体" w:hAnsi="宋体" w:cs="宋体"/>
          <w:color w:val="auto"/>
          <w:szCs w:val="21"/>
          <w:highlight w:val="none"/>
          <w:u w:val="single"/>
          <w:lang w:eastAsia="zh-CN"/>
        </w:rPr>
        <w:t>；</w:t>
      </w:r>
      <w:permEnd w:id="169"/>
    </w:p>
    <w:p w14:paraId="4914498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70" w:edGrp="everyone"/>
      <w:r>
        <w:rPr>
          <w:rFonts w:hint="eastAsia" w:ascii="宋体" w:hAnsi="宋体" w:eastAsia="宋体" w:cs="宋体"/>
          <w:color w:val="auto"/>
          <w:szCs w:val="21"/>
          <w:highlight w:val="none"/>
          <w:u w:val="single"/>
        </w:rPr>
        <w:t>（3）广东省建设工程计价通则、计价依据及有关计价规定</w:t>
      </w:r>
      <w:r>
        <w:rPr>
          <w:rFonts w:hint="eastAsia" w:ascii="宋体" w:hAnsi="宋体" w:cs="宋体"/>
          <w:color w:val="auto"/>
          <w:szCs w:val="21"/>
          <w:highlight w:val="none"/>
          <w:u w:val="single"/>
          <w:lang w:eastAsia="zh-CN"/>
        </w:rPr>
        <w:t>；</w:t>
      </w:r>
      <w:permEnd w:id="170"/>
    </w:p>
    <w:p w14:paraId="316BF42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71" w:edGrp="everyone"/>
      <w:r>
        <w:rPr>
          <w:rFonts w:hint="eastAsia" w:ascii="宋体" w:hAnsi="宋体" w:eastAsia="宋体" w:cs="宋体"/>
          <w:color w:val="auto"/>
          <w:szCs w:val="21"/>
          <w:highlight w:val="none"/>
          <w:u w:val="single"/>
        </w:rPr>
        <w:t>（4）建设工程施工设计文件</w:t>
      </w:r>
      <w:r>
        <w:rPr>
          <w:rFonts w:hint="eastAsia" w:ascii="宋体" w:hAnsi="宋体" w:cs="宋体"/>
          <w:color w:val="auto"/>
          <w:szCs w:val="21"/>
          <w:highlight w:val="none"/>
          <w:u w:val="single"/>
          <w:lang w:eastAsia="zh-CN"/>
        </w:rPr>
        <w:t>；</w:t>
      </w:r>
      <w:permEnd w:id="171"/>
    </w:p>
    <w:p w14:paraId="6372452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72" w:edGrp="everyone"/>
      <w:r>
        <w:rPr>
          <w:rFonts w:hint="eastAsia" w:ascii="宋体" w:hAnsi="宋体" w:eastAsia="宋体" w:cs="宋体"/>
          <w:color w:val="auto"/>
          <w:szCs w:val="21"/>
          <w:highlight w:val="none"/>
          <w:u w:val="single"/>
        </w:rPr>
        <w:t>（5）与建设工程项目有关的标准、规范、技术资料</w:t>
      </w:r>
      <w:r>
        <w:rPr>
          <w:rFonts w:hint="eastAsia" w:ascii="宋体" w:hAnsi="宋体" w:cs="宋体"/>
          <w:color w:val="auto"/>
          <w:szCs w:val="21"/>
          <w:highlight w:val="none"/>
          <w:u w:val="single"/>
          <w:lang w:eastAsia="zh-CN"/>
        </w:rPr>
        <w:t>；</w:t>
      </w:r>
      <w:permEnd w:id="172"/>
    </w:p>
    <w:p w14:paraId="74BC890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73" w:edGrp="everyone"/>
      <w:r>
        <w:rPr>
          <w:rFonts w:hint="eastAsia" w:ascii="宋体" w:hAnsi="宋体" w:eastAsia="宋体" w:cs="宋体"/>
          <w:color w:val="auto"/>
          <w:szCs w:val="21"/>
          <w:highlight w:val="none"/>
          <w:u w:val="single"/>
        </w:rPr>
        <w:t>（6）招标文件及其补充通知、答疑纪要</w:t>
      </w:r>
      <w:r>
        <w:rPr>
          <w:rFonts w:hint="eastAsia" w:ascii="宋体" w:hAnsi="宋体" w:cs="宋体"/>
          <w:color w:val="auto"/>
          <w:szCs w:val="21"/>
          <w:highlight w:val="none"/>
          <w:u w:val="single"/>
          <w:lang w:eastAsia="zh-CN"/>
        </w:rPr>
        <w:t>；</w:t>
      </w:r>
      <w:permEnd w:id="173"/>
    </w:p>
    <w:p w14:paraId="456DB27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74" w:edGrp="everyone"/>
      <w:r>
        <w:rPr>
          <w:rFonts w:hint="eastAsia" w:ascii="宋体" w:hAnsi="宋体" w:eastAsia="宋体" w:cs="宋体"/>
          <w:color w:val="auto"/>
          <w:szCs w:val="21"/>
          <w:highlight w:val="none"/>
          <w:u w:val="single"/>
        </w:rPr>
        <w:t>（7）施工现场情况、工程特点及常规施工方案</w:t>
      </w:r>
      <w:r>
        <w:rPr>
          <w:rFonts w:hint="eastAsia" w:ascii="宋体" w:hAnsi="宋体" w:cs="宋体"/>
          <w:color w:val="auto"/>
          <w:szCs w:val="21"/>
          <w:highlight w:val="none"/>
          <w:u w:val="single"/>
          <w:lang w:eastAsia="zh-CN"/>
        </w:rPr>
        <w:t>；</w:t>
      </w:r>
      <w:permEnd w:id="174"/>
    </w:p>
    <w:p w14:paraId="2B42409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75" w:edGrp="everyone"/>
      <w:r>
        <w:rPr>
          <w:rFonts w:hint="eastAsia" w:ascii="宋体" w:hAnsi="宋体" w:eastAsia="宋体" w:cs="宋体"/>
          <w:color w:val="auto"/>
          <w:szCs w:val="21"/>
          <w:highlight w:val="none"/>
          <w:u w:val="single"/>
        </w:rPr>
        <w:t xml:space="preserve">（8）其他依据：     </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eastAsia="zh-CN"/>
        </w:rPr>
        <w:t>。</w:t>
      </w:r>
      <w:permEnd w:id="175"/>
    </w:p>
    <w:p w14:paraId="36E69A0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 本工程量清单应与招标文件中投标人须知、合同条款、技术标准和要求、图纸及有关工程量清单</w:t>
      </w:r>
      <w:r>
        <w:rPr>
          <w:rFonts w:hint="eastAsia" w:ascii="宋体" w:hAnsi="宋体" w:cs="宋体"/>
          <w:color w:val="auto"/>
          <w:szCs w:val="21"/>
          <w:highlight w:val="none"/>
          <w:lang w:eastAsia="zh-CN"/>
        </w:rPr>
        <w:t>计价标准</w:t>
      </w:r>
      <w:r>
        <w:rPr>
          <w:rFonts w:hint="eastAsia" w:ascii="宋体" w:hAnsi="宋体" w:eastAsia="宋体" w:cs="宋体"/>
          <w:color w:val="auto"/>
          <w:szCs w:val="21"/>
          <w:highlight w:val="none"/>
        </w:rPr>
        <w:t>、工程量</w:t>
      </w:r>
      <w:r>
        <w:rPr>
          <w:rFonts w:hint="eastAsia" w:ascii="宋体" w:hAnsi="宋体" w:cs="宋体"/>
          <w:color w:val="auto"/>
          <w:szCs w:val="21"/>
          <w:highlight w:val="none"/>
          <w:lang w:eastAsia="zh-CN"/>
        </w:rPr>
        <w:t>计算标准</w:t>
      </w:r>
      <w:r>
        <w:rPr>
          <w:rFonts w:hint="eastAsia" w:ascii="宋体" w:hAnsi="宋体" w:eastAsia="宋体" w:cs="宋体"/>
          <w:color w:val="auto"/>
          <w:szCs w:val="21"/>
          <w:highlight w:val="none"/>
        </w:rPr>
        <w:t>的国家标准等一起阅读和理解。</w:t>
      </w:r>
    </w:p>
    <w:p w14:paraId="27205E2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2.4 本工程量清单标明的工程量是投标报价的共同基础。实际工程计量和工程价款的支付应遵循合同条款的约定和第七章“技术标准和要求”的有关规定。</w:t>
      </w:r>
    </w:p>
    <w:p w14:paraId="2B86426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2.5 补充的工程量清单已按有关工程量清单</w:t>
      </w:r>
      <w:r>
        <w:rPr>
          <w:rFonts w:hint="eastAsia" w:ascii="宋体" w:hAnsi="宋体" w:cs="宋体"/>
          <w:color w:val="auto"/>
          <w:szCs w:val="21"/>
          <w:highlight w:val="none"/>
          <w:lang w:eastAsia="zh-CN"/>
        </w:rPr>
        <w:t>计价标准</w:t>
      </w:r>
      <w:r>
        <w:rPr>
          <w:rFonts w:hint="eastAsia" w:ascii="宋体" w:hAnsi="宋体" w:eastAsia="宋体" w:cs="宋体"/>
          <w:color w:val="auto"/>
          <w:szCs w:val="21"/>
          <w:highlight w:val="none"/>
        </w:rPr>
        <w:t>、工程量</w:t>
      </w:r>
      <w:r>
        <w:rPr>
          <w:rFonts w:hint="eastAsia" w:ascii="宋体" w:hAnsi="宋体" w:cs="宋体"/>
          <w:color w:val="auto"/>
          <w:szCs w:val="21"/>
          <w:highlight w:val="none"/>
          <w:lang w:eastAsia="zh-CN"/>
        </w:rPr>
        <w:t>计算标准</w:t>
      </w:r>
      <w:r>
        <w:rPr>
          <w:rFonts w:hint="eastAsia" w:ascii="宋体" w:hAnsi="宋体" w:eastAsia="宋体" w:cs="宋体"/>
          <w:color w:val="auto"/>
          <w:szCs w:val="21"/>
          <w:highlight w:val="none"/>
        </w:rPr>
        <w:t>的国家标准的要求编制。其项目编码、项目名称、项目特征、计量单位、工程量计算规则、工程内容的说明如下：</w:t>
      </w:r>
      <w:permStart w:id="176"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permEnd w:id="176"/>
    </w:p>
    <w:p w14:paraId="544A398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2.6</w:t>
      </w:r>
      <w:r>
        <w:rPr>
          <w:rFonts w:hint="eastAsia" w:ascii="宋体" w:hAnsi="宋体" w:cs="宋体"/>
          <w:color w:val="auto"/>
          <w:szCs w:val="21"/>
          <w:highlight w:val="none"/>
          <w:lang w:val="en-US" w:eastAsia="zh-CN"/>
        </w:rPr>
        <w:t xml:space="preserve"> </w:t>
      </w:r>
      <w:r>
        <w:rPr>
          <w:rFonts w:hint="eastAsia" w:ascii="宋体" w:hAnsi="宋体"/>
          <w:color w:val="auto"/>
          <w:szCs w:val="21"/>
          <w:highlight w:val="none"/>
          <w:lang w:eastAsia="zh-CN"/>
        </w:rPr>
        <w:t>分部分项工程项目清单</w:t>
      </w:r>
      <w:r>
        <w:rPr>
          <w:rFonts w:hint="eastAsia" w:ascii="宋体" w:hAnsi="宋体" w:eastAsia="宋体" w:cs="宋体"/>
          <w:color w:val="auto"/>
          <w:szCs w:val="21"/>
          <w:highlight w:val="none"/>
        </w:rPr>
        <w:t>（包括可采用</w:t>
      </w:r>
      <w:r>
        <w:rPr>
          <w:rFonts w:hint="eastAsia" w:ascii="宋体" w:hAnsi="宋体"/>
          <w:color w:val="auto"/>
          <w:szCs w:val="21"/>
          <w:highlight w:val="none"/>
          <w:lang w:eastAsia="zh-CN"/>
        </w:rPr>
        <w:t>分部分项工程项目清单</w:t>
      </w:r>
      <w:r>
        <w:rPr>
          <w:rFonts w:hint="eastAsia" w:ascii="宋体" w:hAnsi="宋体" w:eastAsia="宋体" w:cs="宋体"/>
          <w:color w:val="auto"/>
          <w:szCs w:val="21"/>
          <w:highlight w:val="none"/>
        </w:rPr>
        <w:t>方式编制的措施项目）已公布项目编码、项目名称、项目特征、计量单位、工程量。（公布的项目特征为项目的主要特征或工作内容，次要的特征或工作内容虽未具体说明，但均已考虑在内）</w:t>
      </w:r>
    </w:p>
    <w:p w14:paraId="5911173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2.7 暂列金额的数量及有关说明：</w:t>
      </w:r>
      <w:permStart w:id="177"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permEnd w:id="177"/>
    </w:p>
    <w:p w14:paraId="3C4962E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 xml:space="preserve"> 暂估价的内容、数量及有关说明：</w:t>
      </w:r>
      <w:permStart w:id="178"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permEnd w:id="178"/>
    </w:p>
    <w:p w14:paraId="5AD179A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 xml:space="preserve"> 其他需要说明的事项：</w:t>
      </w:r>
      <w:permStart w:id="179" w:edGrp="everyone"/>
      <w:r>
        <w:rPr>
          <w:rFonts w:hint="eastAsia" w:ascii="宋体" w:hAnsi="宋体" w:eastAsia="宋体" w:cs="宋体"/>
          <w:color w:val="auto"/>
          <w:szCs w:val="21"/>
          <w:highlight w:val="none"/>
          <w:u w:val="single"/>
        </w:rPr>
        <w:t xml:space="preserve">   （工程量清单编制说明中重要的内容可在此说明）                 </w:t>
      </w:r>
      <w:permEnd w:id="179"/>
    </w:p>
    <w:p w14:paraId="3ED40C7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Cs w:val="21"/>
          <w:highlight w:val="none"/>
        </w:rPr>
      </w:pPr>
      <w:bookmarkStart w:id="2451" w:name="_Toc1439835047_WPSOffice_Level2"/>
      <w:r>
        <w:rPr>
          <w:rFonts w:hint="eastAsia" w:ascii="宋体" w:hAnsi="宋体" w:eastAsia="宋体" w:cs="宋体"/>
          <w:b/>
          <w:color w:val="auto"/>
          <w:szCs w:val="21"/>
          <w:highlight w:val="none"/>
        </w:rPr>
        <w:t>3</w:t>
      </w:r>
      <w:r>
        <w:rPr>
          <w:rFonts w:hint="eastAsia" w:ascii="宋体" w:hAnsi="宋体" w:eastAsia="宋体" w:cs="宋体"/>
          <w:b/>
          <w:color w:val="auto"/>
          <w:szCs w:val="21"/>
          <w:highlight w:val="none"/>
          <w:lang w:val="en-US" w:eastAsia="zh-CN"/>
        </w:rPr>
        <w:t xml:space="preserve">. </w:t>
      </w:r>
      <w:r>
        <w:rPr>
          <w:rFonts w:hint="eastAsia" w:ascii="宋体" w:hAnsi="宋体" w:cs="宋体"/>
          <w:b/>
          <w:color w:val="auto"/>
          <w:szCs w:val="21"/>
          <w:highlight w:val="none"/>
          <w:lang w:eastAsia="zh-CN"/>
        </w:rPr>
        <w:t>最高投标限价</w:t>
      </w:r>
      <w:r>
        <w:rPr>
          <w:rFonts w:hint="eastAsia" w:ascii="宋体" w:hAnsi="宋体" w:eastAsia="宋体" w:cs="宋体"/>
          <w:b/>
          <w:color w:val="auto"/>
          <w:szCs w:val="21"/>
          <w:highlight w:val="none"/>
        </w:rPr>
        <w:t>说明</w:t>
      </w:r>
      <w:bookmarkEnd w:id="2451"/>
    </w:p>
    <w:p w14:paraId="1C545C2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r>
        <w:rPr>
          <w:rFonts w:hint="eastAsia" w:ascii="宋体" w:hAnsi="宋体"/>
          <w:color w:val="auto"/>
          <w:szCs w:val="21"/>
          <w:highlight w:val="none"/>
          <w:lang w:eastAsia="zh-CN"/>
        </w:rPr>
        <w:t>最高投标限价</w:t>
      </w:r>
      <w:r>
        <w:rPr>
          <w:rFonts w:hint="eastAsia" w:ascii="宋体" w:hAnsi="宋体" w:eastAsia="宋体" w:cs="宋体"/>
          <w:color w:val="auto"/>
          <w:szCs w:val="21"/>
          <w:highlight w:val="none"/>
        </w:rPr>
        <w:t>由</w:t>
      </w:r>
      <w:permStart w:id="180" w:edGrp="everyone"/>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u w:val="single"/>
        </w:rPr>
        <w:t xml:space="preserve">广东旋凌工程管理咨询有限公司 </w:t>
      </w:r>
      <w:permEnd w:id="180"/>
      <w:r>
        <w:rPr>
          <w:rFonts w:hint="eastAsia" w:ascii="宋体" w:hAnsi="宋体" w:eastAsia="宋体" w:cs="宋体"/>
          <w:color w:val="auto"/>
          <w:szCs w:val="21"/>
          <w:highlight w:val="none"/>
        </w:rPr>
        <w:t>编制。</w:t>
      </w:r>
    </w:p>
    <w:p w14:paraId="5AD00BE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w:t>
      </w:r>
      <w:r>
        <w:rPr>
          <w:rFonts w:hint="eastAsia" w:ascii="宋体" w:hAnsi="宋体"/>
          <w:color w:val="auto"/>
          <w:szCs w:val="21"/>
          <w:highlight w:val="none"/>
          <w:lang w:eastAsia="zh-CN"/>
        </w:rPr>
        <w:t>最高投标限价</w:t>
      </w:r>
      <w:r>
        <w:rPr>
          <w:rFonts w:hint="eastAsia" w:ascii="宋体" w:hAnsi="宋体" w:eastAsia="宋体" w:cs="宋体"/>
          <w:color w:val="auto"/>
          <w:szCs w:val="21"/>
          <w:highlight w:val="none"/>
        </w:rPr>
        <w:t>主要编制依据包括但不限于下列内容：</w:t>
      </w:r>
    </w:p>
    <w:p w14:paraId="147EE84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81" w:edGrp="everyone"/>
      <w:r>
        <w:rPr>
          <w:rFonts w:hint="eastAsia" w:ascii="宋体" w:hAnsi="宋体" w:eastAsia="宋体" w:cs="宋体"/>
          <w:color w:val="auto"/>
          <w:szCs w:val="21"/>
          <w:highlight w:val="none"/>
          <w:u w:val="single"/>
        </w:rPr>
        <w:t>（1）、有关工程量清单</w:t>
      </w:r>
      <w:r>
        <w:rPr>
          <w:rFonts w:hint="eastAsia" w:ascii="宋体" w:hAnsi="宋体" w:cs="宋体"/>
          <w:color w:val="auto"/>
          <w:szCs w:val="21"/>
          <w:highlight w:val="none"/>
          <w:u w:val="single"/>
          <w:lang w:eastAsia="zh-CN"/>
        </w:rPr>
        <w:t>计价标准</w:t>
      </w:r>
      <w:r>
        <w:rPr>
          <w:rFonts w:hint="eastAsia" w:ascii="宋体" w:hAnsi="宋体" w:eastAsia="宋体" w:cs="宋体"/>
          <w:color w:val="auto"/>
          <w:szCs w:val="21"/>
          <w:highlight w:val="none"/>
          <w:u w:val="single"/>
        </w:rPr>
        <w:t>、工程量</w:t>
      </w:r>
      <w:r>
        <w:rPr>
          <w:rFonts w:hint="eastAsia" w:ascii="宋体" w:hAnsi="宋体" w:cs="宋体"/>
          <w:color w:val="auto"/>
          <w:szCs w:val="21"/>
          <w:highlight w:val="none"/>
          <w:u w:val="single"/>
          <w:lang w:eastAsia="zh-CN"/>
        </w:rPr>
        <w:t>计算标准</w:t>
      </w:r>
      <w:r>
        <w:rPr>
          <w:rFonts w:hint="eastAsia" w:ascii="宋体" w:hAnsi="宋体" w:eastAsia="宋体" w:cs="宋体"/>
          <w:color w:val="auto"/>
          <w:szCs w:val="21"/>
          <w:highlight w:val="none"/>
          <w:u w:val="single"/>
        </w:rPr>
        <w:t>的国家标准</w:t>
      </w:r>
      <w:r>
        <w:rPr>
          <w:rFonts w:hint="eastAsia" w:ascii="宋体" w:hAnsi="宋体" w:cs="宋体"/>
          <w:color w:val="auto"/>
          <w:szCs w:val="21"/>
          <w:highlight w:val="none"/>
          <w:u w:val="single"/>
          <w:lang w:eastAsia="zh-CN"/>
        </w:rPr>
        <w:t>；</w:t>
      </w:r>
      <w:permEnd w:id="181"/>
    </w:p>
    <w:p w14:paraId="38F1400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82" w:edGrp="everyone"/>
      <w:r>
        <w:rPr>
          <w:rFonts w:hint="eastAsia" w:ascii="宋体" w:hAnsi="宋体" w:eastAsia="宋体" w:cs="宋体"/>
          <w:color w:val="auto"/>
          <w:szCs w:val="21"/>
          <w:highlight w:val="none"/>
          <w:u w:val="single"/>
        </w:rPr>
        <w:t>（2）、《建筑工程建筑面积计算规范》（GB/T50353-20</w:t>
      </w:r>
      <w:r>
        <w:rPr>
          <w:rFonts w:hint="eastAsia" w:ascii="宋体" w:hAnsi="宋体" w:eastAsia="宋体" w:cs="宋体"/>
          <w:color w:val="auto"/>
          <w:szCs w:val="21"/>
          <w:highlight w:val="none"/>
          <w:u w:val="single"/>
          <w:lang w:val="en-US" w:eastAsia="zh-CN"/>
        </w:rPr>
        <w:t>13</w:t>
      </w:r>
      <w:r>
        <w:rPr>
          <w:rFonts w:hint="eastAsia" w:ascii="宋体" w:hAnsi="宋体" w:eastAsia="宋体" w:cs="宋体"/>
          <w:color w:val="auto"/>
          <w:szCs w:val="21"/>
          <w:highlight w:val="none"/>
          <w:u w:val="single"/>
        </w:rPr>
        <w:t>）</w:t>
      </w:r>
      <w:r>
        <w:rPr>
          <w:rFonts w:hint="eastAsia" w:ascii="宋体" w:hAnsi="宋体" w:cs="宋体"/>
          <w:color w:val="auto"/>
          <w:szCs w:val="21"/>
          <w:highlight w:val="none"/>
          <w:u w:val="single"/>
          <w:lang w:eastAsia="zh-CN"/>
        </w:rPr>
        <w:t>；</w:t>
      </w:r>
      <w:permEnd w:id="182"/>
    </w:p>
    <w:p w14:paraId="72631BAF">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83" w:edGrp="everyone"/>
      <w:r>
        <w:rPr>
          <w:rFonts w:hint="eastAsia" w:ascii="宋体" w:hAnsi="宋体" w:eastAsia="宋体" w:cs="宋体"/>
          <w:color w:val="auto"/>
          <w:szCs w:val="21"/>
          <w:highlight w:val="none"/>
          <w:u w:val="single"/>
        </w:rPr>
        <w:t>（3）、招标文件（含工程量清单）及有关要求</w:t>
      </w:r>
      <w:r>
        <w:rPr>
          <w:rFonts w:hint="eastAsia" w:ascii="宋体" w:hAnsi="宋体" w:cs="宋体"/>
          <w:color w:val="auto"/>
          <w:szCs w:val="21"/>
          <w:highlight w:val="none"/>
          <w:u w:val="single"/>
          <w:lang w:eastAsia="zh-CN"/>
        </w:rPr>
        <w:t>；</w:t>
      </w:r>
      <w:permEnd w:id="183"/>
    </w:p>
    <w:p w14:paraId="0D43B38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84" w:edGrp="everyone"/>
      <w:r>
        <w:rPr>
          <w:rFonts w:hint="eastAsia" w:ascii="宋体" w:hAnsi="宋体" w:eastAsia="宋体" w:cs="宋体"/>
          <w:color w:val="auto"/>
          <w:szCs w:val="21"/>
          <w:highlight w:val="none"/>
          <w:u w:val="single"/>
        </w:rPr>
        <w:t>（4）、广东省建设工程计价规程、计价依据及有关计价规定</w:t>
      </w:r>
      <w:r>
        <w:rPr>
          <w:rFonts w:hint="eastAsia" w:ascii="宋体" w:hAnsi="宋体" w:cs="宋体"/>
          <w:color w:val="auto"/>
          <w:szCs w:val="21"/>
          <w:highlight w:val="none"/>
          <w:u w:val="single"/>
          <w:lang w:eastAsia="zh-CN"/>
        </w:rPr>
        <w:t>；</w:t>
      </w:r>
      <w:permEnd w:id="184"/>
    </w:p>
    <w:p w14:paraId="5EFFF16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rPr>
      </w:pPr>
      <w:permStart w:id="185" w:edGrp="everyone"/>
      <w:r>
        <w:rPr>
          <w:rFonts w:hint="eastAsia" w:ascii="宋体" w:hAnsi="宋体" w:eastAsia="宋体" w:cs="宋体"/>
          <w:color w:val="auto"/>
          <w:szCs w:val="21"/>
          <w:highlight w:val="none"/>
          <w:u w:val="single"/>
        </w:rPr>
        <w:t>（5）、建设工程施工设计文件</w:t>
      </w:r>
      <w:permEnd w:id="185"/>
    </w:p>
    <w:p w14:paraId="24BEA00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86" w:edGrp="everyone"/>
      <w:r>
        <w:rPr>
          <w:rFonts w:hint="eastAsia" w:ascii="宋体" w:hAnsi="宋体" w:eastAsia="宋体" w:cs="宋体"/>
          <w:color w:val="auto"/>
          <w:szCs w:val="21"/>
          <w:highlight w:val="none"/>
          <w:u w:val="single"/>
        </w:rPr>
        <w:t>（6）、与建设工程项目有关的标准、规范、技术资料</w:t>
      </w:r>
      <w:r>
        <w:rPr>
          <w:rFonts w:hint="eastAsia" w:ascii="宋体" w:hAnsi="宋体" w:cs="宋体"/>
          <w:color w:val="auto"/>
          <w:szCs w:val="21"/>
          <w:highlight w:val="none"/>
          <w:u w:val="single"/>
          <w:lang w:eastAsia="zh-CN"/>
        </w:rPr>
        <w:t>；</w:t>
      </w:r>
      <w:permEnd w:id="186"/>
    </w:p>
    <w:p w14:paraId="6AF8738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87" w:edGrp="everyone"/>
      <w:r>
        <w:rPr>
          <w:rFonts w:hint="eastAsia" w:ascii="宋体" w:hAnsi="宋体" w:eastAsia="宋体" w:cs="宋体"/>
          <w:color w:val="auto"/>
          <w:szCs w:val="21"/>
          <w:highlight w:val="none"/>
          <w:u w:val="single"/>
        </w:rPr>
        <w:t>（7）、工程造价管理机构发布的工程造价信息；工程造价信息没有的，参考市场价。或招标人能提供可信、有依据的材料单价</w:t>
      </w:r>
      <w:r>
        <w:rPr>
          <w:rFonts w:hint="eastAsia" w:ascii="宋体" w:hAnsi="宋体" w:cs="宋体"/>
          <w:color w:val="auto"/>
          <w:szCs w:val="21"/>
          <w:highlight w:val="none"/>
          <w:u w:val="single"/>
          <w:lang w:eastAsia="zh-CN"/>
        </w:rPr>
        <w:t>；</w:t>
      </w:r>
      <w:permEnd w:id="187"/>
    </w:p>
    <w:p w14:paraId="3434EF7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88" w:edGrp="everyone"/>
      <w:r>
        <w:rPr>
          <w:rFonts w:hint="eastAsia" w:ascii="宋体" w:hAnsi="宋体" w:eastAsia="宋体" w:cs="宋体"/>
          <w:color w:val="auto"/>
          <w:szCs w:val="21"/>
          <w:highlight w:val="none"/>
          <w:u w:val="single"/>
        </w:rPr>
        <w:t>（8）、施工现场情况、工程特点及常规施工方案</w:t>
      </w:r>
      <w:r>
        <w:rPr>
          <w:rFonts w:hint="eastAsia" w:ascii="宋体" w:hAnsi="宋体" w:cs="宋体"/>
          <w:color w:val="auto"/>
          <w:szCs w:val="21"/>
          <w:highlight w:val="none"/>
          <w:u w:val="single"/>
          <w:lang w:eastAsia="zh-CN"/>
        </w:rPr>
        <w:t>；</w:t>
      </w:r>
      <w:permEnd w:id="188"/>
    </w:p>
    <w:p w14:paraId="200F067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u w:val="single"/>
          <w:lang w:eastAsia="zh-CN"/>
        </w:rPr>
      </w:pPr>
      <w:permStart w:id="189" w:edGrp="everyone"/>
      <w:r>
        <w:rPr>
          <w:rFonts w:hint="eastAsia" w:ascii="宋体" w:hAnsi="宋体" w:eastAsia="宋体" w:cs="宋体"/>
          <w:color w:val="auto"/>
          <w:szCs w:val="21"/>
          <w:highlight w:val="none"/>
          <w:u w:val="single"/>
        </w:rPr>
        <w:t xml:space="preserve">（9）、其他依据：  </w:t>
      </w:r>
      <w:r>
        <w:rPr>
          <w:rFonts w:hint="eastAsia" w:ascii="宋体" w:hAnsi="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eastAsia="zh-CN"/>
        </w:rPr>
        <w:t>。</w:t>
      </w:r>
      <w:permEnd w:id="189"/>
    </w:p>
    <w:p w14:paraId="18A5334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3.3 </w:t>
      </w:r>
      <w:r>
        <w:rPr>
          <w:rFonts w:hint="eastAsia" w:ascii="宋体" w:hAnsi="宋体"/>
          <w:color w:val="auto"/>
          <w:szCs w:val="21"/>
          <w:highlight w:val="none"/>
          <w:lang w:eastAsia="zh-CN"/>
        </w:rPr>
        <w:t>最高投标限价</w:t>
      </w:r>
      <w:r>
        <w:rPr>
          <w:rFonts w:hint="eastAsia" w:ascii="宋体" w:hAnsi="宋体" w:eastAsia="宋体" w:cs="宋体"/>
          <w:color w:val="auto"/>
          <w:szCs w:val="21"/>
          <w:highlight w:val="none"/>
        </w:rPr>
        <w:t>应单独公布</w:t>
      </w:r>
      <w:r>
        <w:rPr>
          <w:rFonts w:hint="eastAsia" w:ascii="宋体" w:hAnsi="宋体" w:cs="宋体"/>
          <w:color w:val="auto"/>
          <w:szCs w:val="21"/>
          <w:highlight w:val="none"/>
          <w:lang w:eastAsia="zh-CN"/>
        </w:rPr>
        <w:t>安全生产措施费</w:t>
      </w:r>
      <w:r>
        <w:rPr>
          <w:rFonts w:hint="eastAsia" w:ascii="宋体" w:hAnsi="宋体" w:eastAsia="宋体" w:cs="宋体"/>
          <w:color w:val="auto"/>
          <w:szCs w:val="21"/>
          <w:highlight w:val="none"/>
        </w:rPr>
        <w:t>用。</w:t>
      </w:r>
    </w:p>
    <w:p w14:paraId="5F0CD1DF">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其他需要说明的事项：</w:t>
      </w:r>
      <w:permStart w:id="190" w:edGrp="everyone"/>
      <w:r>
        <w:rPr>
          <w:rFonts w:hint="eastAsia" w:ascii="宋体" w:hAnsi="宋体" w:eastAsia="宋体" w:cs="宋体"/>
          <w:color w:val="auto"/>
          <w:szCs w:val="21"/>
          <w:highlight w:val="none"/>
          <w:u w:val="single"/>
        </w:rPr>
        <w:t xml:space="preserve">   （</w:t>
      </w:r>
      <w:r>
        <w:rPr>
          <w:rFonts w:hint="eastAsia" w:ascii="宋体" w:hAnsi="宋体"/>
          <w:color w:val="auto"/>
          <w:szCs w:val="21"/>
          <w:highlight w:val="none"/>
          <w:u w:val="single"/>
          <w:lang w:eastAsia="zh-CN"/>
        </w:rPr>
        <w:t>最高投标限价</w:t>
      </w:r>
      <w:r>
        <w:rPr>
          <w:rFonts w:hint="eastAsia" w:ascii="宋体" w:hAnsi="宋体" w:eastAsia="宋体" w:cs="宋体"/>
          <w:color w:val="auto"/>
          <w:szCs w:val="21"/>
          <w:highlight w:val="none"/>
          <w:u w:val="single"/>
        </w:rPr>
        <w:t xml:space="preserve">编制说明中重要的内容可在此说明）                  </w:t>
      </w:r>
      <w:permEnd w:id="190"/>
    </w:p>
    <w:p w14:paraId="4112D74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Cs w:val="21"/>
          <w:highlight w:val="none"/>
        </w:rPr>
      </w:pPr>
      <w:bookmarkStart w:id="2452" w:name="_Toc97918511_WPSOffice_Level2"/>
      <w:r>
        <w:rPr>
          <w:rFonts w:hint="eastAsia" w:ascii="宋体" w:hAnsi="宋体" w:cs="宋体"/>
          <w:b/>
          <w:color w:val="auto"/>
          <w:szCs w:val="21"/>
          <w:highlight w:val="none"/>
          <w:lang w:val="en-US" w:eastAsia="zh-CN"/>
        </w:rPr>
        <w:t>4</w:t>
      </w:r>
      <w:r>
        <w:rPr>
          <w:rFonts w:hint="eastAsia" w:ascii="宋体" w:hAnsi="宋体" w:eastAsia="宋体" w:cs="宋体"/>
          <w:b/>
          <w:color w:val="auto"/>
          <w:szCs w:val="21"/>
          <w:highlight w:val="none"/>
          <w:lang w:val="en-US" w:eastAsia="zh-CN"/>
        </w:rPr>
        <w:t xml:space="preserve">. </w:t>
      </w:r>
      <w:r>
        <w:rPr>
          <w:rFonts w:hint="eastAsia" w:ascii="宋体" w:hAnsi="宋体" w:eastAsia="宋体" w:cs="宋体"/>
          <w:b/>
          <w:color w:val="auto"/>
          <w:szCs w:val="21"/>
          <w:highlight w:val="none"/>
        </w:rPr>
        <w:t>工程量清单投标报价说明</w:t>
      </w:r>
      <w:bookmarkEnd w:id="2452"/>
    </w:p>
    <w:p w14:paraId="5F68E06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 xml:space="preserve"> 每一个工程量清单须填入单价和合价，且只允许有一个报价。若没有填入单价和合价的，视为已包含在工程量清单的其他单价和合价中。</w:t>
      </w:r>
    </w:p>
    <w:p w14:paraId="6EF70E6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 xml:space="preserve"> </w:t>
      </w:r>
      <w:r>
        <w:rPr>
          <w:rFonts w:hint="eastAsia" w:ascii="宋体" w:hAnsi="宋体"/>
          <w:color w:val="auto"/>
          <w:szCs w:val="21"/>
          <w:highlight w:val="none"/>
          <w:lang w:eastAsia="zh-CN"/>
        </w:rPr>
        <w:t>分部分项工程项目清单</w:t>
      </w:r>
      <w:r>
        <w:rPr>
          <w:rFonts w:hint="eastAsia" w:ascii="宋体" w:hAnsi="宋体" w:eastAsia="宋体" w:cs="宋体"/>
          <w:color w:val="auto"/>
          <w:szCs w:val="21"/>
          <w:highlight w:val="none"/>
        </w:rPr>
        <w:t>、措施项目清单的单价或金额应包括所需的人工费、材料费、施工机具使用费和企业管理费与利润，以及招标文件和第四章“合同条款及格式”约定的风险内容及其范围（幅度）。</w:t>
      </w:r>
    </w:p>
    <w:p w14:paraId="5D3B273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安全生产措施费</w:t>
      </w:r>
      <w:r>
        <w:rPr>
          <w:rFonts w:hint="eastAsia" w:ascii="宋体" w:hAnsi="宋体" w:eastAsia="宋体" w:cs="宋体"/>
          <w:color w:val="auto"/>
          <w:szCs w:val="21"/>
          <w:highlight w:val="none"/>
        </w:rPr>
        <w:t>用应按国家或省、市建设主管部门的规定计价且不得低于招标人公布的</w:t>
      </w:r>
      <w:r>
        <w:rPr>
          <w:rFonts w:hint="eastAsia" w:ascii="宋体" w:hAnsi="宋体" w:cs="宋体"/>
          <w:color w:val="auto"/>
          <w:szCs w:val="21"/>
          <w:highlight w:val="none"/>
          <w:lang w:eastAsia="zh-CN"/>
        </w:rPr>
        <w:t>安全生产措施费</w:t>
      </w:r>
      <w:r>
        <w:rPr>
          <w:rFonts w:hint="eastAsia" w:ascii="宋体" w:hAnsi="宋体" w:eastAsia="宋体" w:cs="宋体"/>
          <w:color w:val="auto"/>
          <w:szCs w:val="21"/>
          <w:highlight w:val="none"/>
        </w:rPr>
        <w:t>用。</w:t>
      </w:r>
    </w:p>
    <w:p w14:paraId="50DE19BC">
      <w:pPr>
        <w:pStyle w:val="5"/>
        <w:rPr>
          <w:rFonts w:hint="default" w:eastAsia="宋体"/>
          <w:b w:val="0"/>
          <w:bCs w:val="0"/>
          <w:lang w:val="en-US" w:eastAsia="zh-CN"/>
        </w:rPr>
      </w:pPr>
      <w:r>
        <w:rPr>
          <w:rFonts w:hint="eastAsia" w:ascii="宋体" w:hAnsi="宋体" w:cs="宋体"/>
          <w:b w:val="0"/>
          <w:bCs w:val="0"/>
          <w:color w:val="auto"/>
          <w:szCs w:val="21"/>
          <w:highlight w:val="none"/>
          <w:lang w:val="en-US" w:eastAsia="zh-CN"/>
        </w:rPr>
        <w:t>4.4 暂列金额、专业工程暂估价、材料暂估价应按招标文件公布的相应金额填报。</w:t>
      </w:r>
    </w:p>
    <w:p w14:paraId="3D95B9D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 xml:space="preserve"> 增值税应按政府主管部门规定的增值税税率计算。</w:t>
      </w:r>
    </w:p>
    <w:p w14:paraId="5FF151A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Cs w:val="21"/>
          <w:highlight w:val="none"/>
        </w:rPr>
      </w:pPr>
      <w:bookmarkStart w:id="2453" w:name="_Toc1834365351_WPSOffice_Level2"/>
      <w:r>
        <w:rPr>
          <w:rFonts w:hint="eastAsia" w:ascii="宋体" w:hAnsi="宋体" w:cs="宋体"/>
          <w:b/>
          <w:color w:val="auto"/>
          <w:szCs w:val="21"/>
          <w:highlight w:val="none"/>
          <w:lang w:val="en-US" w:eastAsia="zh-CN"/>
        </w:rPr>
        <w:t>5</w:t>
      </w:r>
      <w:r>
        <w:rPr>
          <w:rFonts w:hint="eastAsia" w:ascii="宋体" w:hAnsi="宋体" w:eastAsia="宋体" w:cs="宋体"/>
          <w:b/>
          <w:color w:val="auto"/>
          <w:szCs w:val="21"/>
          <w:highlight w:val="none"/>
          <w:lang w:val="en-US" w:eastAsia="zh-CN"/>
        </w:rPr>
        <w:t xml:space="preserve">. </w:t>
      </w:r>
      <w:r>
        <w:rPr>
          <w:rFonts w:hint="eastAsia" w:ascii="宋体" w:hAnsi="宋体" w:eastAsia="宋体" w:cs="宋体"/>
          <w:b/>
          <w:color w:val="auto"/>
          <w:szCs w:val="21"/>
          <w:highlight w:val="none"/>
        </w:rPr>
        <w:t>其他说明</w:t>
      </w:r>
      <w:bookmarkEnd w:id="2453"/>
    </w:p>
    <w:p w14:paraId="2686728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.1 工程量清单计价表格组成及格式按有关工程量清单</w:t>
      </w:r>
      <w:r>
        <w:rPr>
          <w:rFonts w:hint="eastAsia" w:ascii="宋体" w:hAnsi="宋体" w:cs="宋体"/>
          <w:color w:val="auto"/>
          <w:szCs w:val="21"/>
          <w:highlight w:val="none"/>
          <w:lang w:eastAsia="zh-CN"/>
        </w:rPr>
        <w:t>计价标准</w:t>
      </w:r>
      <w:r>
        <w:rPr>
          <w:rFonts w:hint="eastAsia" w:ascii="宋体" w:hAnsi="宋体" w:eastAsia="宋体" w:cs="宋体"/>
          <w:color w:val="auto"/>
          <w:szCs w:val="21"/>
          <w:highlight w:val="none"/>
        </w:rPr>
        <w:t>、工程量</w:t>
      </w:r>
      <w:r>
        <w:rPr>
          <w:rFonts w:hint="eastAsia" w:ascii="宋体" w:hAnsi="宋体" w:cs="宋体"/>
          <w:color w:val="auto"/>
          <w:szCs w:val="21"/>
          <w:highlight w:val="none"/>
          <w:lang w:eastAsia="zh-CN"/>
        </w:rPr>
        <w:t>计算标准</w:t>
      </w:r>
      <w:r>
        <w:rPr>
          <w:rFonts w:hint="eastAsia" w:ascii="宋体" w:hAnsi="宋体" w:eastAsia="宋体" w:cs="宋体"/>
          <w:color w:val="auto"/>
          <w:szCs w:val="21"/>
          <w:highlight w:val="none"/>
        </w:rPr>
        <w:t>的国家标准的规定选用（须与招标文件同时发出）。</w:t>
      </w:r>
    </w:p>
    <w:p w14:paraId="20679B2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.2 若存在以下情况，按废标处理：</w:t>
      </w:r>
    </w:p>
    <w:p w14:paraId="4E4BAD4C">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（1）投标报价高于</w:t>
      </w:r>
      <w:r>
        <w:rPr>
          <w:rFonts w:hint="eastAsia" w:ascii="宋体" w:hAnsi="宋体"/>
          <w:color w:val="auto"/>
          <w:szCs w:val="21"/>
          <w:highlight w:val="none"/>
          <w:lang w:val="en-US" w:eastAsia="zh-CN"/>
        </w:rPr>
        <w:t>最高投标限价</w:t>
      </w:r>
      <w:r>
        <w:rPr>
          <w:rFonts w:hint="eastAsia" w:ascii="宋体" w:hAnsi="宋体" w:eastAsia="宋体" w:cs="宋体"/>
          <w:color w:val="auto"/>
          <w:szCs w:val="21"/>
          <w:highlight w:val="none"/>
        </w:rPr>
        <w:t>的</w:t>
      </w:r>
      <w:r>
        <w:rPr>
          <w:rFonts w:hint="eastAsia" w:ascii="宋体" w:hAnsi="宋体" w:cs="宋体"/>
          <w:color w:val="auto"/>
          <w:szCs w:val="21"/>
          <w:highlight w:val="none"/>
          <w:lang w:eastAsia="zh-CN"/>
        </w:rPr>
        <w:t>。</w:t>
      </w:r>
    </w:p>
    <w:p w14:paraId="7CAFB234">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（2）投标报价中</w:t>
      </w:r>
      <w:r>
        <w:rPr>
          <w:rFonts w:hint="eastAsia" w:ascii="宋体" w:hAnsi="宋体" w:cs="宋体"/>
          <w:color w:val="auto"/>
          <w:szCs w:val="21"/>
          <w:highlight w:val="none"/>
          <w:lang w:eastAsia="zh-CN"/>
        </w:rPr>
        <w:t>安全生产措施费</w:t>
      </w:r>
      <w:r>
        <w:rPr>
          <w:rFonts w:hint="eastAsia" w:ascii="宋体" w:hAnsi="宋体" w:eastAsia="宋体" w:cs="宋体"/>
          <w:color w:val="auto"/>
          <w:szCs w:val="21"/>
          <w:highlight w:val="none"/>
        </w:rPr>
        <w:t>用未按要求单列</w:t>
      </w:r>
      <w:r>
        <w:rPr>
          <w:rFonts w:hint="eastAsia" w:ascii="宋体" w:hAnsi="宋体" w:cs="宋体"/>
          <w:color w:val="auto"/>
          <w:szCs w:val="21"/>
          <w:highlight w:val="none"/>
          <w:lang w:eastAsia="zh-CN"/>
        </w:rPr>
        <w:t>或</w:t>
      </w:r>
      <w:r>
        <w:rPr>
          <w:rFonts w:hint="eastAsia" w:ascii="宋体" w:hAnsi="宋体" w:eastAsia="宋体" w:cs="宋体"/>
          <w:color w:val="auto"/>
          <w:szCs w:val="21"/>
          <w:highlight w:val="none"/>
        </w:rPr>
        <w:t>低于招标</w:t>
      </w:r>
      <w:r>
        <w:rPr>
          <w:rFonts w:hint="eastAsia" w:ascii="宋体" w:hAnsi="宋体" w:eastAsia="宋体" w:cs="宋体"/>
          <w:color w:val="auto"/>
          <w:szCs w:val="21"/>
          <w:highlight w:val="none"/>
          <w:lang w:eastAsia="zh-CN"/>
        </w:rPr>
        <w:t>文</w:t>
      </w:r>
      <w:r>
        <w:rPr>
          <w:rFonts w:hint="eastAsia" w:ascii="宋体" w:hAnsi="宋体" w:cs="宋体"/>
          <w:color w:val="auto"/>
          <w:szCs w:val="21"/>
          <w:highlight w:val="none"/>
          <w:lang w:eastAsia="zh-CN"/>
        </w:rPr>
        <w:t>件</w:t>
      </w:r>
      <w:r>
        <w:rPr>
          <w:rFonts w:hint="eastAsia" w:ascii="宋体" w:hAnsi="宋体" w:eastAsia="宋体" w:cs="宋体"/>
          <w:color w:val="auto"/>
          <w:szCs w:val="21"/>
          <w:highlight w:val="none"/>
        </w:rPr>
        <w:t>公布的</w:t>
      </w:r>
      <w:r>
        <w:rPr>
          <w:rFonts w:hint="eastAsia" w:ascii="宋体" w:hAnsi="宋体" w:eastAsia="宋体" w:cs="宋体"/>
          <w:color w:val="auto"/>
          <w:szCs w:val="21"/>
          <w:highlight w:val="none"/>
          <w:lang w:eastAsia="zh-CN"/>
        </w:rPr>
        <w:t>安全生产措施费</w:t>
      </w:r>
      <w:r>
        <w:rPr>
          <w:rFonts w:hint="eastAsia" w:ascii="宋体" w:hAnsi="宋体" w:eastAsia="宋体" w:cs="宋体"/>
          <w:color w:val="auto"/>
          <w:szCs w:val="21"/>
          <w:highlight w:val="none"/>
        </w:rPr>
        <w:t>用的</w:t>
      </w:r>
      <w:r>
        <w:rPr>
          <w:rFonts w:hint="eastAsia" w:ascii="宋体" w:hAnsi="宋体" w:eastAsia="宋体" w:cs="宋体"/>
          <w:color w:val="auto"/>
          <w:szCs w:val="21"/>
          <w:highlight w:val="none"/>
          <w:lang w:eastAsia="zh-CN"/>
        </w:rPr>
        <w:t>。</w:t>
      </w:r>
    </w:p>
    <w:p w14:paraId="4A0630F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3</w:t>
      </w:r>
      <w:r>
        <w:rPr>
          <w:rFonts w:hint="eastAsia" w:ascii="宋体" w:hAnsi="宋体"/>
          <w:color w:val="auto"/>
          <w:szCs w:val="21"/>
          <w:highlight w:val="none"/>
          <w:lang w:eastAsia="zh-CN"/>
        </w:rPr>
        <w:t>）</w:t>
      </w:r>
      <w:r>
        <w:rPr>
          <w:rFonts w:hint="eastAsia" w:ascii="宋体" w:hAnsi="宋体"/>
          <w:color w:val="auto"/>
          <w:szCs w:val="21"/>
          <w:highlight w:val="none"/>
        </w:rPr>
        <w:t>投标报价中的增值税不按规定计算的。</w:t>
      </w:r>
    </w:p>
    <w:p w14:paraId="2492F37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（4）暂列金额、材料暂估单价、专业工程暂估价未按招标文件公布的相应金额报价的。</w:t>
      </w:r>
    </w:p>
    <w:p w14:paraId="2ED56A1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lang w:eastAsia="zh-CN"/>
        </w:rPr>
        <w:t>）投标报价中的分部分项工程项目清单的项目编码、项目名称、项目特征、计量单位、工程量与招标人提供的不一致的。</w:t>
      </w:r>
    </w:p>
    <w:p w14:paraId="6CD8336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Cs w:val="21"/>
          <w:highlight w:val="none"/>
          <w:lang w:eastAsia="zh-CN"/>
        </w:rPr>
      </w:pPr>
    </w:p>
    <w:p w14:paraId="36697C9F">
      <w:pPr>
        <w:pStyle w:val="2"/>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highlight w:val="none"/>
        </w:rPr>
      </w:pPr>
      <w:r>
        <w:rPr>
          <w:rFonts w:hint="eastAsia" w:ascii="宋体" w:hAnsi="宋体" w:eastAsia="宋体" w:cs="宋体"/>
          <w:color w:val="auto"/>
          <w:highlight w:val="none"/>
        </w:rPr>
        <w:br w:type="page"/>
      </w:r>
      <w:bookmarkStart w:id="2454" w:name="_Toc1559424480"/>
      <w:bookmarkStart w:id="2455" w:name="_Toc1867136945"/>
      <w:bookmarkStart w:id="2456" w:name="_Toc1061181353"/>
      <w:bookmarkStart w:id="2457" w:name="_Toc508644795"/>
      <w:bookmarkStart w:id="2458" w:name="_Toc1931865725"/>
      <w:bookmarkStart w:id="2459" w:name="_Toc1675664839"/>
      <w:bookmarkStart w:id="2460" w:name="_Toc1018854717"/>
      <w:bookmarkStart w:id="2461" w:name="_Toc2100038295"/>
      <w:bookmarkStart w:id="2462" w:name="_Toc840957710"/>
      <w:bookmarkStart w:id="2463" w:name="_Toc1631117293"/>
      <w:bookmarkStart w:id="2464" w:name="_Toc1476126993"/>
      <w:bookmarkStart w:id="2465" w:name="_Toc26894"/>
      <w:bookmarkStart w:id="2466" w:name="_Toc1207609577"/>
      <w:bookmarkStart w:id="2467" w:name="_Toc41404671"/>
      <w:bookmarkStart w:id="2468" w:name="_Toc1861763894"/>
      <w:bookmarkStart w:id="2469" w:name="_Toc329442769"/>
      <w:bookmarkStart w:id="2470" w:name="_Toc1956343011"/>
      <w:bookmarkStart w:id="2471" w:name="_Toc2095351746"/>
      <w:bookmarkStart w:id="2472" w:name="_Toc1743018539"/>
      <w:bookmarkStart w:id="2473" w:name="_Toc1563414742"/>
      <w:bookmarkStart w:id="2474" w:name="_Toc1831178683"/>
      <w:bookmarkStart w:id="2475" w:name="_Toc1789431479"/>
      <w:bookmarkStart w:id="2476" w:name="_Toc1579693542"/>
      <w:bookmarkStart w:id="2477" w:name="_Toc681409565"/>
      <w:bookmarkStart w:id="2478" w:name="_Toc1628526896"/>
      <w:bookmarkStart w:id="2479" w:name="_Toc1790701186"/>
      <w:bookmarkStart w:id="2480" w:name="_Toc1833163083"/>
      <w:bookmarkStart w:id="2481" w:name="_Toc1029891133"/>
      <w:bookmarkStart w:id="2482" w:name="_Toc2032748063"/>
      <w:bookmarkStart w:id="2483" w:name="_Toc1443624708"/>
      <w:bookmarkStart w:id="2484" w:name="_Toc415262347_WPSOffice_Level1"/>
      <w:bookmarkStart w:id="2485" w:name="_Toc996438841"/>
      <w:bookmarkStart w:id="2486" w:name="_Toc1317633650"/>
      <w:bookmarkStart w:id="2487" w:name="_Toc26297"/>
      <w:bookmarkStart w:id="2488" w:name="_Toc895283731"/>
      <w:bookmarkStart w:id="2489" w:name="_Toc752100739"/>
      <w:bookmarkStart w:id="2490" w:name="_Toc6357"/>
      <w:bookmarkStart w:id="2491" w:name="_Toc188519534"/>
      <w:bookmarkStart w:id="2492" w:name="_Toc685499119"/>
      <w:r>
        <w:rPr>
          <w:rFonts w:hint="eastAsia" w:ascii="宋体" w:hAnsi="宋体" w:eastAsia="宋体" w:cs="宋体"/>
          <w:b/>
          <w:bCs/>
          <w:color w:val="auto"/>
          <w:highlight w:val="none"/>
        </w:rPr>
        <w:t>第六章 图纸</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p>
    <w:p w14:paraId="51E68064">
      <w:pPr>
        <w:spacing w:line="360" w:lineRule="auto"/>
        <w:rPr>
          <w:rFonts w:hint="eastAsia" w:ascii="宋体" w:hAnsi="宋体" w:eastAsia="宋体" w:cs="宋体"/>
          <w:color w:val="auto"/>
          <w:szCs w:val="21"/>
          <w:highlight w:val="none"/>
          <w:u w:val="single"/>
        </w:rPr>
      </w:pPr>
      <w:permStart w:id="191" w:edGrp="everyone"/>
      <w:r>
        <w:rPr>
          <w:rFonts w:hint="eastAsia" w:ascii="宋体" w:hAnsi="宋体" w:eastAsia="宋体" w:cs="宋体"/>
          <w:color w:val="auto"/>
          <w:szCs w:val="21"/>
          <w:highlight w:val="none"/>
          <w:u w:val="single"/>
        </w:rPr>
        <w:t xml:space="preserve"> </w:t>
      </w:r>
      <w:r>
        <w:rPr>
          <w:rFonts w:hint="eastAsia" w:ascii="宋体" w:hAnsi="宋体" w:eastAsia="宋体" w:cs="宋体"/>
          <w:sz w:val="21"/>
          <w:szCs w:val="21"/>
          <w:highlight w:val="none"/>
          <w:u w:val="single"/>
          <w:lang w:val="en-US" w:eastAsia="zh-CN"/>
        </w:rPr>
        <w:t>详见上传附件图纸，</w:t>
      </w:r>
      <w:r>
        <w:rPr>
          <w:rFonts w:hint="eastAsia" w:ascii="宋体" w:hAnsi="宋体" w:eastAsia="宋体" w:cs="宋体"/>
          <w:sz w:val="21"/>
          <w:szCs w:val="21"/>
          <w:highlight w:val="none"/>
          <w:u w:val="single"/>
        </w:rPr>
        <w:t>各投标人自行在中山市公共资源交易平台（公共服务系统）本项目附件进行下载。</w:t>
      </w:r>
    </w:p>
    <w:permEnd w:id="191"/>
    <w:p w14:paraId="307B30C1">
      <w:pPr>
        <w:pStyle w:val="2"/>
        <w:jc w:val="center"/>
        <w:rPr>
          <w:rFonts w:hint="eastAsia" w:ascii="宋体" w:hAnsi="宋体" w:eastAsia="宋体" w:cs="宋体"/>
          <w:color w:val="auto"/>
          <w:highlight w:val="none"/>
        </w:rPr>
      </w:pPr>
      <w:r>
        <w:rPr>
          <w:rFonts w:hint="eastAsia"/>
          <w:color w:val="auto"/>
          <w:highlight w:val="none"/>
        </w:rPr>
        <w:br w:type="page"/>
      </w:r>
      <w:bookmarkStart w:id="2493" w:name="_Toc1744852297"/>
      <w:bookmarkStart w:id="2494" w:name="_Toc155581918"/>
      <w:bookmarkStart w:id="2495" w:name="_Toc1254440983"/>
      <w:bookmarkStart w:id="2496" w:name="_Toc710915617"/>
      <w:bookmarkStart w:id="2497" w:name="_Toc394432113"/>
      <w:bookmarkStart w:id="2498" w:name="_Toc648607773"/>
      <w:bookmarkStart w:id="2499" w:name="_Toc1896418847"/>
      <w:bookmarkStart w:id="2500" w:name="_Toc3586"/>
      <w:bookmarkStart w:id="2501" w:name="_Toc1940905618_WPSOffice_Level1"/>
      <w:bookmarkStart w:id="2502" w:name="_Toc1955056982"/>
      <w:bookmarkStart w:id="2503" w:name="_Toc2027739215"/>
      <w:bookmarkStart w:id="2504" w:name="_Toc134496927"/>
      <w:bookmarkStart w:id="2505" w:name="_Toc1906477900"/>
      <w:bookmarkStart w:id="2506" w:name="_Toc1435948590"/>
      <w:bookmarkStart w:id="2507" w:name="_Toc18765"/>
      <w:bookmarkStart w:id="2508" w:name="_Toc184635134"/>
      <w:bookmarkStart w:id="2509" w:name="_Toc213758427"/>
      <w:bookmarkStart w:id="2510" w:name="_Toc1426066110"/>
      <w:bookmarkStart w:id="2511" w:name="_Toc798432030"/>
      <w:bookmarkStart w:id="2512" w:name="_Toc558400860"/>
      <w:bookmarkStart w:id="2513" w:name="_Toc657111681"/>
      <w:bookmarkStart w:id="2514" w:name="_Toc224100803"/>
      <w:bookmarkStart w:id="2515" w:name="_Toc1975946733"/>
      <w:bookmarkStart w:id="2516" w:name="_Toc35209646"/>
      <w:bookmarkStart w:id="2517" w:name="_Toc246151079"/>
      <w:bookmarkStart w:id="2518" w:name="_Toc165270854"/>
      <w:bookmarkStart w:id="2519" w:name="_Toc545276804"/>
      <w:bookmarkStart w:id="2520" w:name="_Toc1711345739"/>
      <w:bookmarkStart w:id="2521" w:name="_Toc41404672"/>
      <w:bookmarkStart w:id="2522" w:name="_Toc1378240032"/>
      <w:bookmarkStart w:id="2523" w:name="_Toc1473098794"/>
      <w:bookmarkStart w:id="2524" w:name="_Toc570939563"/>
      <w:bookmarkStart w:id="2525" w:name="_Toc127030861"/>
      <w:bookmarkStart w:id="2526" w:name="_Toc1283517924"/>
      <w:bookmarkStart w:id="2527" w:name="_Toc1270366226"/>
      <w:bookmarkStart w:id="2528" w:name="_Toc1612143115"/>
      <w:bookmarkStart w:id="2529" w:name="_Toc11803"/>
      <w:bookmarkStart w:id="2530" w:name="_Toc2030840267"/>
      <w:bookmarkStart w:id="2531" w:name="_Toc1234965453"/>
      <w:bookmarkStart w:id="2532" w:name="_Toc756025102"/>
      <w:r>
        <w:rPr>
          <w:rFonts w:hint="eastAsia" w:ascii="宋体" w:hAnsi="宋体" w:eastAsia="宋体" w:cs="宋体"/>
          <w:color w:val="auto"/>
          <w:highlight w:val="none"/>
        </w:rPr>
        <w:t>第七章 技术标准和要求</w:t>
      </w:r>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p>
    <w:p w14:paraId="67527203">
      <w:pPr>
        <w:spacing w:line="360" w:lineRule="auto"/>
        <w:jc w:val="left"/>
        <w:rPr>
          <w:rFonts w:hint="eastAsia" w:ascii="宋体" w:hAnsi="宋体" w:eastAsia="宋体" w:cs="宋体"/>
          <w:color w:val="auto"/>
          <w:sz w:val="32"/>
          <w:szCs w:val="32"/>
          <w:highlight w:val="none"/>
          <w:u w:val="none"/>
        </w:rPr>
      </w:pPr>
      <w:permStart w:id="192" w:edGrp="everyone"/>
      <w:r>
        <w:rPr>
          <w:rFonts w:hint="eastAsia" w:ascii="宋体" w:hAnsi="宋体" w:eastAsia="宋体" w:cs="宋体"/>
          <w:color w:val="auto"/>
          <w:sz w:val="21"/>
          <w:szCs w:val="21"/>
          <w:highlight w:val="none"/>
          <w:u w:val="none"/>
        </w:rPr>
        <w:t>（</w:t>
      </w:r>
      <w:r>
        <w:rPr>
          <w:rFonts w:hint="eastAsia" w:ascii="宋体" w:hAnsi="宋体" w:eastAsia="宋体" w:cs="Times New Roman"/>
          <w:color w:val="auto"/>
          <w:sz w:val="21"/>
          <w:szCs w:val="21"/>
          <w:highlight w:val="none"/>
          <w:u w:val="none"/>
        </w:rPr>
        <w:t>按设计图纸及国家、行业现行技术标准、规范</w:t>
      </w:r>
      <w:r>
        <w:rPr>
          <w:rFonts w:hint="eastAsia" w:ascii="宋体" w:hAnsi="宋体" w:eastAsia="宋体" w:cs="Times New Roman"/>
          <w:color w:val="auto"/>
          <w:sz w:val="21"/>
          <w:szCs w:val="21"/>
          <w:highlight w:val="none"/>
          <w:u w:val="none"/>
          <w:lang w:eastAsia="zh-CN"/>
        </w:rPr>
        <w:t>执行</w:t>
      </w:r>
      <w:r>
        <w:rPr>
          <w:rFonts w:hint="eastAsia" w:ascii="宋体" w:hAnsi="宋体" w:eastAsia="宋体" w:cs="Times New Roman"/>
          <w:color w:val="auto"/>
          <w:sz w:val="21"/>
          <w:szCs w:val="21"/>
          <w:highlight w:val="none"/>
          <w:u w:val="none"/>
        </w:rPr>
        <w:t>。招标人应在技术标准和要求中明确施工现场建筑垃圾源头减量的具体要求和建筑垃圾综合利用产品的使用要求。鼓励投标人采用环保产品</w:t>
      </w:r>
      <w:r>
        <w:rPr>
          <w:rFonts w:hint="eastAsia" w:ascii="宋体" w:hAnsi="宋体" w:eastAsia="宋体" w:cs="Times New Roman"/>
          <w:color w:val="auto"/>
          <w:sz w:val="21"/>
          <w:szCs w:val="21"/>
          <w:highlight w:val="none"/>
          <w:u w:val="none"/>
          <w:lang w:eastAsia="zh-CN"/>
        </w:rPr>
        <w:t>。</w:t>
      </w:r>
      <w:r>
        <w:rPr>
          <w:rFonts w:hint="eastAsia" w:ascii="宋体" w:hAnsi="宋体" w:eastAsia="宋体" w:cs="宋体"/>
          <w:color w:val="auto"/>
          <w:sz w:val="21"/>
          <w:szCs w:val="21"/>
          <w:highlight w:val="none"/>
          <w:u w:val="none"/>
        </w:rPr>
        <w:t>）</w:t>
      </w:r>
      <w:permEnd w:id="192"/>
    </w:p>
    <w:p w14:paraId="02C3F9A7">
      <w:pPr>
        <w:pStyle w:val="2"/>
        <w:jc w:val="center"/>
        <w:rPr>
          <w:rFonts w:hint="eastAsia" w:ascii="宋体" w:hAnsi="宋体" w:eastAsia="宋体" w:cs="宋体"/>
          <w:b/>
          <w:bCs/>
          <w:color w:val="auto"/>
          <w:highlight w:val="none"/>
        </w:rPr>
      </w:pPr>
      <w:bookmarkStart w:id="2533" w:name="_Toc191008977"/>
      <w:bookmarkStart w:id="2534" w:name="_Toc30788"/>
      <w:bookmarkStart w:id="2535" w:name="_Toc31787"/>
      <w:bookmarkStart w:id="2536" w:name="_Toc1190496812"/>
      <w:bookmarkStart w:id="2537" w:name="_Toc1717380706"/>
      <w:bookmarkStart w:id="2538" w:name="_Toc1437677665_WPSOffice_Level1"/>
      <w:bookmarkStart w:id="2539" w:name="_Toc1714019616"/>
      <w:bookmarkStart w:id="2540" w:name="_Toc187"/>
      <w:bookmarkStart w:id="2541" w:name="_Toc10057529"/>
      <w:bookmarkStart w:id="2542" w:name="_Toc1020959150"/>
      <w:bookmarkStart w:id="2543" w:name="_Toc2591756"/>
      <w:bookmarkStart w:id="2544" w:name="_Toc1883888189"/>
      <w:bookmarkStart w:id="2545" w:name="_Toc1958463088"/>
      <w:bookmarkStart w:id="2546" w:name="_Toc1381154867"/>
      <w:bookmarkStart w:id="2547" w:name="_Toc1134882795"/>
      <w:bookmarkStart w:id="2548" w:name="_Toc1803424573"/>
      <w:bookmarkStart w:id="2549" w:name="_Toc609442872"/>
      <w:bookmarkStart w:id="2550" w:name="_Toc1174719961"/>
      <w:bookmarkStart w:id="2551" w:name="_Toc18855"/>
      <w:bookmarkStart w:id="2552" w:name="_Toc258932088"/>
      <w:bookmarkStart w:id="2553" w:name="_Toc2069"/>
      <w:bookmarkStart w:id="2554" w:name="_Toc1875494838"/>
      <w:bookmarkStart w:id="2555" w:name="_Toc1092966715"/>
      <w:bookmarkStart w:id="2556" w:name="_Toc28783"/>
      <w:bookmarkStart w:id="2557" w:name="_Toc614678579"/>
      <w:bookmarkStart w:id="2558" w:name="_Toc291434855"/>
      <w:bookmarkStart w:id="2559" w:name="_Toc217984034"/>
      <w:bookmarkStart w:id="2560" w:name="_Toc1743012581"/>
      <w:bookmarkStart w:id="2561" w:name="_Toc1459664162"/>
      <w:bookmarkStart w:id="2562" w:name="_Toc1701953840"/>
      <w:bookmarkStart w:id="2563" w:name="_Toc1771824128"/>
      <w:bookmarkStart w:id="2564" w:name="_Toc226562048"/>
      <w:bookmarkStart w:id="2565" w:name="_Toc1143385240"/>
      <w:bookmarkStart w:id="2566" w:name="_Toc837306511"/>
      <w:bookmarkStart w:id="2567" w:name="_Toc231403775"/>
      <w:r>
        <w:rPr>
          <w:rFonts w:hint="eastAsia" w:ascii="宋体" w:hAnsi="宋体" w:eastAsia="宋体" w:cs="宋体"/>
          <w:b/>
          <w:bCs/>
          <w:color w:val="auto"/>
          <w:highlight w:val="none"/>
          <w:lang w:val="en-US" w:eastAsia="zh-CN"/>
        </w:rPr>
        <w:br w:type="page"/>
      </w:r>
      <w:bookmarkStart w:id="2568" w:name="_Toc212874874"/>
      <w:bookmarkStart w:id="2569" w:name="_Toc16060"/>
      <w:bookmarkStart w:id="2570" w:name="_Toc1053679903"/>
      <w:bookmarkStart w:id="2571" w:name="_Toc441912090"/>
      <w:bookmarkStart w:id="2572" w:name="_Toc1826005152"/>
      <w:bookmarkStart w:id="2573" w:name="_Toc1970767794"/>
      <w:bookmarkStart w:id="2574" w:name="_Toc1375743665"/>
      <w:bookmarkStart w:id="2575" w:name="_Toc347504893"/>
      <w:r>
        <w:rPr>
          <w:rFonts w:hint="eastAsia" w:ascii="宋体" w:hAnsi="宋体" w:eastAsia="宋体" w:cs="宋体"/>
          <w:b/>
          <w:bCs/>
          <w:color w:val="auto"/>
          <w:highlight w:val="none"/>
          <w:lang w:val="en-US" w:eastAsia="zh-CN"/>
        </w:rPr>
        <w:t xml:space="preserve">第八章 </w:t>
      </w:r>
      <w:r>
        <w:rPr>
          <w:rFonts w:hint="eastAsia" w:ascii="宋体" w:hAnsi="宋体" w:eastAsia="宋体" w:cs="宋体"/>
          <w:b/>
          <w:bCs/>
          <w:color w:val="auto"/>
          <w:highlight w:val="none"/>
        </w:rPr>
        <w:t>投标文件格式</w:t>
      </w:r>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p>
    <w:p w14:paraId="131BC29E">
      <w:pPr>
        <w:tabs>
          <w:tab w:val="left" w:pos="-951"/>
          <w:tab w:val="left" w:pos="4267"/>
          <w:tab w:val="left" w:pos="7925"/>
        </w:tabs>
        <w:adjustRightInd w:val="0"/>
        <w:snapToGrid w:val="0"/>
        <w:spacing w:line="360" w:lineRule="auto"/>
        <w:ind w:right="-6"/>
        <w:jc w:val="right"/>
        <w:rPr>
          <w:rFonts w:hint="eastAsia" w:ascii="宋体" w:hAnsi="宋体" w:eastAsia="宋体" w:cs="宋体"/>
          <w:color w:val="auto"/>
          <w:sz w:val="28"/>
          <w:szCs w:val="28"/>
          <w:highlight w:val="none"/>
        </w:rPr>
      </w:pPr>
      <w:r>
        <w:rPr>
          <w:rFonts w:hint="eastAsia" w:ascii="宋体" w:hAnsi="宋体" w:eastAsia="宋体" w:cs="宋体"/>
          <w:color w:val="auto"/>
          <w:szCs w:val="21"/>
          <w:highlight w:val="none"/>
        </w:rPr>
        <w:br w:type="page"/>
      </w:r>
    </w:p>
    <w:p w14:paraId="3C15C4A6">
      <w:pPr>
        <w:spacing w:line="360" w:lineRule="auto"/>
        <w:rPr>
          <w:rFonts w:hint="eastAsia" w:ascii="宋体" w:hAnsi="宋体" w:eastAsia="宋体" w:cs="宋体"/>
          <w:color w:val="auto"/>
          <w:szCs w:val="21"/>
          <w:highlight w:val="none"/>
        </w:rPr>
      </w:pPr>
    </w:p>
    <w:p w14:paraId="2D630B2A">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47BA48DB">
      <w:pPr>
        <w:pStyle w:val="10"/>
        <w:spacing w:line="360" w:lineRule="auto"/>
        <w:jc w:val="center"/>
        <w:rPr>
          <w:rFonts w:hint="eastAsia" w:ascii="宋体" w:hAnsi="宋体" w:eastAsia="宋体" w:cs="宋体"/>
          <w:color w:val="auto"/>
          <w:sz w:val="40"/>
          <w:szCs w:val="40"/>
          <w:highlight w:val="none"/>
          <w:lang w:eastAsia="zh-CN"/>
        </w:rPr>
      </w:pPr>
      <w:r>
        <w:rPr>
          <w:rFonts w:hint="eastAsia" w:ascii="宋体" w:hAnsi="宋体" w:eastAsia="宋体" w:cs="宋体"/>
          <w:bCs/>
          <w:color w:val="auto"/>
          <w:sz w:val="40"/>
          <w:szCs w:val="40"/>
          <w:highlight w:val="none"/>
          <w:lang w:eastAsia="zh-CN"/>
        </w:rPr>
        <w:t>项目名称</w:t>
      </w:r>
    </w:p>
    <w:p w14:paraId="405D1380">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5ED0B0E1">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5FD9760B">
      <w:pPr>
        <w:tabs>
          <w:tab w:val="left" w:pos="-951"/>
          <w:tab w:val="left" w:pos="4267"/>
          <w:tab w:val="left" w:pos="7925"/>
        </w:tabs>
        <w:adjustRightInd w:val="0"/>
        <w:snapToGrid w:val="0"/>
        <w:spacing w:line="360" w:lineRule="auto"/>
        <w:ind w:right="-6"/>
        <w:jc w:val="center"/>
        <w:rPr>
          <w:rFonts w:hint="eastAsia" w:ascii="宋体" w:hAnsi="宋体" w:eastAsia="宋体" w:cs="宋体"/>
          <w:bCs/>
          <w:color w:val="auto"/>
          <w:szCs w:val="21"/>
          <w:highlight w:val="none"/>
        </w:rPr>
      </w:pPr>
      <w:r>
        <w:rPr>
          <w:rFonts w:hint="eastAsia" w:ascii="宋体" w:hAnsi="宋体" w:eastAsia="宋体" w:cs="宋体"/>
          <w:bCs/>
          <w:color w:val="auto"/>
          <w:sz w:val="84"/>
          <w:szCs w:val="84"/>
          <w:highlight w:val="none"/>
        </w:rPr>
        <w:t>资格标函</w:t>
      </w:r>
    </w:p>
    <w:p w14:paraId="25BDF8C8">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4B948944">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55EEC64E">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3EA93A3F">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49BF0FE8">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003DD579">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587992C4">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40FD978B">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7C693C67">
      <w:pPr>
        <w:tabs>
          <w:tab w:val="left" w:pos="-951"/>
          <w:tab w:val="left" w:pos="4267"/>
          <w:tab w:val="left" w:pos="7925"/>
        </w:tabs>
        <w:adjustRightInd w:val="0"/>
        <w:snapToGrid w:val="0"/>
        <w:spacing w:line="360" w:lineRule="auto"/>
        <w:ind w:right="-6" w:firstLine="0" w:firstLineChars="0"/>
        <w:jc w:val="center"/>
        <w:rPr>
          <w:rFonts w:hint="eastAsia" w:ascii="宋体" w:hAnsi="宋体" w:eastAsia="宋体" w:cs="宋体"/>
          <w:bCs/>
          <w:color w:val="auto"/>
          <w:sz w:val="28"/>
          <w:szCs w:val="28"/>
          <w:highlight w:val="none"/>
          <w:u w:val="single"/>
        </w:rPr>
      </w:pPr>
      <w:bookmarkStart w:id="2576" w:name="_Toc1785826307_WPSOffice_Level2"/>
      <w:r>
        <w:rPr>
          <w:rFonts w:hint="eastAsia" w:ascii="宋体" w:hAnsi="宋体" w:eastAsia="宋体" w:cs="宋体"/>
          <w:bCs/>
          <w:color w:val="auto"/>
          <w:sz w:val="28"/>
          <w:szCs w:val="28"/>
          <w:highlight w:val="none"/>
        </w:rPr>
        <w:t>投标人全称：</w:t>
      </w:r>
      <w:r>
        <w:rPr>
          <w:rFonts w:hint="eastAsia" w:ascii="宋体" w:hAnsi="宋体" w:eastAsia="宋体" w:cs="宋体"/>
          <w:bCs/>
          <w:color w:val="auto"/>
          <w:sz w:val="28"/>
          <w:szCs w:val="28"/>
          <w:highlight w:val="none"/>
          <w:u w:val="single"/>
        </w:rPr>
        <w:t xml:space="preserve">                     </w:t>
      </w:r>
      <w:bookmarkEnd w:id="2576"/>
      <w:r>
        <w:rPr>
          <w:rFonts w:hint="eastAsia" w:ascii="宋体" w:hAnsi="宋体"/>
          <w:bCs/>
          <w:color w:val="auto"/>
          <w:sz w:val="28"/>
          <w:szCs w:val="28"/>
          <w:highlight w:val="none"/>
          <w:u w:val="none"/>
          <w:lang w:val="en-US" w:eastAsia="zh-CN"/>
        </w:rPr>
        <w:t>（</w:t>
      </w:r>
      <w:r>
        <w:rPr>
          <w:rFonts w:hint="eastAsia" w:ascii="宋体" w:hAnsi="宋体" w:eastAsia="宋体" w:cs="Times New Roman"/>
          <w:bCs/>
          <w:color w:val="auto"/>
          <w:sz w:val="28"/>
          <w:szCs w:val="28"/>
          <w:highlight w:val="none"/>
          <w:u w:val="none"/>
          <w:lang w:eastAsia="zh-CN"/>
        </w:rPr>
        <w:t>加盖</w:t>
      </w:r>
      <w:r>
        <w:rPr>
          <w:rFonts w:hint="eastAsia" w:ascii="宋体" w:hAnsi="宋体" w:eastAsia="宋体" w:cs="Times New Roman"/>
          <w:bCs/>
          <w:color w:val="auto"/>
          <w:sz w:val="28"/>
          <w:szCs w:val="28"/>
          <w:highlight w:val="none"/>
          <w:u w:val="none"/>
          <w:lang w:val="en-US" w:eastAsia="zh-CN"/>
        </w:rPr>
        <w:t>电</w:t>
      </w:r>
      <w:r>
        <w:rPr>
          <w:rFonts w:hint="eastAsia" w:ascii="宋体" w:hAnsi="宋体"/>
          <w:bCs/>
          <w:color w:val="auto"/>
          <w:sz w:val="28"/>
          <w:szCs w:val="28"/>
          <w:highlight w:val="none"/>
          <w:u w:val="none"/>
          <w:lang w:val="en-US" w:eastAsia="zh-CN"/>
        </w:rPr>
        <w:t>子印章）</w:t>
      </w:r>
    </w:p>
    <w:p w14:paraId="4CF381EF">
      <w:pPr>
        <w:tabs>
          <w:tab w:val="left" w:pos="-951"/>
          <w:tab w:val="left" w:pos="4267"/>
          <w:tab w:val="left" w:pos="7925"/>
        </w:tabs>
        <w:adjustRightInd w:val="0"/>
        <w:snapToGrid w:val="0"/>
        <w:spacing w:line="360" w:lineRule="auto"/>
        <w:ind w:right="-6"/>
        <w:rPr>
          <w:rFonts w:hint="eastAsia" w:ascii="宋体" w:hAnsi="宋体" w:eastAsia="宋体" w:cs="宋体"/>
          <w:bCs/>
          <w:color w:val="auto"/>
          <w:sz w:val="28"/>
          <w:szCs w:val="28"/>
          <w:highlight w:val="none"/>
          <w:u w:val="single"/>
        </w:rPr>
      </w:pPr>
    </w:p>
    <w:p w14:paraId="33711DB2">
      <w:pPr>
        <w:tabs>
          <w:tab w:val="left" w:pos="-951"/>
          <w:tab w:val="left" w:pos="4267"/>
          <w:tab w:val="left" w:pos="7925"/>
        </w:tabs>
        <w:adjustRightInd w:val="0"/>
        <w:snapToGrid w:val="0"/>
        <w:spacing w:line="360" w:lineRule="auto"/>
        <w:ind w:right="-6" w:firstLine="0" w:firstLineChars="0"/>
        <w:jc w:val="center"/>
        <w:rPr>
          <w:rFonts w:hint="eastAsia" w:ascii="宋体" w:hAnsi="宋体" w:eastAsia="宋体" w:cs="宋体"/>
          <w:bCs/>
          <w:color w:val="auto"/>
          <w:sz w:val="28"/>
          <w:szCs w:val="28"/>
          <w:highlight w:val="none"/>
          <w:u w:val="single"/>
          <w:lang w:val="en-US" w:eastAsia="zh-CN"/>
        </w:rPr>
      </w:pPr>
      <w:bookmarkStart w:id="2577" w:name="_Toc1079785531_WPSOffice_Level2"/>
      <w:r>
        <w:rPr>
          <w:rFonts w:hint="eastAsia" w:ascii="宋体" w:hAnsi="宋体" w:eastAsia="宋体" w:cs="宋体"/>
          <w:bCs/>
          <w:color w:val="auto"/>
          <w:sz w:val="28"/>
          <w:szCs w:val="28"/>
          <w:highlight w:val="none"/>
        </w:rPr>
        <w:t>法定代表人或代理人：</w:t>
      </w:r>
      <w:r>
        <w:rPr>
          <w:rFonts w:hint="eastAsia" w:ascii="宋体" w:hAnsi="宋体" w:eastAsia="宋体" w:cs="宋体"/>
          <w:bCs/>
          <w:color w:val="auto"/>
          <w:sz w:val="28"/>
          <w:szCs w:val="28"/>
          <w:highlight w:val="none"/>
          <w:u w:val="single"/>
        </w:rPr>
        <w:t xml:space="preserve">   </w:t>
      </w:r>
      <w:r>
        <w:rPr>
          <w:rFonts w:hint="eastAsia" w:ascii="宋体" w:hAnsi="宋体" w:cs="宋体"/>
          <w:bCs/>
          <w:color w:val="auto"/>
          <w:sz w:val="28"/>
          <w:szCs w:val="28"/>
          <w:highlight w:val="none"/>
          <w:u w:val="single"/>
          <w:lang w:val="en-US" w:eastAsia="zh-CN"/>
        </w:rPr>
        <w:t xml:space="preserve">    </w:t>
      </w:r>
      <w:r>
        <w:rPr>
          <w:rFonts w:hint="eastAsia" w:ascii="宋体" w:hAnsi="宋体" w:eastAsia="宋体" w:cs="宋体"/>
          <w:bCs/>
          <w:color w:val="auto"/>
          <w:sz w:val="28"/>
          <w:szCs w:val="28"/>
          <w:highlight w:val="none"/>
          <w:u w:val="single"/>
        </w:rPr>
        <w:t xml:space="preserve">         </w:t>
      </w:r>
      <w:r>
        <w:rPr>
          <w:rFonts w:hint="eastAsia" w:ascii="宋体" w:hAnsi="宋体" w:eastAsia="宋体" w:cs="宋体"/>
          <w:bCs/>
          <w:color w:val="auto"/>
          <w:sz w:val="28"/>
          <w:szCs w:val="28"/>
          <w:highlight w:val="none"/>
          <w:u w:val="single"/>
          <w:lang w:val="en-US" w:eastAsia="zh-CN"/>
        </w:rPr>
        <w:t xml:space="preserve"> </w:t>
      </w:r>
      <w:r>
        <w:rPr>
          <w:rFonts w:hint="eastAsia" w:ascii="宋体" w:hAnsi="宋体" w:eastAsia="宋体" w:cs="宋体"/>
          <w:bCs/>
          <w:color w:val="auto"/>
          <w:sz w:val="28"/>
          <w:szCs w:val="28"/>
          <w:highlight w:val="none"/>
          <w:u w:val="none"/>
        </w:rPr>
        <w:t>（</w:t>
      </w:r>
      <w:r>
        <w:rPr>
          <w:rFonts w:hint="eastAsia" w:ascii="宋体" w:hAnsi="宋体" w:cs="宋体"/>
          <w:bCs/>
          <w:color w:val="auto"/>
          <w:sz w:val="28"/>
          <w:szCs w:val="28"/>
          <w:highlight w:val="none"/>
          <w:u w:val="none"/>
          <w:lang w:eastAsia="zh-CN"/>
        </w:rPr>
        <w:t>电子签名</w:t>
      </w:r>
      <w:r>
        <w:rPr>
          <w:rFonts w:hint="eastAsia" w:ascii="宋体" w:hAnsi="宋体" w:eastAsia="宋体" w:cs="宋体"/>
          <w:bCs/>
          <w:color w:val="auto"/>
          <w:sz w:val="28"/>
          <w:szCs w:val="28"/>
          <w:highlight w:val="none"/>
          <w:u w:val="none"/>
        </w:rPr>
        <w:t>）</w:t>
      </w:r>
      <w:bookmarkEnd w:id="2577"/>
    </w:p>
    <w:p w14:paraId="4843ADB5">
      <w:pPr>
        <w:tabs>
          <w:tab w:val="left" w:pos="-951"/>
          <w:tab w:val="left" w:pos="4267"/>
          <w:tab w:val="left" w:pos="7925"/>
        </w:tabs>
        <w:adjustRightInd w:val="0"/>
        <w:snapToGrid w:val="0"/>
        <w:spacing w:line="360" w:lineRule="auto"/>
        <w:ind w:right="-6"/>
        <w:rPr>
          <w:rFonts w:hint="eastAsia" w:ascii="宋体" w:hAnsi="宋体" w:eastAsia="宋体" w:cs="宋体"/>
          <w:b/>
          <w:bCs/>
          <w:color w:val="auto"/>
          <w:sz w:val="28"/>
          <w:szCs w:val="28"/>
          <w:highlight w:val="none"/>
        </w:rPr>
      </w:pPr>
    </w:p>
    <w:p w14:paraId="441E3261">
      <w:pPr>
        <w:tabs>
          <w:tab w:val="left" w:pos="-951"/>
          <w:tab w:val="left" w:pos="4267"/>
          <w:tab w:val="left" w:pos="7925"/>
        </w:tabs>
        <w:adjustRightInd w:val="0"/>
        <w:snapToGrid w:val="0"/>
        <w:spacing w:line="360" w:lineRule="auto"/>
        <w:ind w:right="-6" w:firstLine="0" w:firstLineChars="0"/>
        <w:jc w:val="center"/>
        <w:rPr>
          <w:rFonts w:hint="eastAsia" w:ascii="宋体" w:hAnsi="宋体" w:eastAsia="宋体" w:cs="宋体"/>
          <w:bCs/>
          <w:color w:val="auto"/>
          <w:sz w:val="28"/>
          <w:szCs w:val="28"/>
          <w:highlight w:val="none"/>
        </w:rPr>
      </w:pPr>
      <w:bookmarkStart w:id="2578" w:name="_Toc626434998_WPSOffice_Level2"/>
      <w:r>
        <w:rPr>
          <w:rFonts w:hint="eastAsia" w:ascii="宋体" w:hAnsi="宋体" w:eastAsia="宋体" w:cs="宋体"/>
          <w:bCs/>
          <w:color w:val="auto"/>
          <w:sz w:val="28"/>
          <w:szCs w:val="28"/>
          <w:highlight w:val="none"/>
        </w:rPr>
        <w:t>年  月  日</w:t>
      </w:r>
      <w:bookmarkEnd w:id="2578"/>
    </w:p>
    <w:p w14:paraId="0BFC86C4">
      <w:pPr>
        <w:tabs>
          <w:tab w:val="left" w:pos="-951"/>
          <w:tab w:val="left" w:pos="4267"/>
          <w:tab w:val="left" w:pos="7925"/>
        </w:tabs>
        <w:adjustRightInd w:val="0"/>
        <w:snapToGrid w:val="0"/>
        <w:spacing w:line="360" w:lineRule="auto"/>
        <w:ind w:right="-6"/>
        <w:rPr>
          <w:rFonts w:hint="eastAsia" w:ascii="宋体" w:hAnsi="宋体" w:eastAsia="宋体" w:cs="宋体"/>
          <w:bCs/>
          <w:color w:val="auto"/>
          <w:sz w:val="21"/>
          <w:szCs w:val="21"/>
          <w:highlight w:val="none"/>
        </w:rPr>
      </w:pPr>
    </w:p>
    <w:p w14:paraId="44141A92">
      <w:pPr>
        <w:spacing w:line="42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说明：本封面仅供参考，格式由投标人自定，但必须包括</w:t>
      </w:r>
      <w:r>
        <w:rPr>
          <w:rFonts w:hint="eastAsia" w:ascii="宋体" w:hAnsi="宋体" w:eastAsia="宋体" w:cs="宋体"/>
          <w:color w:val="auto"/>
          <w:sz w:val="21"/>
          <w:szCs w:val="21"/>
          <w:highlight w:val="none"/>
          <w:lang w:eastAsia="zh-CN"/>
        </w:rPr>
        <w:t>项目名称</w:t>
      </w:r>
      <w:r>
        <w:rPr>
          <w:rFonts w:hint="eastAsia" w:ascii="宋体" w:hAnsi="宋体" w:eastAsia="宋体" w:cs="宋体"/>
          <w:color w:val="auto"/>
          <w:sz w:val="21"/>
          <w:szCs w:val="21"/>
          <w:highlight w:val="none"/>
        </w:rPr>
        <w:t>、“资格标”或“资格标函”字样、投标人名称、投标人</w:t>
      </w:r>
      <w:r>
        <w:rPr>
          <w:rFonts w:hint="eastAsia" w:ascii="宋体" w:hAnsi="宋体" w:cs="宋体"/>
          <w:color w:val="auto"/>
          <w:sz w:val="21"/>
          <w:szCs w:val="21"/>
          <w:highlight w:val="none"/>
          <w:lang w:eastAsia="zh-CN"/>
        </w:rPr>
        <w:t>电子印章</w:t>
      </w:r>
      <w:r>
        <w:rPr>
          <w:rFonts w:hint="eastAsia" w:ascii="宋体" w:hAnsi="宋体" w:eastAsia="宋体" w:cs="宋体"/>
          <w:color w:val="auto"/>
          <w:sz w:val="21"/>
          <w:szCs w:val="21"/>
          <w:highlight w:val="none"/>
        </w:rPr>
        <w:t>、投标人法定代表人或其代理人</w:t>
      </w:r>
      <w:r>
        <w:rPr>
          <w:rFonts w:hint="eastAsia" w:ascii="宋体" w:hAnsi="宋体" w:cs="宋体"/>
          <w:color w:val="auto"/>
          <w:sz w:val="21"/>
          <w:szCs w:val="21"/>
          <w:highlight w:val="none"/>
          <w:lang w:eastAsia="zh-CN"/>
        </w:rPr>
        <w:t>电子签名</w:t>
      </w:r>
      <w:r>
        <w:rPr>
          <w:rFonts w:hint="eastAsia" w:ascii="宋体" w:hAnsi="宋体" w:eastAsia="宋体" w:cs="宋体"/>
          <w:color w:val="auto"/>
          <w:sz w:val="21"/>
          <w:szCs w:val="21"/>
          <w:highlight w:val="none"/>
        </w:rPr>
        <w:t>。</w:t>
      </w:r>
    </w:p>
    <w:p w14:paraId="341C1A93">
      <w:pPr>
        <w:spacing w:line="360" w:lineRule="auto"/>
        <w:ind w:firstLine="420"/>
        <w:jc w:val="center"/>
        <w:rPr>
          <w:rFonts w:hint="eastAsia" w:ascii="宋体" w:hAnsi="宋体" w:eastAsia="宋体" w:cs="宋体"/>
          <w:b/>
          <w:color w:val="auto"/>
          <w:sz w:val="48"/>
          <w:szCs w:val="48"/>
          <w:highlight w:val="none"/>
        </w:rPr>
      </w:pPr>
      <w:r>
        <w:rPr>
          <w:rFonts w:hint="eastAsia" w:ascii="宋体" w:hAnsi="宋体" w:eastAsia="宋体" w:cs="宋体"/>
          <w:color w:val="auto"/>
          <w:szCs w:val="21"/>
          <w:highlight w:val="none"/>
        </w:rPr>
        <w:br w:type="page"/>
      </w:r>
      <w:r>
        <w:rPr>
          <w:rFonts w:hint="eastAsia" w:ascii="宋体" w:hAnsi="宋体" w:eastAsia="宋体" w:cs="宋体"/>
          <w:b/>
          <w:color w:val="auto"/>
          <w:sz w:val="28"/>
          <w:szCs w:val="28"/>
          <w:highlight w:val="none"/>
          <w:lang w:eastAsia="zh-CN"/>
        </w:rPr>
        <w:t>资格标</w:t>
      </w:r>
      <w:r>
        <w:rPr>
          <w:rFonts w:hint="eastAsia" w:ascii="宋体" w:hAnsi="宋体" w:eastAsia="宋体" w:cs="宋体"/>
          <w:b/>
          <w:color w:val="auto"/>
          <w:sz w:val="28"/>
          <w:szCs w:val="28"/>
          <w:highlight w:val="none"/>
        </w:rPr>
        <w:t>目录</w:t>
      </w:r>
    </w:p>
    <w:p w14:paraId="67619573">
      <w:pPr>
        <w:spacing w:line="360" w:lineRule="auto"/>
        <w:ind w:firstLine="420"/>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lang w:val="en-US" w:eastAsia="zh-CN"/>
        </w:rPr>
        <w:t>身份证明</w:t>
      </w:r>
    </w:p>
    <w:p w14:paraId="5E18C028">
      <w:pPr>
        <w:numPr>
          <w:ilvl w:val="0"/>
          <w:numId w:val="0"/>
        </w:numPr>
        <w:spacing w:line="360" w:lineRule="auto"/>
        <w:ind w:left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二、授权委托书</w:t>
      </w:r>
      <w:r>
        <w:rPr>
          <w:rFonts w:hint="eastAsia" w:ascii="宋体" w:hAnsi="宋体" w:eastAsia="宋体" w:cs="宋体"/>
          <w:color w:val="auto"/>
          <w:sz w:val="21"/>
          <w:szCs w:val="21"/>
          <w:highlight w:val="none"/>
          <w:lang w:val="en-US" w:eastAsia="zh-CN"/>
        </w:rPr>
        <w:t>（适用于有代理人的情况）</w:t>
      </w:r>
    </w:p>
    <w:p w14:paraId="24D83ED7">
      <w:pPr>
        <w:spacing w:line="360" w:lineRule="auto"/>
        <w:ind w:firstLine="420"/>
        <w:rPr>
          <w:rFonts w:hint="eastAsia" w:ascii="宋体" w:hAnsi="宋体" w:eastAsia="宋体" w:cs="宋体"/>
          <w:color w:val="auto"/>
          <w:szCs w:val="21"/>
          <w:highlight w:val="none"/>
          <w:lang w:eastAsia="zh-CN"/>
        </w:rPr>
      </w:pP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Cs w:val="21"/>
          <w:highlight w:val="none"/>
          <w:lang w:eastAsia="zh-CN"/>
        </w:rPr>
        <w:t>投标人基本情况表</w:t>
      </w:r>
    </w:p>
    <w:p w14:paraId="0C369548">
      <w:pPr>
        <w:numPr>
          <w:ilvl w:val="0"/>
          <w:numId w:val="0"/>
        </w:numPr>
        <w:spacing w:line="360" w:lineRule="auto"/>
        <w:ind w:left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四、联合体协议书（适用于联合体投标的情况）</w:t>
      </w:r>
    </w:p>
    <w:p w14:paraId="3B1C0C90">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五、《信用中国》网站下载的信用信息报告</w:t>
      </w:r>
    </w:p>
    <w:p w14:paraId="3F113D42">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六、国家企业信用信息公示系统下载的企业信用信息公示报告</w:t>
      </w:r>
    </w:p>
    <w:p w14:paraId="3EA81CC2">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七、类似工程业绩表（适用于有业绩要求的情况）</w:t>
      </w:r>
    </w:p>
    <w:p w14:paraId="73345698">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八、投标保证金承诺书（如需）</w:t>
      </w:r>
    </w:p>
    <w:p w14:paraId="67D9D55D">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九、</w:t>
      </w:r>
      <w:r>
        <w:rPr>
          <w:rFonts w:hint="eastAsia" w:hAnsi="宋体" w:eastAsia="宋体" w:cs="宋体"/>
          <w:color w:val="auto"/>
          <w:highlight w:val="none"/>
          <w:lang w:eastAsia="zh-CN"/>
        </w:rPr>
        <w:t>低于投标报价警戒值的证明材料（如需）</w:t>
      </w:r>
    </w:p>
    <w:p w14:paraId="68E75BC7">
      <w:pPr>
        <w:spacing w:line="360" w:lineRule="auto"/>
        <w:ind w:firstLine="420"/>
        <w:rPr>
          <w:rFonts w:hint="eastAsia" w:ascii="宋体" w:hAnsi="宋体" w:eastAsia="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十</w:t>
      </w:r>
      <w:r>
        <w:rPr>
          <w:rFonts w:hint="eastAsia" w:ascii="宋体" w:hAnsi="宋体" w:eastAsia="宋体" w:cs="宋体"/>
          <w:color w:val="auto"/>
          <w:sz w:val="21"/>
          <w:szCs w:val="21"/>
          <w:highlight w:val="none"/>
          <w:lang w:val="en-US" w:eastAsia="zh-CN"/>
        </w:rPr>
        <w:t>、</w:t>
      </w:r>
      <w:r>
        <w:rPr>
          <w:rFonts w:hint="eastAsia" w:ascii="宋体" w:hAnsi="宋体" w:eastAsia="宋体" w:cs="Times New Roman"/>
          <w:color w:val="auto"/>
          <w:sz w:val="21"/>
          <w:szCs w:val="21"/>
          <w:highlight w:val="none"/>
          <w:lang w:val="en-US" w:eastAsia="zh-CN"/>
        </w:rPr>
        <w:t>投标人认为需要补充的材料</w:t>
      </w:r>
    </w:p>
    <w:p w14:paraId="59721919">
      <w:pPr>
        <w:spacing w:line="360" w:lineRule="auto"/>
        <w:ind w:firstLine="420"/>
        <w:rPr>
          <w:rFonts w:hint="eastAsia" w:ascii="宋体" w:hAnsi="宋体" w:eastAsia="宋体" w:cs="Times New Roman"/>
          <w:color w:val="auto"/>
          <w:sz w:val="21"/>
          <w:szCs w:val="21"/>
          <w:highlight w:val="none"/>
          <w:lang w:val="en-US" w:eastAsia="zh-CN"/>
        </w:rPr>
      </w:pPr>
    </w:p>
    <w:p w14:paraId="085FFAF7">
      <w:pPr>
        <w:pStyle w:val="6"/>
        <w:rPr>
          <w:rFonts w:hint="eastAsia" w:ascii="宋体" w:hAnsi="宋体" w:eastAsia="宋体" w:cs="宋体"/>
          <w:color w:val="auto"/>
          <w:highlight w:val="none"/>
          <w:lang w:val="en-US" w:eastAsia="zh-CN"/>
        </w:rPr>
      </w:pPr>
    </w:p>
    <w:p w14:paraId="55A2D8C0">
      <w:pPr>
        <w:pStyle w:val="14"/>
        <w:jc w:val="center"/>
        <w:rPr>
          <w:rFonts w:hint="eastAsia" w:ascii="宋体" w:hAnsi="宋体" w:eastAsia="宋体" w:cs="宋体"/>
          <w:b/>
          <w:color w:val="auto"/>
          <w:sz w:val="32"/>
          <w:szCs w:val="32"/>
          <w:highlight w:val="none"/>
        </w:rPr>
      </w:pPr>
      <w:r>
        <w:rPr>
          <w:rFonts w:hint="eastAsia" w:ascii="宋体" w:hAnsi="宋体" w:eastAsia="宋体" w:cs="宋体"/>
          <w:color w:val="auto"/>
          <w:highlight w:val="none"/>
        </w:rPr>
        <w:br w:type="page"/>
      </w:r>
      <w:bookmarkStart w:id="2579" w:name="_Toc784608934_WPSOffice_Level2"/>
      <w:r>
        <w:rPr>
          <w:rFonts w:hint="eastAsia" w:ascii="宋体" w:hAnsi="宋体" w:eastAsia="宋体" w:cs="宋体"/>
          <w:b/>
          <w:color w:val="auto"/>
          <w:sz w:val="28"/>
          <w:szCs w:val="28"/>
          <w:highlight w:val="none"/>
        </w:rPr>
        <w:t>一、法定代表人身份证明</w:t>
      </w:r>
      <w:bookmarkEnd w:id="2579"/>
    </w:p>
    <w:p w14:paraId="42B3D054">
      <w:pPr>
        <w:spacing w:line="360" w:lineRule="auto"/>
        <w:ind w:firstLine="560" w:firstLineChars="200"/>
        <w:rPr>
          <w:rFonts w:hint="eastAsia" w:ascii="宋体" w:hAnsi="宋体" w:eastAsia="宋体" w:cs="宋体"/>
          <w:color w:val="auto"/>
          <w:sz w:val="28"/>
          <w:szCs w:val="28"/>
          <w:highlight w:val="none"/>
        </w:rPr>
      </w:pPr>
    </w:p>
    <w:p w14:paraId="6BA0213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69BADFE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单位性质：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6AF346F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37904356">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成立时间：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22E036B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经营期限：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5F0C0B1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性别：</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职务：</w:t>
      </w:r>
      <w:r>
        <w:rPr>
          <w:rFonts w:hint="eastAsia" w:ascii="宋体" w:hAnsi="宋体" w:eastAsia="宋体" w:cs="宋体"/>
          <w:color w:val="auto"/>
          <w:sz w:val="21"/>
          <w:szCs w:val="21"/>
          <w:highlight w:val="none"/>
          <w:u w:val="single"/>
        </w:rPr>
        <w:t xml:space="preserve">         </w:t>
      </w:r>
    </w:p>
    <w:p w14:paraId="34F241E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（投标人名称）的法定代表人。</w:t>
      </w:r>
    </w:p>
    <w:p w14:paraId="29CA0573">
      <w:pPr>
        <w:spacing w:line="360" w:lineRule="auto"/>
        <w:ind w:firstLine="840" w:firstLineChars="4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特此证明。</w:t>
      </w:r>
    </w:p>
    <w:p w14:paraId="1D31D878">
      <w:pPr>
        <w:spacing w:line="360" w:lineRule="auto"/>
        <w:ind w:firstLine="420" w:firstLineChars="200"/>
        <w:rPr>
          <w:rFonts w:hint="eastAsia" w:ascii="宋体" w:hAnsi="宋体" w:eastAsia="宋体" w:cs="宋体"/>
          <w:color w:val="auto"/>
          <w:sz w:val="21"/>
          <w:szCs w:val="21"/>
          <w:highlight w:val="none"/>
        </w:rPr>
      </w:pPr>
    </w:p>
    <w:p w14:paraId="64FAA62F">
      <w:pPr>
        <w:spacing w:line="360"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附：法定代表人身份证复印件</w:t>
      </w:r>
      <w:r>
        <w:rPr>
          <w:rFonts w:hint="eastAsia" w:ascii="宋体" w:hAnsi="宋体" w:eastAsia="宋体" w:cs="宋体"/>
          <w:color w:val="auto"/>
          <w:sz w:val="21"/>
          <w:szCs w:val="21"/>
          <w:highlight w:val="none"/>
          <w:lang w:val="en-US" w:eastAsia="zh-CN"/>
        </w:rPr>
        <w:t>或扫描件</w:t>
      </w:r>
    </w:p>
    <w:p w14:paraId="01CA4649">
      <w:pPr>
        <w:spacing w:line="360" w:lineRule="auto"/>
        <w:ind w:firstLine="420" w:firstLineChars="200"/>
        <w:rPr>
          <w:rFonts w:hint="eastAsia" w:ascii="宋体" w:hAnsi="宋体" w:eastAsia="宋体" w:cs="宋体"/>
          <w:color w:val="auto"/>
          <w:sz w:val="21"/>
          <w:szCs w:val="21"/>
          <w:highlight w:val="none"/>
        </w:rPr>
      </w:pPr>
    </w:p>
    <w:p w14:paraId="6CBA04F3">
      <w:pPr>
        <w:spacing w:line="360" w:lineRule="auto"/>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加盖电子印章</w:t>
      </w:r>
      <w:r>
        <w:rPr>
          <w:rFonts w:hint="eastAsia" w:ascii="宋体" w:hAnsi="宋体" w:eastAsia="宋体" w:cs="宋体"/>
          <w:color w:val="auto"/>
          <w:sz w:val="21"/>
          <w:szCs w:val="21"/>
          <w:highlight w:val="none"/>
        </w:rPr>
        <w:t>）</w:t>
      </w:r>
    </w:p>
    <w:p w14:paraId="69942D4E">
      <w:pPr>
        <w:spacing w:line="360" w:lineRule="auto"/>
        <w:rPr>
          <w:rFonts w:hint="eastAsia" w:ascii="宋体" w:hAnsi="宋体" w:eastAsia="宋体" w:cs="宋体"/>
          <w:color w:val="auto"/>
          <w:sz w:val="21"/>
          <w:szCs w:val="21"/>
          <w:highlight w:val="none"/>
          <w:u w:val="single"/>
        </w:rPr>
      </w:pPr>
    </w:p>
    <w:p w14:paraId="3A8244F4">
      <w:pPr>
        <w:spacing w:line="360" w:lineRule="auto"/>
        <w:ind w:firstLine="5145" w:firstLineChars="2450"/>
        <w:rPr>
          <w:rFonts w:hint="eastAsia" w:ascii="宋体" w:hAnsi="宋体" w:eastAsia="宋体" w:cs="宋体"/>
          <w:color w:val="auto"/>
          <w:sz w:val="28"/>
          <w:szCs w:val="28"/>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37AA9E37">
      <w:pPr>
        <w:pStyle w:val="10"/>
        <w:numPr>
          <w:ilvl w:val="0"/>
          <w:numId w:val="0"/>
        </w:numPr>
        <w:spacing w:after="0" w:line="500" w:lineRule="exact"/>
        <w:jc w:val="center"/>
        <w:rPr>
          <w:rFonts w:hint="eastAsia" w:ascii="宋体" w:hAnsi="宋体" w:eastAsia="宋体" w:cs="宋体"/>
          <w:b/>
          <w:color w:val="auto"/>
          <w:sz w:val="32"/>
          <w:szCs w:val="32"/>
          <w:highlight w:val="none"/>
        </w:rPr>
      </w:pPr>
      <w:r>
        <w:rPr>
          <w:rFonts w:hint="eastAsia" w:ascii="宋体" w:hAnsi="宋体" w:eastAsia="宋体" w:cs="宋体"/>
          <w:color w:val="auto"/>
          <w:highlight w:val="none"/>
        </w:rPr>
        <w:br w:type="page"/>
      </w:r>
      <w:bookmarkStart w:id="2580" w:name="_Toc861101435_WPSOffice_Level2"/>
      <w:r>
        <w:rPr>
          <w:rFonts w:hint="eastAsia" w:ascii="宋体" w:hAnsi="宋体" w:eastAsia="宋体" w:cs="宋体"/>
          <w:b/>
          <w:color w:val="auto"/>
          <w:sz w:val="28"/>
          <w:szCs w:val="28"/>
          <w:highlight w:val="none"/>
          <w:lang w:eastAsia="zh-CN"/>
        </w:rPr>
        <w:t>二、</w:t>
      </w:r>
      <w:r>
        <w:rPr>
          <w:rFonts w:hint="eastAsia" w:ascii="宋体" w:hAnsi="宋体" w:eastAsia="宋体" w:cs="宋体"/>
          <w:b/>
          <w:color w:val="auto"/>
          <w:sz w:val="28"/>
          <w:szCs w:val="28"/>
          <w:highlight w:val="none"/>
        </w:rPr>
        <w:t>授权委托书</w:t>
      </w:r>
      <w:bookmarkEnd w:id="2580"/>
    </w:p>
    <w:p w14:paraId="61FE066B">
      <w:pPr>
        <w:rPr>
          <w:rFonts w:hint="eastAsia" w:ascii="宋体" w:hAnsi="宋体" w:eastAsia="宋体" w:cs="宋体"/>
          <w:color w:val="auto"/>
          <w:highlight w:val="none"/>
        </w:rPr>
      </w:pPr>
    </w:p>
    <w:p w14:paraId="4ABFD01D">
      <w:pPr>
        <w:spacing w:line="500" w:lineRule="exact"/>
        <w:ind w:firstLine="525" w:firstLineChars="250"/>
        <w:rPr>
          <w:rFonts w:hint="eastAsia" w:ascii="宋体" w:hAnsi="宋体" w:eastAsia="宋体" w:cs="宋体"/>
          <w:color w:val="auto"/>
          <w:kern w:val="10"/>
          <w:sz w:val="21"/>
          <w:szCs w:val="21"/>
          <w:highlight w:val="none"/>
        </w:rPr>
      </w:pPr>
      <w:r>
        <w:rPr>
          <w:rFonts w:hint="eastAsia" w:ascii="宋体" w:hAnsi="宋体" w:eastAsia="宋体" w:cs="宋体"/>
          <w:color w:val="auto"/>
          <w:sz w:val="21"/>
          <w:szCs w:val="21"/>
          <w:highlight w:val="none"/>
        </w:rPr>
        <w:t>本人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（姓名）系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（投标人名称）的法定代表人，现委托</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（姓名）为我方代理人。代理人根据授权，以我方名义签署、澄清确认、说明、补正、递交、撤回、修改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（项目名称）投标文件、签订合同和处理有关事宜</w:t>
      </w:r>
      <w:r>
        <w:rPr>
          <w:rFonts w:hint="eastAsia" w:ascii="宋体" w:hAnsi="宋体" w:eastAsia="宋体" w:cs="宋体"/>
          <w:color w:val="auto"/>
          <w:kern w:val="10"/>
          <w:sz w:val="21"/>
          <w:szCs w:val="21"/>
          <w:highlight w:val="none"/>
        </w:rPr>
        <w:t>，其法律后果由我方承担。</w:t>
      </w:r>
    </w:p>
    <w:p w14:paraId="2205D7BA">
      <w:pPr>
        <w:spacing w:line="5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日 至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lang w:val="zh-CN"/>
        </w:rPr>
        <w:t>委托期限</w:t>
      </w:r>
      <w:r>
        <w:rPr>
          <w:rFonts w:hint="eastAsia" w:ascii="宋体" w:hAnsi="宋体" w:eastAsia="宋体" w:cs="宋体"/>
          <w:color w:val="auto"/>
          <w:sz w:val="21"/>
          <w:szCs w:val="21"/>
          <w:highlight w:val="none"/>
        </w:rPr>
        <w:t>建议</w:t>
      </w:r>
      <w:r>
        <w:rPr>
          <w:rFonts w:hint="eastAsia" w:ascii="宋体" w:hAnsi="宋体" w:eastAsia="宋体" w:cs="宋体"/>
          <w:color w:val="auto"/>
          <w:sz w:val="21"/>
          <w:szCs w:val="21"/>
          <w:highlight w:val="none"/>
          <w:lang w:val="zh-CN"/>
        </w:rPr>
        <w:t>不少于投标有效期。</w:t>
      </w:r>
      <w:r>
        <w:rPr>
          <w:rFonts w:hint="eastAsia" w:ascii="宋体" w:hAnsi="宋体" w:eastAsia="宋体" w:cs="宋体"/>
          <w:color w:val="auto"/>
          <w:sz w:val="21"/>
          <w:szCs w:val="21"/>
          <w:highlight w:val="none"/>
        </w:rPr>
        <w:t>）</w:t>
      </w:r>
    </w:p>
    <w:p w14:paraId="5B81C1BE">
      <w:pPr>
        <w:spacing w:line="5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代理人无转委托权。</w:t>
      </w:r>
    </w:p>
    <w:p w14:paraId="71DA15FA">
      <w:pPr>
        <w:rPr>
          <w:rFonts w:hint="eastAsia"/>
          <w:color w:val="auto"/>
          <w:highlight w:val="none"/>
        </w:rPr>
      </w:pPr>
    </w:p>
    <w:p w14:paraId="74E5905A">
      <w:pPr>
        <w:spacing w:line="500" w:lineRule="exact"/>
        <w:ind w:firstLine="420" w:firstLineChars="200"/>
        <w:rPr>
          <w:rFonts w:hint="default"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rPr>
        <w:t>附：代理人身份证复印件</w:t>
      </w:r>
      <w:r>
        <w:rPr>
          <w:rFonts w:hint="eastAsia" w:ascii="宋体" w:hAnsi="宋体" w:eastAsia="宋体" w:cs="宋体"/>
          <w:color w:val="auto"/>
          <w:sz w:val="21"/>
          <w:szCs w:val="21"/>
          <w:highlight w:val="none"/>
          <w:lang w:val="en-US" w:eastAsia="zh-CN"/>
        </w:rPr>
        <w:t>或扫描件</w:t>
      </w:r>
    </w:p>
    <w:p w14:paraId="28EB373A">
      <w:pPr>
        <w:rPr>
          <w:rFonts w:hint="eastAsia"/>
          <w:color w:val="auto"/>
          <w:highlight w:val="none"/>
        </w:rPr>
      </w:pPr>
    </w:p>
    <w:p w14:paraId="35A45180">
      <w:pPr>
        <w:spacing w:line="500" w:lineRule="exact"/>
        <w:ind w:firstLine="3360" w:firstLineChars="16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加盖电子印章</w:t>
      </w:r>
      <w:r>
        <w:rPr>
          <w:rFonts w:hint="eastAsia" w:ascii="宋体" w:hAnsi="宋体" w:eastAsia="宋体" w:cs="宋体"/>
          <w:color w:val="auto"/>
          <w:sz w:val="21"/>
          <w:szCs w:val="21"/>
          <w:highlight w:val="none"/>
        </w:rPr>
        <w:t>）</w:t>
      </w:r>
    </w:p>
    <w:p w14:paraId="1CB8DDD4">
      <w:pPr>
        <w:spacing w:line="500" w:lineRule="exact"/>
        <w:jc w:val="left"/>
        <w:rPr>
          <w:rFonts w:hint="eastAsia" w:ascii="宋体" w:hAnsi="宋体" w:eastAsia="宋体" w:cs="宋体"/>
          <w:color w:val="auto"/>
          <w:sz w:val="21"/>
          <w:szCs w:val="21"/>
          <w:highlight w:val="none"/>
        </w:rPr>
      </w:pPr>
    </w:p>
    <w:p w14:paraId="7BDB170B">
      <w:pPr>
        <w:spacing w:line="500" w:lineRule="exact"/>
        <w:ind w:firstLine="3360" w:firstLineChars="1600"/>
        <w:jc w:val="left"/>
        <w:rPr>
          <w:rFonts w:hint="eastAsia" w:ascii="宋体" w:hAnsi="宋体" w:eastAsia="宋体" w:cs="宋体"/>
          <w:color w:val="auto"/>
          <w:sz w:val="21"/>
          <w:szCs w:val="21"/>
          <w:highlight w:val="none"/>
        </w:rPr>
      </w:pPr>
      <w:bookmarkStart w:id="2581" w:name="_Toc1760528602_WPSOffice_Level2"/>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电子签名</w:t>
      </w:r>
      <w:r>
        <w:rPr>
          <w:rFonts w:hint="eastAsia" w:ascii="宋体" w:hAnsi="宋体" w:eastAsia="宋体" w:cs="宋体"/>
          <w:color w:val="auto"/>
          <w:sz w:val="21"/>
          <w:szCs w:val="21"/>
          <w:highlight w:val="none"/>
        </w:rPr>
        <w:t>）</w:t>
      </w:r>
      <w:bookmarkEnd w:id="2581"/>
    </w:p>
    <w:p w14:paraId="775A6BE0">
      <w:pPr>
        <w:spacing w:line="500" w:lineRule="exact"/>
        <w:jc w:val="left"/>
        <w:rPr>
          <w:rFonts w:hint="eastAsia" w:ascii="宋体" w:hAnsi="宋体" w:eastAsia="宋体" w:cs="宋体"/>
          <w:color w:val="auto"/>
          <w:sz w:val="21"/>
          <w:szCs w:val="21"/>
          <w:highlight w:val="none"/>
        </w:rPr>
      </w:pPr>
    </w:p>
    <w:p w14:paraId="4994E4F7">
      <w:pPr>
        <w:spacing w:line="500" w:lineRule="exact"/>
        <w:ind w:right="560" w:firstLine="3360" w:firstLineChars="160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身份证号码：</w:t>
      </w:r>
      <w:r>
        <w:rPr>
          <w:rFonts w:hint="eastAsia" w:ascii="宋体" w:hAnsi="宋体" w:cs="宋体"/>
          <w:color w:val="auto"/>
          <w:sz w:val="21"/>
          <w:szCs w:val="21"/>
          <w:highlight w:val="none"/>
          <w:u w:val="single"/>
          <w:lang w:val="en-US" w:eastAsia="zh-CN"/>
        </w:rPr>
        <w:t xml:space="preserve">                      </w:t>
      </w:r>
    </w:p>
    <w:p w14:paraId="2E1D33F7">
      <w:pPr>
        <w:spacing w:line="500" w:lineRule="exact"/>
        <w:ind w:firstLine="0" w:firstLineChars="0"/>
        <w:jc w:val="left"/>
        <w:rPr>
          <w:rFonts w:hint="eastAsia" w:ascii="宋体" w:hAnsi="宋体" w:eastAsia="宋体" w:cs="宋体"/>
          <w:color w:val="auto"/>
          <w:sz w:val="21"/>
          <w:szCs w:val="21"/>
          <w:highlight w:val="none"/>
        </w:rPr>
      </w:pPr>
      <w:bookmarkStart w:id="2582" w:name="_Toc1727652214_WPSOffice_Level2"/>
    </w:p>
    <w:p w14:paraId="0AF92D83">
      <w:pPr>
        <w:spacing w:line="500" w:lineRule="exact"/>
        <w:ind w:firstLine="3360" w:firstLineChars="16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eastAsia="zh-CN"/>
        </w:rPr>
        <w:t>电子签名</w:t>
      </w:r>
      <w:r>
        <w:rPr>
          <w:rFonts w:hint="eastAsia" w:ascii="宋体" w:hAnsi="宋体" w:eastAsia="宋体" w:cs="宋体"/>
          <w:color w:val="auto"/>
          <w:sz w:val="21"/>
          <w:szCs w:val="21"/>
          <w:highlight w:val="none"/>
        </w:rPr>
        <w:t>）</w:t>
      </w:r>
      <w:bookmarkEnd w:id="2582"/>
    </w:p>
    <w:p w14:paraId="6C831A14">
      <w:pPr>
        <w:spacing w:line="500" w:lineRule="exact"/>
        <w:jc w:val="left"/>
        <w:rPr>
          <w:rFonts w:hint="eastAsia" w:ascii="宋体" w:hAnsi="宋体" w:eastAsia="宋体" w:cs="宋体"/>
          <w:color w:val="auto"/>
          <w:sz w:val="21"/>
          <w:szCs w:val="21"/>
          <w:highlight w:val="none"/>
        </w:rPr>
      </w:pPr>
    </w:p>
    <w:p w14:paraId="03A8E103">
      <w:pPr>
        <w:spacing w:line="500" w:lineRule="exact"/>
        <w:ind w:firstLine="3360" w:firstLineChars="1600"/>
        <w:jc w:val="left"/>
        <w:rPr>
          <w:rFonts w:hint="default"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身份证号码：</w:t>
      </w:r>
      <w:r>
        <w:rPr>
          <w:rFonts w:hint="eastAsia" w:ascii="宋体" w:hAnsi="宋体" w:cs="宋体"/>
          <w:color w:val="auto"/>
          <w:sz w:val="21"/>
          <w:szCs w:val="21"/>
          <w:highlight w:val="none"/>
          <w:u w:val="single"/>
          <w:lang w:val="en-US" w:eastAsia="zh-CN"/>
        </w:rPr>
        <w:t xml:space="preserve">                       </w:t>
      </w:r>
    </w:p>
    <w:p w14:paraId="5A374A5B">
      <w:pPr>
        <w:tabs>
          <w:tab w:val="left" w:pos="-951"/>
          <w:tab w:val="left" w:pos="4267"/>
          <w:tab w:val="left" w:pos="7925"/>
        </w:tabs>
        <w:adjustRightInd w:val="0"/>
        <w:snapToGrid w:val="0"/>
        <w:spacing w:line="360" w:lineRule="auto"/>
        <w:ind w:right="-6"/>
        <w:jc w:val="both"/>
        <w:rPr>
          <w:rFonts w:hint="eastAsia" w:ascii="宋体" w:hAnsi="宋体" w:eastAsia="宋体" w:cs="宋体"/>
          <w:b/>
          <w:bCs/>
          <w:color w:val="auto"/>
          <w:sz w:val="28"/>
          <w:szCs w:val="28"/>
          <w:highlight w:val="none"/>
        </w:rPr>
      </w:pPr>
    </w:p>
    <w:p w14:paraId="50165FAA">
      <w:pPr>
        <w:tabs>
          <w:tab w:val="left" w:pos="-951"/>
          <w:tab w:val="left" w:pos="4267"/>
          <w:tab w:val="left" w:pos="7925"/>
        </w:tabs>
        <w:adjustRightInd w:val="0"/>
        <w:snapToGrid w:val="0"/>
        <w:spacing w:line="360" w:lineRule="auto"/>
        <w:ind w:right="-6"/>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bookmarkStart w:id="2583" w:name="_Toc65270612_WPSOffice_Level2"/>
      <w:r>
        <w:rPr>
          <w:rFonts w:hint="eastAsia" w:ascii="宋体" w:hAnsi="宋体" w:eastAsia="宋体" w:cs="宋体"/>
          <w:b/>
          <w:bCs/>
          <w:color w:val="auto"/>
          <w:sz w:val="28"/>
          <w:szCs w:val="28"/>
          <w:highlight w:val="none"/>
          <w:lang w:eastAsia="zh-CN"/>
        </w:rPr>
        <w:t>三、</w:t>
      </w:r>
      <w:r>
        <w:rPr>
          <w:rFonts w:hint="eastAsia" w:ascii="宋体" w:hAnsi="宋体" w:eastAsia="宋体" w:cs="宋体"/>
          <w:b/>
          <w:bCs/>
          <w:color w:val="auto"/>
          <w:sz w:val="28"/>
          <w:szCs w:val="28"/>
          <w:highlight w:val="none"/>
        </w:rPr>
        <w:t>投标人基本情况表</w:t>
      </w:r>
    </w:p>
    <w:tbl>
      <w:tblPr>
        <w:tblStyle w:val="26"/>
        <w:tblW w:w="4994"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2335"/>
        <w:gridCol w:w="1037"/>
        <w:gridCol w:w="2589"/>
        <w:gridCol w:w="1790"/>
        <w:gridCol w:w="1809"/>
      </w:tblGrid>
      <w:tr w14:paraId="5204FAC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19" w:hRule="atLeast"/>
          <w:jc w:val="center"/>
        </w:trPr>
        <w:tc>
          <w:tcPr>
            <w:tcW w:w="1221" w:type="pct"/>
            <w:noWrap w:val="0"/>
            <w:vAlign w:val="center"/>
          </w:tcPr>
          <w:p w14:paraId="67F5D774">
            <w:pPr>
              <w:tabs>
                <w:tab w:val="left" w:pos="-951"/>
                <w:tab w:val="left" w:pos="4267"/>
                <w:tab w:val="left" w:pos="7925"/>
              </w:tabs>
              <w:adjustRightInd w:val="0"/>
              <w:snapToGrid w:val="0"/>
              <w:spacing w:line="360" w:lineRule="auto"/>
              <w:ind w:right="-6"/>
              <w:jc w:val="center"/>
              <w:rPr>
                <w:rFonts w:hint="eastAsia" w:ascii="宋体" w:hAnsi="宋体" w:eastAsia="宋体"/>
                <w:bCs/>
                <w:color w:val="auto"/>
                <w:sz w:val="21"/>
                <w:szCs w:val="21"/>
                <w:highlight w:val="none"/>
                <w:lang w:eastAsia="zh-CN"/>
              </w:rPr>
            </w:pPr>
            <w:r>
              <w:rPr>
                <w:rFonts w:hint="eastAsia" w:ascii="宋体" w:hAnsi="宋体"/>
                <w:bCs/>
                <w:color w:val="auto"/>
                <w:sz w:val="21"/>
                <w:szCs w:val="21"/>
                <w:highlight w:val="none"/>
                <w:lang w:eastAsia="zh-CN"/>
              </w:rPr>
              <w:t>企业名称</w:t>
            </w:r>
          </w:p>
        </w:tc>
        <w:tc>
          <w:tcPr>
            <w:tcW w:w="3778" w:type="pct"/>
            <w:gridSpan w:val="4"/>
            <w:noWrap w:val="0"/>
            <w:vAlign w:val="bottom"/>
          </w:tcPr>
          <w:p w14:paraId="37766817">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550191A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47" w:hRule="atLeast"/>
          <w:jc w:val="center"/>
        </w:trPr>
        <w:tc>
          <w:tcPr>
            <w:tcW w:w="1221" w:type="pct"/>
            <w:noWrap w:val="0"/>
            <w:vAlign w:val="center"/>
          </w:tcPr>
          <w:p w14:paraId="7FCAD6E8">
            <w:pPr>
              <w:tabs>
                <w:tab w:val="left" w:pos="-951"/>
                <w:tab w:val="left" w:pos="4267"/>
                <w:tab w:val="left" w:pos="7925"/>
              </w:tabs>
              <w:adjustRightInd w:val="0"/>
              <w:snapToGrid w:val="0"/>
              <w:spacing w:line="360" w:lineRule="auto"/>
              <w:ind w:right="-6"/>
              <w:jc w:val="center"/>
              <w:rPr>
                <w:rFonts w:hint="eastAsia" w:ascii="宋体" w:hAnsi="宋体" w:eastAsia="宋体"/>
                <w:bCs/>
                <w:color w:val="auto"/>
                <w:sz w:val="21"/>
                <w:szCs w:val="21"/>
                <w:highlight w:val="none"/>
                <w:lang w:eastAsia="zh-CN"/>
              </w:rPr>
            </w:pPr>
            <w:r>
              <w:rPr>
                <w:rFonts w:hint="eastAsia" w:ascii="宋体" w:hAnsi="宋体"/>
                <w:bCs/>
                <w:color w:val="auto"/>
                <w:sz w:val="21"/>
                <w:szCs w:val="21"/>
                <w:highlight w:val="none"/>
                <w:lang w:eastAsia="zh-CN"/>
              </w:rPr>
              <w:t>注册地址</w:t>
            </w:r>
          </w:p>
        </w:tc>
        <w:tc>
          <w:tcPr>
            <w:tcW w:w="3778" w:type="pct"/>
            <w:gridSpan w:val="4"/>
            <w:noWrap w:val="0"/>
            <w:vAlign w:val="bottom"/>
          </w:tcPr>
          <w:p w14:paraId="1BD2846D">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0D6F500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1" w:hRule="atLeast"/>
          <w:jc w:val="center"/>
        </w:trPr>
        <w:tc>
          <w:tcPr>
            <w:tcW w:w="1221" w:type="pct"/>
            <w:vMerge w:val="restart"/>
            <w:noWrap w:val="0"/>
            <w:vAlign w:val="center"/>
          </w:tcPr>
          <w:p w14:paraId="35AE25FD">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联系方式</w:t>
            </w:r>
          </w:p>
        </w:tc>
        <w:tc>
          <w:tcPr>
            <w:tcW w:w="542" w:type="pct"/>
            <w:noWrap w:val="0"/>
            <w:vAlign w:val="bottom"/>
          </w:tcPr>
          <w:p w14:paraId="5C6157B9">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r>
              <w:rPr>
                <w:rFonts w:hint="eastAsia" w:ascii="宋体" w:hAnsi="宋体"/>
                <w:bCs/>
                <w:color w:val="auto"/>
                <w:sz w:val="21"/>
                <w:szCs w:val="21"/>
                <w:highlight w:val="none"/>
                <w:lang w:eastAsia="zh-CN"/>
              </w:rPr>
              <w:t>联系人</w:t>
            </w:r>
          </w:p>
        </w:tc>
        <w:tc>
          <w:tcPr>
            <w:tcW w:w="1354" w:type="pct"/>
            <w:noWrap w:val="0"/>
            <w:vAlign w:val="bottom"/>
          </w:tcPr>
          <w:p w14:paraId="2F97A9CE">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c>
          <w:tcPr>
            <w:tcW w:w="936" w:type="pct"/>
            <w:noWrap w:val="0"/>
            <w:vAlign w:val="bottom"/>
          </w:tcPr>
          <w:p w14:paraId="71D86B85">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r>
              <w:rPr>
                <w:rFonts w:hint="eastAsia" w:ascii="宋体" w:hAnsi="宋体"/>
                <w:bCs/>
                <w:color w:val="auto"/>
                <w:sz w:val="21"/>
                <w:szCs w:val="21"/>
                <w:highlight w:val="none"/>
              </w:rPr>
              <w:t>电话</w:t>
            </w:r>
          </w:p>
        </w:tc>
        <w:tc>
          <w:tcPr>
            <w:tcW w:w="946" w:type="pct"/>
            <w:noWrap w:val="0"/>
            <w:vAlign w:val="bottom"/>
          </w:tcPr>
          <w:p w14:paraId="74B5BC77">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1FBE74A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361" w:hRule="atLeast"/>
          <w:jc w:val="center"/>
        </w:trPr>
        <w:tc>
          <w:tcPr>
            <w:tcW w:w="1221" w:type="pct"/>
            <w:vMerge w:val="continue"/>
            <w:noWrap w:val="0"/>
            <w:vAlign w:val="center"/>
          </w:tcPr>
          <w:p w14:paraId="727BEB96">
            <w:pPr>
              <w:tabs>
                <w:tab w:val="left" w:pos="-951"/>
                <w:tab w:val="left" w:pos="4267"/>
                <w:tab w:val="left" w:pos="7925"/>
              </w:tabs>
              <w:adjustRightInd w:val="0"/>
              <w:snapToGrid w:val="0"/>
              <w:spacing w:line="360" w:lineRule="auto"/>
              <w:ind w:right="-6"/>
              <w:jc w:val="center"/>
              <w:rPr>
                <w:color w:val="auto"/>
                <w:szCs w:val="21"/>
                <w:highlight w:val="none"/>
              </w:rPr>
            </w:pPr>
          </w:p>
        </w:tc>
        <w:tc>
          <w:tcPr>
            <w:tcW w:w="542" w:type="pct"/>
            <w:noWrap w:val="0"/>
            <w:vAlign w:val="bottom"/>
          </w:tcPr>
          <w:p w14:paraId="12EDE07C">
            <w:pPr>
              <w:tabs>
                <w:tab w:val="left" w:pos="-951"/>
                <w:tab w:val="left" w:pos="4267"/>
                <w:tab w:val="left" w:pos="7925"/>
              </w:tabs>
              <w:adjustRightInd w:val="0"/>
              <w:snapToGrid w:val="0"/>
              <w:spacing w:line="360" w:lineRule="auto"/>
              <w:ind w:right="-6"/>
              <w:jc w:val="both"/>
              <w:rPr>
                <w:color w:val="auto"/>
                <w:szCs w:val="21"/>
                <w:highlight w:val="none"/>
              </w:rPr>
            </w:pPr>
            <w:r>
              <w:rPr>
                <w:rFonts w:hint="eastAsia" w:ascii="宋体" w:hAnsi="宋体"/>
                <w:bCs/>
                <w:color w:val="auto"/>
                <w:sz w:val="21"/>
                <w:szCs w:val="21"/>
                <w:highlight w:val="none"/>
              </w:rPr>
              <w:t>传真</w:t>
            </w:r>
          </w:p>
        </w:tc>
        <w:tc>
          <w:tcPr>
            <w:tcW w:w="1354" w:type="pct"/>
            <w:noWrap w:val="0"/>
            <w:vAlign w:val="bottom"/>
          </w:tcPr>
          <w:p w14:paraId="6E89DBFE">
            <w:pPr>
              <w:tabs>
                <w:tab w:val="left" w:pos="-951"/>
                <w:tab w:val="left" w:pos="4267"/>
                <w:tab w:val="left" w:pos="7925"/>
              </w:tabs>
              <w:adjustRightInd w:val="0"/>
              <w:snapToGrid w:val="0"/>
              <w:spacing w:line="360" w:lineRule="auto"/>
              <w:ind w:right="-6"/>
              <w:jc w:val="both"/>
              <w:rPr>
                <w:color w:val="auto"/>
                <w:szCs w:val="21"/>
                <w:highlight w:val="none"/>
              </w:rPr>
            </w:pPr>
          </w:p>
        </w:tc>
        <w:tc>
          <w:tcPr>
            <w:tcW w:w="936" w:type="pct"/>
            <w:noWrap w:val="0"/>
            <w:vAlign w:val="bottom"/>
          </w:tcPr>
          <w:p w14:paraId="67F981AB">
            <w:pPr>
              <w:tabs>
                <w:tab w:val="left" w:pos="-951"/>
                <w:tab w:val="left" w:pos="4267"/>
                <w:tab w:val="left" w:pos="7925"/>
              </w:tabs>
              <w:adjustRightInd w:val="0"/>
              <w:snapToGrid w:val="0"/>
              <w:spacing w:line="360" w:lineRule="auto"/>
              <w:ind w:right="-6"/>
              <w:jc w:val="both"/>
              <w:rPr>
                <w:color w:val="auto"/>
                <w:szCs w:val="21"/>
                <w:highlight w:val="none"/>
              </w:rPr>
            </w:pPr>
            <w:r>
              <w:rPr>
                <w:rFonts w:hint="eastAsia" w:ascii="宋体" w:hAnsi="宋体"/>
                <w:bCs/>
                <w:color w:val="auto"/>
                <w:sz w:val="21"/>
                <w:szCs w:val="21"/>
                <w:highlight w:val="none"/>
              </w:rPr>
              <w:t>邮政编码</w:t>
            </w:r>
          </w:p>
        </w:tc>
        <w:tc>
          <w:tcPr>
            <w:tcW w:w="946" w:type="pct"/>
            <w:noWrap w:val="0"/>
            <w:vAlign w:val="bottom"/>
          </w:tcPr>
          <w:p w14:paraId="294355C4">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5196BD2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69" w:hRule="atLeast"/>
          <w:jc w:val="center"/>
        </w:trPr>
        <w:tc>
          <w:tcPr>
            <w:tcW w:w="1221" w:type="pct"/>
            <w:noWrap w:val="0"/>
            <w:vAlign w:val="center"/>
          </w:tcPr>
          <w:p w14:paraId="1C84ACD8">
            <w:pPr>
              <w:tabs>
                <w:tab w:val="left" w:pos="-951"/>
                <w:tab w:val="left" w:pos="4267"/>
                <w:tab w:val="left" w:pos="7925"/>
              </w:tabs>
              <w:adjustRightInd w:val="0"/>
              <w:snapToGrid w:val="0"/>
              <w:spacing w:line="360" w:lineRule="auto"/>
              <w:ind w:right="-6" w:rightChars="0"/>
              <w:jc w:val="center"/>
              <w:rPr>
                <w:rFonts w:hint="eastAsia" w:ascii="宋体" w:hAnsi="宋体" w:eastAsia="宋体"/>
                <w:bCs/>
                <w:color w:val="auto"/>
                <w:kern w:val="2"/>
                <w:sz w:val="21"/>
                <w:szCs w:val="21"/>
                <w:highlight w:val="none"/>
                <w:lang w:val="en-US" w:eastAsia="zh-CN" w:bidi="ar-SA"/>
              </w:rPr>
            </w:pPr>
            <w:r>
              <w:rPr>
                <w:rFonts w:hint="eastAsia" w:ascii="宋体" w:hAnsi="宋体"/>
                <w:bCs/>
                <w:color w:val="auto"/>
                <w:sz w:val="21"/>
                <w:szCs w:val="21"/>
                <w:highlight w:val="none"/>
                <w:lang w:eastAsia="zh-CN"/>
              </w:rPr>
              <w:t>法定代表人</w:t>
            </w:r>
          </w:p>
        </w:tc>
        <w:tc>
          <w:tcPr>
            <w:tcW w:w="542" w:type="pct"/>
            <w:noWrap w:val="0"/>
            <w:vAlign w:val="bottom"/>
          </w:tcPr>
          <w:p w14:paraId="38C80EBE">
            <w:pPr>
              <w:tabs>
                <w:tab w:val="left" w:pos="-951"/>
                <w:tab w:val="left" w:pos="4267"/>
                <w:tab w:val="left" w:pos="7925"/>
              </w:tabs>
              <w:adjustRightInd w:val="0"/>
              <w:snapToGrid w:val="0"/>
              <w:spacing w:line="360" w:lineRule="auto"/>
              <w:ind w:right="-6" w:rightChars="0"/>
              <w:jc w:val="both"/>
              <w:rPr>
                <w:rFonts w:hint="eastAsia" w:ascii="宋体" w:hAnsi="宋体"/>
                <w:bCs/>
                <w:color w:val="auto"/>
                <w:kern w:val="2"/>
                <w:sz w:val="21"/>
                <w:szCs w:val="21"/>
                <w:highlight w:val="none"/>
                <w:lang w:val="en-US" w:eastAsia="zh-CN" w:bidi="ar-SA"/>
              </w:rPr>
            </w:pPr>
            <w:r>
              <w:rPr>
                <w:rFonts w:hint="eastAsia" w:ascii="宋体" w:hAnsi="宋体"/>
                <w:bCs/>
                <w:color w:val="auto"/>
                <w:sz w:val="21"/>
                <w:szCs w:val="21"/>
                <w:highlight w:val="none"/>
                <w:lang w:eastAsia="zh-CN"/>
              </w:rPr>
              <w:t>姓名</w:t>
            </w:r>
          </w:p>
        </w:tc>
        <w:tc>
          <w:tcPr>
            <w:tcW w:w="1354" w:type="pct"/>
            <w:noWrap w:val="0"/>
            <w:vAlign w:val="bottom"/>
          </w:tcPr>
          <w:p w14:paraId="2CB9D411">
            <w:pPr>
              <w:tabs>
                <w:tab w:val="left" w:pos="-951"/>
                <w:tab w:val="left" w:pos="4267"/>
                <w:tab w:val="left" w:pos="7925"/>
              </w:tabs>
              <w:adjustRightInd w:val="0"/>
              <w:snapToGrid w:val="0"/>
              <w:spacing w:line="360" w:lineRule="auto"/>
              <w:ind w:right="-6" w:rightChars="0"/>
              <w:jc w:val="both"/>
              <w:rPr>
                <w:rFonts w:hint="eastAsia" w:ascii="宋体" w:hAnsi="宋体"/>
                <w:bCs/>
                <w:color w:val="auto"/>
                <w:kern w:val="2"/>
                <w:sz w:val="21"/>
                <w:szCs w:val="21"/>
                <w:highlight w:val="none"/>
                <w:lang w:val="en-US" w:eastAsia="zh-CN" w:bidi="ar-SA"/>
              </w:rPr>
            </w:pPr>
          </w:p>
        </w:tc>
        <w:tc>
          <w:tcPr>
            <w:tcW w:w="936" w:type="pct"/>
            <w:noWrap w:val="0"/>
            <w:vAlign w:val="bottom"/>
          </w:tcPr>
          <w:p w14:paraId="277BB9A7">
            <w:pPr>
              <w:tabs>
                <w:tab w:val="left" w:pos="-951"/>
                <w:tab w:val="left" w:pos="4267"/>
                <w:tab w:val="left" w:pos="7925"/>
              </w:tabs>
              <w:adjustRightInd w:val="0"/>
              <w:snapToGrid w:val="0"/>
              <w:spacing w:line="360" w:lineRule="auto"/>
              <w:ind w:right="-6" w:rightChars="0"/>
              <w:jc w:val="both"/>
              <w:rPr>
                <w:rFonts w:hint="eastAsia" w:ascii="宋体" w:hAnsi="宋体" w:eastAsia="宋体"/>
                <w:bCs/>
                <w:color w:val="auto"/>
                <w:kern w:val="2"/>
                <w:sz w:val="21"/>
                <w:szCs w:val="21"/>
                <w:highlight w:val="none"/>
                <w:lang w:val="en-US" w:eastAsia="zh-CN" w:bidi="ar-SA"/>
              </w:rPr>
            </w:pPr>
            <w:r>
              <w:rPr>
                <w:rFonts w:hint="eastAsia" w:ascii="宋体" w:hAnsi="宋体"/>
                <w:bCs/>
                <w:color w:val="auto"/>
                <w:sz w:val="21"/>
                <w:szCs w:val="21"/>
                <w:highlight w:val="none"/>
                <w:lang w:eastAsia="zh-CN"/>
              </w:rPr>
              <w:t>职务</w:t>
            </w:r>
          </w:p>
        </w:tc>
        <w:tc>
          <w:tcPr>
            <w:tcW w:w="946" w:type="pct"/>
            <w:noWrap w:val="0"/>
            <w:vAlign w:val="bottom"/>
          </w:tcPr>
          <w:p w14:paraId="45823B91">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0E9C4BC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20" w:hRule="atLeast"/>
          <w:jc w:val="center"/>
        </w:trPr>
        <w:tc>
          <w:tcPr>
            <w:tcW w:w="1221" w:type="pct"/>
            <w:noWrap w:val="0"/>
            <w:vAlign w:val="center"/>
          </w:tcPr>
          <w:p w14:paraId="7D02F614">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技术负责人</w:t>
            </w:r>
          </w:p>
        </w:tc>
        <w:tc>
          <w:tcPr>
            <w:tcW w:w="542" w:type="pct"/>
            <w:noWrap w:val="0"/>
            <w:vAlign w:val="bottom"/>
          </w:tcPr>
          <w:p w14:paraId="25D6C738">
            <w:pPr>
              <w:tabs>
                <w:tab w:val="left" w:pos="-951"/>
                <w:tab w:val="left" w:pos="4267"/>
                <w:tab w:val="left" w:pos="7925"/>
              </w:tabs>
              <w:adjustRightInd w:val="0"/>
              <w:snapToGrid w:val="0"/>
              <w:spacing w:line="360" w:lineRule="auto"/>
              <w:ind w:right="-6" w:rightChars="0"/>
              <w:jc w:val="both"/>
              <w:rPr>
                <w:rFonts w:hint="eastAsia" w:ascii="宋体" w:hAnsi="宋体"/>
                <w:bCs/>
                <w:color w:val="auto"/>
                <w:kern w:val="2"/>
                <w:sz w:val="21"/>
                <w:szCs w:val="21"/>
                <w:highlight w:val="none"/>
                <w:lang w:val="en-US" w:eastAsia="zh-CN" w:bidi="ar-SA"/>
              </w:rPr>
            </w:pPr>
            <w:r>
              <w:rPr>
                <w:rFonts w:hint="eastAsia" w:ascii="宋体" w:hAnsi="宋体"/>
                <w:bCs/>
                <w:color w:val="auto"/>
                <w:kern w:val="2"/>
                <w:sz w:val="21"/>
                <w:szCs w:val="21"/>
                <w:highlight w:val="none"/>
                <w:lang w:val="en-US" w:eastAsia="zh-CN" w:bidi="ar-SA"/>
              </w:rPr>
              <w:t>姓名</w:t>
            </w:r>
          </w:p>
        </w:tc>
        <w:tc>
          <w:tcPr>
            <w:tcW w:w="1354" w:type="pct"/>
            <w:noWrap w:val="0"/>
            <w:vAlign w:val="bottom"/>
          </w:tcPr>
          <w:p w14:paraId="2F68D7C6">
            <w:pPr>
              <w:tabs>
                <w:tab w:val="left" w:pos="-951"/>
                <w:tab w:val="left" w:pos="4267"/>
                <w:tab w:val="left" w:pos="7925"/>
              </w:tabs>
              <w:adjustRightInd w:val="0"/>
              <w:snapToGrid w:val="0"/>
              <w:spacing w:line="360" w:lineRule="auto"/>
              <w:ind w:right="-6" w:rightChars="0"/>
              <w:jc w:val="both"/>
              <w:rPr>
                <w:rFonts w:hint="eastAsia" w:ascii="宋体" w:hAnsi="宋体"/>
                <w:bCs/>
                <w:color w:val="auto"/>
                <w:kern w:val="2"/>
                <w:sz w:val="21"/>
                <w:szCs w:val="21"/>
                <w:highlight w:val="none"/>
                <w:lang w:val="en-US" w:eastAsia="zh-CN" w:bidi="ar-SA"/>
              </w:rPr>
            </w:pPr>
          </w:p>
        </w:tc>
        <w:tc>
          <w:tcPr>
            <w:tcW w:w="936" w:type="pct"/>
            <w:noWrap w:val="0"/>
            <w:vAlign w:val="bottom"/>
          </w:tcPr>
          <w:p w14:paraId="2601348B">
            <w:pPr>
              <w:tabs>
                <w:tab w:val="left" w:pos="-951"/>
                <w:tab w:val="left" w:pos="4267"/>
                <w:tab w:val="left" w:pos="7925"/>
              </w:tabs>
              <w:adjustRightInd w:val="0"/>
              <w:snapToGrid w:val="0"/>
              <w:spacing w:line="360" w:lineRule="auto"/>
              <w:ind w:right="-6" w:rightChars="0"/>
              <w:jc w:val="both"/>
              <w:rPr>
                <w:rFonts w:hint="default" w:ascii="宋体" w:hAnsi="宋体"/>
                <w:bCs/>
                <w:color w:val="auto"/>
                <w:sz w:val="21"/>
                <w:szCs w:val="21"/>
                <w:highlight w:val="none"/>
                <w:lang w:val="en-US" w:eastAsia="zh-CN"/>
              </w:rPr>
            </w:pPr>
            <w:r>
              <w:rPr>
                <w:rFonts w:hint="eastAsia" w:ascii="宋体" w:hAnsi="宋体"/>
                <w:bCs/>
                <w:color w:val="auto"/>
                <w:sz w:val="21"/>
                <w:szCs w:val="21"/>
                <w:highlight w:val="none"/>
                <w:lang w:eastAsia="zh-CN"/>
              </w:rPr>
              <w:t>注册资格</w:t>
            </w:r>
            <w:r>
              <w:rPr>
                <w:rFonts w:hint="eastAsia" w:ascii="宋体" w:hAnsi="宋体"/>
                <w:bCs/>
                <w:color w:val="auto"/>
                <w:sz w:val="21"/>
                <w:szCs w:val="21"/>
                <w:highlight w:val="none"/>
                <w:lang w:val="en-US" w:eastAsia="zh-CN"/>
              </w:rPr>
              <w:t>/职称</w:t>
            </w:r>
          </w:p>
        </w:tc>
        <w:tc>
          <w:tcPr>
            <w:tcW w:w="946" w:type="pct"/>
            <w:noWrap w:val="0"/>
            <w:vAlign w:val="bottom"/>
          </w:tcPr>
          <w:p w14:paraId="43A8E27B">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10CB945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15" w:hRule="atLeast"/>
          <w:jc w:val="center"/>
        </w:trPr>
        <w:tc>
          <w:tcPr>
            <w:tcW w:w="1221" w:type="pct"/>
            <w:noWrap w:val="0"/>
            <w:vAlign w:val="center"/>
          </w:tcPr>
          <w:p w14:paraId="775915DA">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企业资质证书</w:t>
            </w:r>
          </w:p>
        </w:tc>
        <w:tc>
          <w:tcPr>
            <w:tcW w:w="3778" w:type="pct"/>
            <w:gridSpan w:val="4"/>
            <w:noWrap w:val="0"/>
            <w:vAlign w:val="bottom"/>
          </w:tcPr>
          <w:p w14:paraId="33D794D9">
            <w:pPr>
              <w:tabs>
                <w:tab w:val="left" w:pos="-951"/>
                <w:tab w:val="left" w:pos="4267"/>
                <w:tab w:val="left" w:pos="7925"/>
              </w:tabs>
              <w:adjustRightInd w:val="0"/>
              <w:snapToGrid w:val="0"/>
              <w:spacing w:line="360" w:lineRule="auto"/>
              <w:ind w:right="-6" w:rightChars="0"/>
              <w:jc w:val="both"/>
              <w:rPr>
                <w:rFonts w:hint="eastAsia" w:ascii="宋体" w:hAnsi="宋体"/>
                <w:bCs/>
                <w:color w:val="auto"/>
                <w:sz w:val="21"/>
                <w:szCs w:val="21"/>
                <w:highlight w:val="none"/>
              </w:rPr>
            </w:pPr>
            <w:r>
              <w:rPr>
                <w:rFonts w:hint="eastAsia" w:ascii="宋体" w:hAnsi="宋体"/>
                <w:bCs/>
                <w:color w:val="auto"/>
                <w:sz w:val="21"/>
                <w:szCs w:val="21"/>
                <w:highlight w:val="none"/>
                <w:lang w:eastAsia="zh-CN"/>
              </w:rPr>
              <w:t>类型：</w:t>
            </w:r>
            <w:r>
              <w:rPr>
                <w:rFonts w:hint="eastAsia" w:ascii="宋体" w:hAnsi="宋体"/>
                <w:bCs/>
                <w:color w:val="auto"/>
                <w:sz w:val="21"/>
                <w:szCs w:val="21"/>
                <w:highlight w:val="none"/>
                <w:lang w:val="en-US" w:eastAsia="zh-CN"/>
              </w:rPr>
              <w:t xml:space="preserve">                   等级：           证书号：</w:t>
            </w:r>
          </w:p>
        </w:tc>
      </w:tr>
      <w:tr w14:paraId="773D71B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22" w:hRule="atLeast"/>
          <w:jc w:val="center"/>
        </w:trPr>
        <w:tc>
          <w:tcPr>
            <w:tcW w:w="1221" w:type="pct"/>
            <w:noWrap w:val="0"/>
            <w:vAlign w:val="center"/>
          </w:tcPr>
          <w:p w14:paraId="4F623AA9">
            <w:pPr>
              <w:tabs>
                <w:tab w:val="left" w:pos="-951"/>
                <w:tab w:val="left" w:pos="4267"/>
                <w:tab w:val="left" w:pos="7925"/>
              </w:tabs>
              <w:adjustRightInd w:val="0"/>
              <w:snapToGrid w:val="0"/>
              <w:spacing w:line="360" w:lineRule="auto"/>
              <w:ind w:right="-6" w:rightChars="0"/>
              <w:jc w:val="center"/>
              <w:rPr>
                <w:rFonts w:hint="eastAsia" w:ascii="宋体" w:hAnsi="宋体" w:eastAsia="宋体"/>
                <w:bCs/>
                <w:color w:val="auto"/>
                <w:kern w:val="2"/>
                <w:sz w:val="21"/>
                <w:szCs w:val="21"/>
                <w:highlight w:val="none"/>
                <w:lang w:val="en-US" w:eastAsia="zh-CN" w:bidi="ar-SA"/>
              </w:rPr>
            </w:pPr>
            <w:r>
              <w:rPr>
                <w:rFonts w:hint="eastAsia" w:ascii="宋体" w:hAnsi="宋体"/>
                <w:bCs/>
                <w:color w:val="auto"/>
                <w:sz w:val="21"/>
                <w:szCs w:val="21"/>
                <w:highlight w:val="none"/>
                <w:lang w:eastAsia="zh-CN"/>
              </w:rPr>
              <w:t>成立时间</w:t>
            </w:r>
          </w:p>
        </w:tc>
        <w:tc>
          <w:tcPr>
            <w:tcW w:w="3778" w:type="pct"/>
            <w:gridSpan w:val="4"/>
            <w:noWrap w:val="0"/>
            <w:vAlign w:val="bottom"/>
          </w:tcPr>
          <w:p w14:paraId="539D3939">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313F1C5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34" w:hRule="atLeast"/>
          <w:jc w:val="center"/>
        </w:trPr>
        <w:tc>
          <w:tcPr>
            <w:tcW w:w="1221" w:type="pct"/>
            <w:noWrap w:val="0"/>
            <w:vAlign w:val="center"/>
          </w:tcPr>
          <w:p w14:paraId="65351C49">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统一社会信用代码</w:t>
            </w:r>
          </w:p>
        </w:tc>
        <w:tc>
          <w:tcPr>
            <w:tcW w:w="3778" w:type="pct"/>
            <w:gridSpan w:val="4"/>
            <w:noWrap w:val="0"/>
            <w:vAlign w:val="bottom"/>
          </w:tcPr>
          <w:p w14:paraId="7FBFC6CB">
            <w:pPr>
              <w:tabs>
                <w:tab w:val="left" w:pos="-951"/>
                <w:tab w:val="left" w:pos="4267"/>
                <w:tab w:val="left" w:pos="7925"/>
              </w:tabs>
              <w:adjustRightInd w:val="0"/>
              <w:snapToGrid w:val="0"/>
              <w:spacing w:line="360" w:lineRule="auto"/>
              <w:ind w:right="-6"/>
              <w:jc w:val="left"/>
              <w:rPr>
                <w:rFonts w:hint="eastAsia" w:ascii="宋体" w:hAnsi="宋体"/>
                <w:bCs/>
                <w:color w:val="auto"/>
                <w:sz w:val="21"/>
                <w:szCs w:val="21"/>
                <w:highlight w:val="none"/>
              </w:rPr>
            </w:pPr>
          </w:p>
        </w:tc>
      </w:tr>
      <w:tr w14:paraId="276CA3C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95" w:hRule="atLeast"/>
          <w:jc w:val="center"/>
        </w:trPr>
        <w:tc>
          <w:tcPr>
            <w:tcW w:w="1221" w:type="pct"/>
            <w:noWrap w:val="0"/>
            <w:vAlign w:val="center"/>
          </w:tcPr>
          <w:p w14:paraId="7CF34A5E">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基本账户开户银行</w:t>
            </w:r>
          </w:p>
        </w:tc>
        <w:tc>
          <w:tcPr>
            <w:tcW w:w="3778" w:type="pct"/>
            <w:gridSpan w:val="4"/>
            <w:noWrap w:val="0"/>
            <w:vAlign w:val="bottom"/>
          </w:tcPr>
          <w:p w14:paraId="404364D1">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020473A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4" w:hRule="atLeast"/>
          <w:jc w:val="center"/>
        </w:trPr>
        <w:tc>
          <w:tcPr>
            <w:tcW w:w="1221" w:type="pct"/>
            <w:noWrap w:val="0"/>
            <w:vAlign w:val="center"/>
          </w:tcPr>
          <w:p w14:paraId="33BC6A7E">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基本账户银行账号</w:t>
            </w:r>
          </w:p>
        </w:tc>
        <w:tc>
          <w:tcPr>
            <w:tcW w:w="3778" w:type="pct"/>
            <w:gridSpan w:val="4"/>
            <w:noWrap w:val="0"/>
            <w:vAlign w:val="bottom"/>
          </w:tcPr>
          <w:p w14:paraId="5B06F963">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2D4ED04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92" w:hRule="atLeast"/>
          <w:jc w:val="center"/>
        </w:trPr>
        <w:tc>
          <w:tcPr>
            <w:tcW w:w="1221" w:type="pct"/>
            <w:noWrap w:val="0"/>
            <w:vAlign w:val="center"/>
          </w:tcPr>
          <w:p w14:paraId="253C7D91">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经营范围：</w:t>
            </w:r>
          </w:p>
        </w:tc>
        <w:tc>
          <w:tcPr>
            <w:tcW w:w="3778" w:type="pct"/>
            <w:gridSpan w:val="4"/>
            <w:noWrap w:val="0"/>
            <w:vAlign w:val="bottom"/>
          </w:tcPr>
          <w:p w14:paraId="3E129A46">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44370B1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1221" w:type="pct"/>
            <w:noWrap w:val="0"/>
            <w:vAlign w:val="bottom"/>
          </w:tcPr>
          <w:p w14:paraId="4928C5B7">
            <w:pPr>
              <w:tabs>
                <w:tab w:val="left" w:pos="-951"/>
                <w:tab w:val="left" w:pos="4267"/>
                <w:tab w:val="left" w:pos="7925"/>
              </w:tabs>
              <w:adjustRightInd w:val="0"/>
              <w:snapToGrid w:val="0"/>
              <w:spacing w:line="360" w:lineRule="auto"/>
              <w:ind w:right="-6" w:rightChars="0"/>
              <w:jc w:val="both"/>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备注</w:t>
            </w:r>
          </w:p>
        </w:tc>
        <w:tc>
          <w:tcPr>
            <w:tcW w:w="3778" w:type="pct"/>
            <w:gridSpan w:val="4"/>
            <w:noWrap w:val="0"/>
            <w:vAlign w:val="bottom"/>
          </w:tcPr>
          <w:p w14:paraId="5C821179">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bl>
    <w:p w14:paraId="1D15FEE6">
      <w:pPr>
        <w:tabs>
          <w:tab w:val="left" w:pos="-951"/>
          <w:tab w:val="left" w:pos="4267"/>
          <w:tab w:val="left" w:pos="7925"/>
        </w:tabs>
        <w:adjustRightInd w:val="0"/>
        <w:snapToGrid w:val="0"/>
        <w:spacing w:line="360" w:lineRule="auto"/>
        <w:ind w:right="-6"/>
        <w:rPr>
          <w:rFonts w:ascii="宋体" w:hAnsi="宋体"/>
          <w:bCs/>
          <w:color w:val="auto"/>
          <w:szCs w:val="21"/>
          <w:highlight w:val="none"/>
        </w:rPr>
      </w:pPr>
      <w:r>
        <w:rPr>
          <w:rFonts w:hint="eastAsia" w:ascii="宋体" w:hAnsi="宋体"/>
          <w:bCs/>
          <w:color w:val="auto"/>
          <w:szCs w:val="21"/>
          <w:highlight w:val="none"/>
        </w:rPr>
        <w:t>注：本表后附</w:t>
      </w:r>
      <w:r>
        <w:rPr>
          <w:rFonts w:hint="eastAsia" w:ascii="宋体" w:hAnsi="宋体"/>
          <w:bCs/>
          <w:color w:val="auto"/>
          <w:szCs w:val="21"/>
          <w:highlight w:val="none"/>
          <w:lang w:eastAsia="zh-CN"/>
        </w:rPr>
        <w:t>投标人的</w:t>
      </w:r>
      <w:r>
        <w:rPr>
          <w:rFonts w:hint="eastAsia" w:ascii="宋体" w:hAnsi="宋体"/>
          <w:bCs/>
          <w:color w:val="auto"/>
          <w:szCs w:val="21"/>
          <w:highlight w:val="none"/>
        </w:rPr>
        <w:t>营业执照、资质证书</w:t>
      </w:r>
      <w:r>
        <w:rPr>
          <w:rFonts w:hint="eastAsia" w:ascii="宋体" w:hAnsi="宋体"/>
          <w:bCs/>
          <w:color w:val="auto"/>
          <w:szCs w:val="21"/>
          <w:highlight w:val="none"/>
          <w:lang w:eastAsia="zh-CN"/>
        </w:rPr>
        <w:t>（园林绿化项目免）、安全生产许可证（园林绿化项目免）</w:t>
      </w:r>
      <w:r>
        <w:rPr>
          <w:rFonts w:hint="eastAsia" w:ascii="宋体" w:hAnsi="宋体"/>
          <w:bCs/>
          <w:color w:val="auto"/>
          <w:szCs w:val="21"/>
          <w:highlight w:val="none"/>
        </w:rPr>
        <w:t>等文件的</w:t>
      </w:r>
      <w:r>
        <w:rPr>
          <w:rFonts w:hint="eastAsia" w:ascii="宋体" w:hAnsi="宋体"/>
          <w:bCs/>
          <w:color w:val="auto"/>
          <w:szCs w:val="21"/>
          <w:highlight w:val="none"/>
          <w:lang w:eastAsia="zh-CN"/>
        </w:rPr>
        <w:t>复印件或扫描件或电子件</w:t>
      </w:r>
      <w:r>
        <w:rPr>
          <w:rFonts w:hint="eastAsia" w:ascii="宋体" w:hAnsi="宋体"/>
          <w:bCs/>
          <w:color w:val="auto"/>
          <w:szCs w:val="21"/>
          <w:highlight w:val="none"/>
        </w:rPr>
        <w:t>。如为联合体投标</w:t>
      </w:r>
      <w:r>
        <w:rPr>
          <w:rFonts w:hint="eastAsia" w:ascii="宋体" w:hAnsi="宋体"/>
          <w:bCs/>
          <w:color w:val="auto"/>
          <w:szCs w:val="21"/>
          <w:highlight w:val="none"/>
          <w:lang w:eastAsia="zh-CN"/>
        </w:rPr>
        <w:t>的</w:t>
      </w:r>
      <w:r>
        <w:rPr>
          <w:rFonts w:hint="eastAsia" w:ascii="宋体" w:hAnsi="宋体"/>
          <w:bCs/>
          <w:color w:val="auto"/>
          <w:szCs w:val="21"/>
          <w:highlight w:val="none"/>
        </w:rPr>
        <w:t>，联合体各方均需填写本表。</w:t>
      </w:r>
    </w:p>
    <w:p w14:paraId="29B6CF90">
      <w:pPr>
        <w:tabs>
          <w:tab w:val="left" w:pos="-951"/>
          <w:tab w:val="left" w:pos="4267"/>
          <w:tab w:val="left" w:pos="7925"/>
        </w:tabs>
        <w:adjustRightInd w:val="0"/>
        <w:snapToGrid w:val="0"/>
        <w:spacing w:line="360" w:lineRule="auto"/>
        <w:ind w:right="-6"/>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br w:type="page"/>
      </w:r>
      <w:r>
        <w:rPr>
          <w:rFonts w:hint="eastAsia" w:ascii="宋体" w:hAnsi="宋体" w:eastAsia="宋体" w:cs="宋体"/>
          <w:b/>
          <w:bCs/>
          <w:color w:val="auto"/>
          <w:sz w:val="28"/>
          <w:szCs w:val="28"/>
          <w:highlight w:val="none"/>
          <w:lang w:eastAsia="zh-CN"/>
        </w:rPr>
        <w:t>四、</w:t>
      </w:r>
      <w:r>
        <w:rPr>
          <w:rFonts w:hint="eastAsia" w:ascii="宋体" w:hAnsi="宋体" w:eastAsia="宋体" w:cs="宋体"/>
          <w:b/>
          <w:bCs/>
          <w:color w:val="auto"/>
          <w:sz w:val="28"/>
          <w:szCs w:val="28"/>
          <w:highlight w:val="none"/>
        </w:rPr>
        <w:t>联合体协议书</w:t>
      </w:r>
      <w:bookmarkEnd w:id="2583"/>
    </w:p>
    <w:p w14:paraId="030B3860">
      <w:pPr>
        <w:tabs>
          <w:tab w:val="left" w:pos="-951"/>
          <w:tab w:val="left" w:pos="4267"/>
          <w:tab w:val="left" w:pos="7925"/>
        </w:tabs>
        <w:adjustRightInd w:val="0"/>
        <w:snapToGrid w:val="0"/>
        <w:spacing w:line="360" w:lineRule="auto"/>
        <w:ind w:right="-6"/>
        <w:rPr>
          <w:rFonts w:hint="eastAsia" w:ascii="宋体" w:hAnsi="宋体" w:eastAsia="宋体" w:cs="宋体"/>
          <w:bCs/>
          <w:color w:val="auto"/>
          <w:szCs w:val="21"/>
          <w:highlight w:val="none"/>
        </w:rPr>
      </w:pPr>
    </w:p>
    <w:p w14:paraId="06D3DD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（所有成员单位名称）自愿组成联合体，共同参加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（项目名称）投标。现就联合体投标事宜订立如下协议。</w:t>
      </w:r>
    </w:p>
    <w:p w14:paraId="5862BE9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（某成员单位名称）为本项目联合体牵头人。</w:t>
      </w:r>
    </w:p>
    <w:p w14:paraId="26A93D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629D541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联合体将严格按照招标文件的各项要求，递交投标文件，履行合同，并对外承担连带责任。</w:t>
      </w:r>
    </w:p>
    <w:p w14:paraId="7C5D69B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联合体</w:t>
      </w:r>
      <w:r>
        <w:rPr>
          <w:rFonts w:hint="eastAsia" w:ascii="宋体" w:hAnsi="宋体"/>
          <w:color w:val="auto"/>
          <w:szCs w:val="21"/>
          <w:highlight w:val="none"/>
          <w:lang w:eastAsia="zh-CN"/>
        </w:rPr>
        <w:t>牵头单位的职责分工：</w:t>
      </w:r>
      <w:r>
        <w:rPr>
          <w:rFonts w:hint="eastAsia" w:ascii="宋体" w:hAnsi="宋体"/>
          <w:color w:val="auto"/>
          <w:szCs w:val="21"/>
          <w:highlight w:val="none"/>
          <w:u w:val="single"/>
        </w:rPr>
        <w:t xml:space="preserve">                              </w:t>
      </w:r>
      <w:r>
        <w:rPr>
          <w:rFonts w:hint="eastAsia" w:ascii="宋体" w:hAnsi="宋体"/>
          <w:color w:val="auto"/>
          <w:szCs w:val="21"/>
          <w:highlight w:val="none"/>
          <w:u w:val="none"/>
          <w:lang w:eastAsia="zh-CN"/>
        </w:rPr>
        <w:t>；联合体内其余</w:t>
      </w:r>
      <w:r>
        <w:rPr>
          <w:rFonts w:hint="eastAsia" w:ascii="宋体" w:hAnsi="宋体"/>
          <w:color w:val="auto"/>
          <w:szCs w:val="21"/>
          <w:highlight w:val="none"/>
        </w:rPr>
        <w:t>成员单位的职责分工：</w:t>
      </w:r>
      <w:r>
        <w:rPr>
          <w:rFonts w:hint="eastAsia" w:ascii="宋体" w:hAnsi="宋体"/>
          <w:color w:val="auto"/>
          <w:szCs w:val="21"/>
          <w:highlight w:val="none"/>
          <w:u w:val="single"/>
        </w:rPr>
        <w:t xml:space="preserve">                              </w:t>
      </w:r>
    </w:p>
    <w:p w14:paraId="069D0AD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本协议书自签署之日起生效，合同履行完毕后自动失效。</w:t>
      </w:r>
    </w:p>
    <w:p w14:paraId="7368B3F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本协议书一式</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份，联合体成员和招标人各执一份。</w:t>
      </w:r>
    </w:p>
    <w:p w14:paraId="2A84A6B6">
      <w:pPr>
        <w:spacing w:line="360" w:lineRule="auto"/>
        <w:rPr>
          <w:rFonts w:hint="eastAsia" w:ascii="宋体" w:hAnsi="宋体" w:eastAsia="宋体" w:cs="宋体"/>
          <w:color w:val="auto"/>
          <w:szCs w:val="21"/>
          <w:highlight w:val="none"/>
        </w:rPr>
      </w:pPr>
    </w:p>
    <w:p w14:paraId="32AAC3FE">
      <w:pPr>
        <w:spacing w:line="360" w:lineRule="auto"/>
        <w:rPr>
          <w:rFonts w:hint="eastAsia" w:ascii="宋体" w:hAnsi="宋体" w:eastAsia="宋体" w:cs="宋体"/>
          <w:color w:val="auto"/>
          <w:szCs w:val="21"/>
          <w:highlight w:val="none"/>
        </w:rPr>
      </w:pPr>
    </w:p>
    <w:p w14:paraId="31FBB98F">
      <w:pPr>
        <w:spacing w:line="360" w:lineRule="auto"/>
        <w:ind w:firstLine="3360" w:firstLineChars="16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联合体牵头人名称：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加盖电子印章</w:t>
      </w:r>
      <w:r>
        <w:rPr>
          <w:rFonts w:hint="eastAsia" w:ascii="宋体" w:hAnsi="宋体" w:eastAsia="宋体" w:cs="宋体"/>
          <w:color w:val="auto"/>
          <w:szCs w:val="21"/>
          <w:highlight w:val="none"/>
        </w:rPr>
        <w:t>）</w:t>
      </w:r>
    </w:p>
    <w:p w14:paraId="04736565">
      <w:pPr>
        <w:spacing w:line="360" w:lineRule="auto"/>
        <w:ind w:firstLine="3360" w:firstLineChars="16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电子签名</w:t>
      </w:r>
      <w:r>
        <w:rPr>
          <w:rFonts w:hint="eastAsia" w:ascii="宋体" w:hAnsi="宋体" w:eastAsia="宋体" w:cs="宋体"/>
          <w:color w:val="auto"/>
          <w:szCs w:val="21"/>
          <w:highlight w:val="none"/>
        </w:rPr>
        <w:t>）</w:t>
      </w:r>
    </w:p>
    <w:p w14:paraId="3D9E35AD">
      <w:pPr>
        <w:spacing w:line="360" w:lineRule="auto"/>
        <w:rPr>
          <w:rFonts w:hint="eastAsia" w:ascii="宋体" w:hAnsi="宋体" w:eastAsia="宋体" w:cs="宋体"/>
          <w:color w:val="auto"/>
          <w:szCs w:val="21"/>
          <w:highlight w:val="none"/>
        </w:rPr>
      </w:pPr>
    </w:p>
    <w:p w14:paraId="2455DC55">
      <w:pPr>
        <w:spacing w:line="360" w:lineRule="auto"/>
        <w:ind w:firstLine="3360" w:firstLineChars="16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联合体成员名称：</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加盖电子印章</w:t>
      </w:r>
      <w:r>
        <w:rPr>
          <w:rFonts w:hint="eastAsia" w:ascii="宋体" w:hAnsi="宋体" w:eastAsia="宋体" w:cs="宋体"/>
          <w:color w:val="auto"/>
          <w:szCs w:val="21"/>
          <w:highlight w:val="none"/>
        </w:rPr>
        <w:t>）</w:t>
      </w:r>
    </w:p>
    <w:p w14:paraId="2CBDFA52">
      <w:pPr>
        <w:spacing w:line="360" w:lineRule="auto"/>
        <w:ind w:firstLine="3360" w:firstLineChars="16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电子签名</w:t>
      </w:r>
      <w:r>
        <w:rPr>
          <w:rFonts w:hint="eastAsia" w:ascii="宋体" w:hAnsi="宋体" w:eastAsia="宋体" w:cs="宋体"/>
          <w:color w:val="auto"/>
          <w:szCs w:val="21"/>
          <w:highlight w:val="none"/>
        </w:rPr>
        <w:t>）</w:t>
      </w:r>
    </w:p>
    <w:p w14:paraId="260F932C">
      <w:pPr>
        <w:spacing w:line="360" w:lineRule="auto"/>
        <w:rPr>
          <w:rFonts w:hint="eastAsia" w:ascii="宋体" w:hAnsi="宋体" w:eastAsia="宋体" w:cs="宋体"/>
          <w:color w:val="auto"/>
          <w:szCs w:val="21"/>
          <w:highlight w:val="none"/>
        </w:rPr>
      </w:pPr>
    </w:p>
    <w:p w14:paraId="229B43B0">
      <w:pPr>
        <w:spacing w:line="360" w:lineRule="auto"/>
        <w:ind w:firstLine="3360" w:firstLineChars="1600"/>
        <w:rPr>
          <w:rFonts w:hint="eastAsia" w:ascii="宋体" w:hAnsi="宋体" w:eastAsia="宋体" w:cs="宋体"/>
          <w:color w:val="auto"/>
          <w:szCs w:val="21"/>
          <w:highlight w:val="none"/>
        </w:rPr>
      </w:pPr>
      <w:permStart w:id="193" w:edGrp="everyone"/>
      <w:r>
        <w:rPr>
          <w:rFonts w:hint="eastAsia" w:ascii="宋体" w:hAnsi="宋体" w:eastAsia="宋体" w:cs="宋体"/>
          <w:color w:val="auto"/>
          <w:szCs w:val="21"/>
          <w:highlight w:val="none"/>
        </w:rPr>
        <w:t>联合体成员名称：</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加盖电子印章</w:t>
      </w:r>
      <w:r>
        <w:rPr>
          <w:rFonts w:hint="eastAsia" w:ascii="宋体" w:hAnsi="宋体" w:eastAsia="宋体" w:cs="宋体"/>
          <w:color w:val="auto"/>
          <w:szCs w:val="21"/>
          <w:highlight w:val="none"/>
        </w:rPr>
        <w:t>）</w:t>
      </w:r>
    </w:p>
    <w:p w14:paraId="6115DEF5">
      <w:pPr>
        <w:spacing w:line="360" w:lineRule="auto"/>
        <w:ind w:firstLine="3360" w:firstLineChars="16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电子签名</w:t>
      </w:r>
      <w:r>
        <w:rPr>
          <w:rFonts w:hint="eastAsia" w:ascii="宋体" w:hAnsi="宋体" w:eastAsia="宋体" w:cs="宋体"/>
          <w:color w:val="auto"/>
          <w:szCs w:val="21"/>
          <w:highlight w:val="none"/>
        </w:rPr>
        <w:t>）</w:t>
      </w:r>
    </w:p>
    <w:permEnd w:id="193"/>
    <w:p w14:paraId="1DC3B25F">
      <w:pPr>
        <w:spacing w:line="360" w:lineRule="auto"/>
        <w:rPr>
          <w:rFonts w:hint="eastAsia" w:ascii="宋体" w:hAnsi="宋体" w:eastAsia="宋体" w:cs="宋体"/>
          <w:color w:val="auto"/>
          <w:szCs w:val="21"/>
          <w:highlight w:val="none"/>
        </w:rPr>
      </w:pPr>
    </w:p>
    <w:p w14:paraId="79DBBF86">
      <w:pPr>
        <w:pStyle w:val="10"/>
        <w:ind w:firstLine="5460" w:firstLineChars="2600"/>
        <w:rPr>
          <w:rFonts w:hint="eastAsia" w:ascii="宋体" w:hAnsi="宋体" w:eastAsia="宋体" w:cs="宋体"/>
          <w:color w:val="auto"/>
          <w:highlight w:val="none"/>
        </w:rPr>
      </w:pPr>
      <w:r>
        <w:rPr>
          <w:rFonts w:hint="eastAsia" w:ascii="宋体" w:hAnsi="宋体" w:eastAsia="宋体" w:cs="宋体"/>
          <w:color w:val="auto"/>
          <w:highlight w:val="none"/>
        </w:rPr>
        <w:t>年    月    日</w:t>
      </w:r>
    </w:p>
    <w:p w14:paraId="354B1749">
      <w:pPr>
        <w:tabs>
          <w:tab w:val="left" w:pos="-951"/>
          <w:tab w:val="left" w:pos="4267"/>
          <w:tab w:val="left" w:pos="7925"/>
        </w:tabs>
        <w:adjustRightInd w:val="0"/>
        <w:snapToGrid w:val="0"/>
        <w:spacing w:line="360" w:lineRule="auto"/>
        <w:ind w:right="-6"/>
        <w:jc w:val="right"/>
        <w:rPr>
          <w:rFonts w:hint="eastAsia" w:ascii="宋体" w:hAnsi="宋体" w:eastAsia="宋体" w:cs="宋体"/>
          <w:b/>
          <w:bCs/>
          <w:color w:val="auto"/>
          <w:sz w:val="28"/>
          <w:szCs w:val="28"/>
          <w:highlight w:val="none"/>
        </w:rPr>
      </w:pPr>
    </w:p>
    <w:p w14:paraId="2FDE98ED">
      <w:pPr>
        <w:tabs>
          <w:tab w:val="left" w:pos="-951"/>
          <w:tab w:val="left" w:pos="4267"/>
          <w:tab w:val="left" w:pos="7925"/>
        </w:tabs>
        <w:adjustRightInd w:val="0"/>
        <w:snapToGrid w:val="0"/>
        <w:spacing w:line="360" w:lineRule="auto"/>
        <w:ind w:right="-6"/>
        <w:jc w:val="right"/>
        <w:rPr>
          <w:rFonts w:hint="eastAsia" w:ascii="宋体" w:hAnsi="宋体" w:eastAsia="宋体" w:cs="宋体"/>
          <w:b/>
          <w:bCs/>
          <w:color w:val="auto"/>
          <w:sz w:val="28"/>
          <w:szCs w:val="28"/>
          <w:highlight w:val="none"/>
        </w:rPr>
      </w:pPr>
    </w:p>
    <w:p w14:paraId="4E0A7769">
      <w:pPr>
        <w:jc w:val="center"/>
        <w:rPr>
          <w:rFonts w:hint="eastAsia" w:ascii="宋体" w:hAnsi="宋体" w:eastAsia="宋体" w:cs="宋体"/>
          <w:b/>
          <w:color w:val="auto"/>
          <w:sz w:val="24"/>
          <w:highlight w:val="none"/>
        </w:rPr>
      </w:pPr>
      <w:bookmarkStart w:id="2584" w:name="_Toc1607403973_WPSOffice_Level2"/>
      <w:r>
        <w:rPr>
          <w:rFonts w:hint="eastAsia" w:ascii="宋体" w:hAnsi="宋体" w:eastAsia="宋体" w:cs="宋体"/>
          <w:b/>
          <w:bCs/>
          <w:color w:val="auto"/>
          <w:sz w:val="28"/>
          <w:szCs w:val="28"/>
          <w:highlight w:val="none"/>
          <w:lang w:val="en-US" w:eastAsia="zh-CN"/>
        </w:rPr>
        <w:br w:type="page"/>
      </w:r>
      <w:r>
        <w:rPr>
          <w:rFonts w:hint="eastAsia" w:ascii="宋体" w:hAnsi="宋体" w:eastAsia="宋体" w:cs="宋体"/>
          <w:b/>
          <w:bCs/>
          <w:color w:val="auto"/>
          <w:sz w:val="28"/>
          <w:szCs w:val="28"/>
          <w:highlight w:val="none"/>
          <w:lang w:val="en-US" w:eastAsia="zh-CN"/>
        </w:rPr>
        <w:t>七</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rPr>
        <w:t>类似工程业绩表</w:t>
      </w:r>
      <w:bookmarkEnd w:id="2584"/>
    </w:p>
    <w:p w14:paraId="6FF59099">
      <w:pPr>
        <w:pStyle w:val="10"/>
        <w:rPr>
          <w:rFonts w:hint="eastAsia" w:ascii="宋体" w:hAnsi="宋体" w:eastAsia="宋体" w:cs="宋体"/>
          <w:color w:val="auto"/>
          <w:highlight w:val="none"/>
        </w:rPr>
      </w:pP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445"/>
        <w:gridCol w:w="2310"/>
        <w:gridCol w:w="2055"/>
      </w:tblGrid>
      <w:tr w14:paraId="199E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2484" w:type="dxa"/>
            <w:tcBorders>
              <w:top w:val="single" w:color="auto" w:sz="4" w:space="0"/>
              <w:left w:val="single" w:color="auto" w:sz="4" w:space="0"/>
              <w:bottom w:val="single" w:color="auto" w:sz="4" w:space="0"/>
              <w:right w:val="single" w:color="auto" w:sz="4" w:space="0"/>
            </w:tcBorders>
            <w:noWrap w:val="0"/>
            <w:vAlign w:val="center"/>
          </w:tcPr>
          <w:p w14:paraId="2C1E0B9C">
            <w:pPr>
              <w:jc w:val="center"/>
              <w:rPr>
                <w:rFonts w:hint="eastAsia" w:ascii="宋体" w:hAnsi="宋体" w:eastAsia="宋体" w:cs="宋体"/>
                <w:color w:val="auto"/>
                <w:kern w:val="10"/>
                <w:szCs w:val="21"/>
                <w:highlight w:val="none"/>
                <w:lang w:eastAsia="zh-CN"/>
              </w:rPr>
            </w:pPr>
            <w:r>
              <w:rPr>
                <w:rFonts w:hint="eastAsia" w:ascii="宋体" w:hAnsi="宋体" w:eastAsia="宋体" w:cs="宋体"/>
                <w:color w:val="auto"/>
                <w:kern w:val="10"/>
                <w:szCs w:val="21"/>
                <w:highlight w:val="none"/>
                <w:lang w:eastAsia="zh-CN"/>
              </w:rPr>
              <w:t>项目名称</w:t>
            </w:r>
          </w:p>
        </w:tc>
        <w:tc>
          <w:tcPr>
            <w:tcW w:w="2445" w:type="dxa"/>
            <w:tcBorders>
              <w:top w:val="single" w:color="auto" w:sz="4" w:space="0"/>
              <w:left w:val="single" w:color="auto" w:sz="4" w:space="0"/>
              <w:bottom w:val="single" w:color="auto" w:sz="4" w:space="0"/>
              <w:right w:val="single" w:color="auto" w:sz="4" w:space="0"/>
            </w:tcBorders>
            <w:noWrap w:val="0"/>
            <w:vAlign w:val="center"/>
          </w:tcPr>
          <w:p w14:paraId="68E237A0">
            <w:pPr>
              <w:jc w:val="center"/>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合同金额</w:t>
            </w:r>
          </w:p>
        </w:tc>
        <w:tc>
          <w:tcPr>
            <w:tcW w:w="2310" w:type="dxa"/>
            <w:tcBorders>
              <w:top w:val="single" w:color="auto" w:sz="4" w:space="0"/>
              <w:left w:val="single" w:color="auto" w:sz="4" w:space="0"/>
              <w:bottom w:val="single" w:color="auto" w:sz="4" w:space="0"/>
              <w:right w:val="single" w:color="auto" w:sz="4" w:space="0"/>
            </w:tcBorders>
            <w:noWrap w:val="0"/>
            <w:vAlign w:val="center"/>
          </w:tcPr>
          <w:p w14:paraId="6C6774DA">
            <w:pPr>
              <w:jc w:val="center"/>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工程规模</w:t>
            </w:r>
          </w:p>
        </w:tc>
        <w:tc>
          <w:tcPr>
            <w:tcW w:w="2055" w:type="dxa"/>
            <w:tcBorders>
              <w:top w:val="single" w:color="auto" w:sz="4" w:space="0"/>
              <w:left w:val="single" w:color="auto" w:sz="4" w:space="0"/>
              <w:bottom w:val="single" w:color="auto" w:sz="4" w:space="0"/>
              <w:right w:val="single" w:color="auto" w:sz="4" w:space="0"/>
            </w:tcBorders>
            <w:noWrap w:val="0"/>
            <w:vAlign w:val="center"/>
          </w:tcPr>
          <w:p w14:paraId="45571493">
            <w:pPr>
              <w:jc w:val="center"/>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完成日期</w:t>
            </w:r>
          </w:p>
        </w:tc>
      </w:tr>
      <w:tr w14:paraId="67AA2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2484" w:type="dxa"/>
            <w:tcBorders>
              <w:top w:val="single" w:color="auto" w:sz="4" w:space="0"/>
              <w:left w:val="single" w:color="auto" w:sz="4" w:space="0"/>
              <w:bottom w:val="single" w:color="auto" w:sz="4" w:space="0"/>
              <w:right w:val="single" w:color="auto" w:sz="4" w:space="0"/>
            </w:tcBorders>
            <w:noWrap w:val="0"/>
            <w:vAlign w:val="top"/>
          </w:tcPr>
          <w:p w14:paraId="4A27C5D9">
            <w:pPr>
              <w:jc w:val="center"/>
              <w:rPr>
                <w:rFonts w:hint="eastAsia" w:ascii="宋体" w:hAnsi="宋体" w:eastAsia="宋体" w:cs="宋体"/>
                <w:b/>
                <w:color w:val="auto"/>
                <w:sz w:val="24"/>
                <w:highlight w:val="none"/>
              </w:rPr>
            </w:pPr>
          </w:p>
        </w:tc>
        <w:tc>
          <w:tcPr>
            <w:tcW w:w="2445" w:type="dxa"/>
            <w:tcBorders>
              <w:top w:val="single" w:color="auto" w:sz="4" w:space="0"/>
              <w:left w:val="single" w:color="auto" w:sz="4" w:space="0"/>
              <w:bottom w:val="single" w:color="auto" w:sz="4" w:space="0"/>
              <w:right w:val="single" w:color="auto" w:sz="4" w:space="0"/>
            </w:tcBorders>
            <w:noWrap w:val="0"/>
            <w:vAlign w:val="top"/>
          </w:tcPr>
          <w:p w14:paraId="1A1F739B">
            <w:pPr>
              <w:jc w:val="center"/>
              <w:rPr>
                <w:rFonts w:hint="eastAsia" w:ascii="宋体" w:hAnsi="宋体" w:eastAsia="宋体" w:cs="宋体"/>
                <w:b/>
                <w:color w:val="auto"/>
                <w:sz w:val="24"/>
                <w:highlight w:val="none"/>
              </w:rPr>
            </w:pPr>
          </w:p>
        </w:tc>
        <w:tc>
          <w:tcPr>
            <w:tcW w:w="2310" w:type="dxa"/>
            <w:tcBorders>
              <w:top w:val="single" w:color="auto" w:sz="4" w:space="0"/>
              <w:left w:val="single" w:color="auto" w:sz="4" w:space="0"/>
              <w:bottom w:val="single" w:color="auto" w:sz="4" w:space="0"/>
              <w:right w:val="single" w:color="auto" w:sz="4" w:space="0"/>
            </w:tcBorders>
            <w:noWrap w:val="0"/>
            <w:vAlign w:val="top"/>
          </w:tcPr>
          <w:p w14:paraId="03AF39F8">
            <w:pPr>
              <w:ind w:right="4200" w:rightChars="2000"/>
              <w:jc w:val="center"/>
              <w:rPr>
                <w:rFonts w:hint="eastAsia" w:ascii="宋体" w:hAnsi="宋体" w:eastAsia="宋体" w:cs="宋体"/>
                <w:b/>
                <w:color w:val="auto"/>
                <w:sz w:val="24"/>
                <w:highlight w:val="none"/>
              </w:rPr>
            </w:pPr>
          </w:p>
        </w:tc>
        <w:tc>
          <w:tcPr>
            <w:tcW w:w="2055" w:type="dxa"/>
            <w:tcBorders>
              <w:top w:val="single" w:color="auto" w:sz="4" w:space="0"/>
              <w:left w:val="single" w:color="auto" w:sz="4" w:space="0"/>
              <w:bottom w:val="single" w:color="auto" w:sz="4" w:space="0"/>
              <w:right w:val="single" w:color="auto" w:sz="4" w:space="0"/>
            </w:tcBorders>
            <w:noWrap w:val="0"/>
            <w:vAlign w:val="top"/>
          </w:tcPr>
          <w:p w14:paraId="0922FA09">
            <w:pPr>
              <w:ind w:right="4200" w:rightChars="2000"/>
              <w:jc w:val="center"/>
              <w:rPr>
                <w:rFonts w:hint="eastAsia" w:ascii="宋体" w:hAnsi="宋体" w:eastAsia="宋体" w:cs="宋体"/>
                <w:b/>
                <w:color w:val="auto"/>
                <w:sz w:val="24"/>
                <w:highlight w:val="none"/>
              </w:rPr>
            </w:pPr>
          </w:p>
        </w:tc>
      </w:tr>
    </w:tbl>
    <w:p w14:paraId="0D425291">
      <w:pPr>
        <w:ind w:right="945"/>
        <w:jc w:val="left"/>
        <w:rPr>
          <w:rFonts w:hint="eastAsia" w:ascii="宋体" w:hAnsi="宋体" w:eastAsia="宋体" w:cs="宋体"/>
          <w:color w:val="auto"/>
          <w:szCs w:val="21"/>
          <w:highlight w:val="none"/>
        </w:rPr>
      </w:pPr>
    </w:p>
    <w:p w14:paraId="4DECDB0D">
      <w:pPr>
        <w:ind w:right="945"/>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eastAsia="zh-CN"/>
        </w:rPr>
        <w:t>备</w:t>
      </w:r>
      <w:r>
        <w:rPr>
          <w:rFonts w:hint="eastAsia" w:ascii="宋体" w:hAnsi="宋体" w:eastAsia="宋体" w:cs="宋体"/>
          <w:b/>
          <w:color w:val="auto"/>
          <w:szCs w:val="21"/>
          <w:highlight w:val="none"/>
        </w:rPr>
        <w:t>注：</w:t>
      </w:r>
    </w:p>
    <w:p w14:paraId="2B7C2F31">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投标人须在本表后附上能反映业绩符合招标文件要求的有效的</w:t>
      </w:r>
      <w:r>
        <w:rPr>
          <w:rFonts w:hint="eastAsia" w:ascii="宋体" w:hAnsi="宋体" w:eastAsia="宋体" w:cs="宋体"/>
          <w:b/>
          <w:color w:val="auto"/>
          <w:szCs w:val="21"/>
          <w:highlight w:val="none"/>
        </w:rPr>
        <w:t>施工合同</w:t>
      </w:r>
      <w:r>
        <w:rPr>
          <w:rFonts w:hint="eastAsia" w:ascii="宋体" w:hAnsi="宋体" w:eastAsia="宋体" w:cs="宋体"/>
          <w:color w:val="auto"/>
          <w:szCs w:val="21"/>
          <w:highlight w:val="none"/>
        </w:rPr>
        <w:t>和</w:t>
      </w:r>
      <w:r>
        <w:rPr>
          <w:rFonts w:hint="eastAsia" w:ascii="宋体" w:hAnsi="宋体" w:eastAsia="宋体" w:cs="宋体"/>
          <w:b/>
          <w:color w:val="auto"/>
          <w:szCs w:val="21"/>
          <w:highlight w:val="none"/>
        </w:rPr>
        <w:t>竣工验收合格证明材料</w:t>
      </w:r>
      <w:r>
        <w:rPr>
          <w:rFonts w:hint="eastAsia" w:ascii="宋体" w:hAnsi="宋体" w:eastAsia="宋体" w:cs="宋体"/>
          <w:color w:val="auto"/>
          <w:szCs w:val="21"/>
          <w:highlight w:val="none"/>
        </w:rPr>
        <w:t>复印件</w:t>
      </w:r>
      <w:r>
        <w:rPr>
          <w:rFonts w:hint="eastAsia" w:ascii="宋体" w:hAnsi="宋体" w:cs="宋体"/>
          <w:color w:val="auto"/>
          <w:szCs w:val="21"/>
          <w:highlight w:val="none"/>
          <w:lang w:eastAsia="zh-CN"/>
        </w:rPr>
        <w:t>或扫描件</w:t>
      </w:r>
      <w:r>
        <w:rPr>
          <w:rFonts w:hint="eastAsia" w:ascii="宋体" w:hAnsi="宋体" w:eastAsia="宋体" w:cs="宋体"/>
          <w:color w:val="auto"/>
          <w:szCs w:val="21"/>
          <w:highlight w:val="none"/>
        </w:rPr>
        <w:t>，及业绩登记发布在“全国建筑市场监管公共服务平台”上的</w:t>
      </w:r>
      <w:r>
        <w:rPr>
          <w:rFonts w:hint="eastAsia" w:ascii="宋体" w:hAnsi="宋体" w:eastAsia="宋体" w:cs="宋体"/>
          <w:b/>
          <w:color w:val="auto"/>
          <w:szCs w:val="21"/>
          <w:highlight w:val="none"/>
        </w:rPr>
        <w:t>“</w:t>
      </w:r>
      <w:r>
        <w:rPr>
          <w:rFonts w:hint="eastAsia" w:ascii="宋体" w:hAnsi="宋体" w:eastAsia="宋体" w:cs="宋体"/>
          <w:bCs/>
          <w:color w:val="auto"/>
          <w:szCs w:val="21"/>
          <w:highlight w:val="none"/>
        </w:rPr>
        <w:t>工程基本信息</w:t>
      </w:r>
      <w:r>
        <w:rPr>
          <w:rFonts w:hint="eastAsia" w:ascii="宋体" w:hAnsi="宋体" w:eastAsia="宋体" w:cs="宋体"/>
          <w:b/>
          <w:color w:val="auto"/>
          <w:szCs w:val="21"/>
          <w:highlight w:val="none"/>
        </w:rPr>
        <w:t>”截图</w:t>
      </w:r>
      <w:r>
        <w:rPr>
          <w:rFonts w:hint="eastAsia" w:ascii="宋体" w:hAnsi="宋体" w:eastAsia="宋体" w:cs="宋体"/>
          <w:color w:val="auto"/>
          <w:szCs w:val="21"/>
          <w:highlight w:val="none"/>
        </w:rPr>
        <w:t>，否则业绩不予认可。</w:t>
      </w:r>
    </w:p>
    <w:p w14:paraId="301D4CE9">
      <w:pPr>
        <w:keepNext w:val="0"/>
        <w:keepLines w:val="0"/>
        <w:pageBreakBefore w:val="0"/>
        <w:widowControl w:val="0"/>
        <w:tabs>
          <w:tab w:val="left" w:pos="9354"/>
        </w:tabs>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施工合同可只复印</w:t>
      </w:r>
      <w:r>
        <w:rPr>
          <w:rFonts w:hint="eastAsia" w:ascii="宋体" w:hAnsi="宋体" w:cs="宋体"/>
          <w:color w:val="auto"/>
          <w:szCs w:val="21"/>
          <w:highlight w:val="none"/>
          <w:lang w:eastAsia="zh-CN"/>
        </w:rPr>
        <w:t>或扫描</w:t>
      </w:r>
      <w:r>
        <w:rPr>
          <w:rFonts w:hint="eastAsia" w:ascii="宋体" w:hAnsi="宋体" w:eastAsia="宋体" w:cs="宋体"/>
          <w:color w:val="auto"/>
          <w:szCs w:val="21"/>
          <w:highlight w:val="none"/>
        </w:rPr>
        <w:t>盖章页及含有项目名称、签约主体、合同价款、规模等技术指标的关键页，施工合同复印件</w:t>
      </w:r>
      <w:r>
        <w:rPr>
          <w:rFonts w:hint="eastAsia" w:ascii="宋体" w:hAnsi="宋体" w:cs="宋体"/>
          <w:color w:val="auto"/>
          <w:szCs w:val="21"/>
          <w:highlight w:val="none"/>
          <w:lang w:eastAsia="zh-CN"/>
        </w:rPr>
        <w:t>或扫描件</w:t>
      </w:r>
      <w:r>
        <w:rPr>
          <w:rFonts w:hint="eastAsia" w:ascii="宋体" w:hAnsi="宋体" w:eastAsia="宋体" w:cs="宋体"/>
          <w:color w:val="auto"/>
          <w:szCs w:val="21"/>
          <w:highlight w:val="none"/>
        </w:rPr>
        <w:t>须能反映合同签约双方已盖章签字。其他资料需提供完整内容的复印件</w:t>
      </w:r>
      <w:r>
        <w:rPr>
          <w:rFonts w:hint="eastAsia" w:ascii="宋体" w:hAnsi="宋体" w:cs="宋体"/>
          <w:color w:val="auto"/>
          <w:szCs w:val="21"/>
          <w:highlight w:val="none"/>
          <w:lang w:eastAsia="zh-CN"/>
        </w:rPr>
        <w:t>或扫描件</w:t>
      </w:r>
      <w:r>
        <w:rPr>
          <w:rFonts w:hint="eastAsia" w:ascii="宋体" w:hAnsi="宋体" w:eastAsia="宋体" w:cs="宋体"/>
          <w:color w:val="auto"/>
          <w:szCs w:val="21"/>
          <w:highlight w:val="none"/>
        </w:rPr>
        <w:t>。</w:t>
      </w:r>
    </w:p>
    <w:p w14:paraId="7779DE79">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相关竣工验收合格证明材料复印件</w:t>
      </w:r>
      <w:r>
        <w:rPr>
          <w:rFonts w:hint="eastAsia" w:ascii="宋体" w:hAnsi="宋体" w:cs="宋体"/>
          <w:color w:val="auto"/>
          <w:szCs w:val="21"/>
          <w:highlight w:val="none"/>
          <w:lang w:eastAsia="zh-CN"/>
        </w:rPr>
        <w:t>或扫描件</w:t>
      </w:r>
      <w:r>
        <w:rPr>
          <w:rFonts w:hint="eastAsia" w:ascii="宋体" w:hAnsi="宋体" w:eastAsia="宋体" w:cs="宋体"/>
          <w:color w:val="auto"/>
          <w:szCs w:val="21"/>
          <w:highlight w:val="none"/>
        </w:rPr>
        <w:t>须能反映工程已竣工验收，并已注明签发日期，竣工验收合格证明材料的签发日期在业绩要求规定的时间范围内的方为有效业绩。</w:t>
      </w:r>
    </w:p>
    <w:p w14:paraId="4774327D">
      <w:pPr>
        <w:keepNext w:val="0"/>
        <w:keepLines w:val="0"/>
        <w:pageBreakBefore w:val="0"/>
        <w:widowControl w:val="0"/>
        <w:kinsoku/>
        <w:wordWrap/>
        <w:overflowPunct/>
        <w:topLinePunct w:val="0"/>
        <w:autoSpaceDE/>
        <w:autoSpaceDN/>
        <w:bidi w:val="0"/>
        <w:adjustRightInd/>
        <w:snapToGrid/>
        <w:spacing w:line="360" w:lineRule="auto"/>
        <w:ind w:right="945"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竣工验收合格证明材料包括：</w:t>
      </w:r>
    </w:p>
    <w:p w14:paraId="38D74D66">
      <w:pPr>
        <w:keepNext w:val="0"/>
        <w:keepLines w:val="0"/>
        <w:pageBreakBefore w:val="0"/>
        <w:widowControl w:val="0"/>
        <w:tabs>
          <w:tab w:val="left" w:pos="9354"/>
        </w:tabs>
        <w:kinsoku/>
        <w:wordWrap/>
        <w:overflowPunct/>
        <w:topLinePunct w:val="0"/>
        <w:autoSpaceDE/>
        <w:autoSpaceDN/>
        <w:bidi w:val="0"/>
        <w:adjustRightInd/>
        <w:snapToGrid/>
        <w:spacing w:line="360" w:lineRule="auto"/>
        <w:ind w:right="945"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（1）中标通知书或施工许可证。</w:t>
      </w:r>
    </w:p>
    <w:p w14:paraId="4F07B831">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（2）由行政部门盖章签发的竣工验收合格证明材料或有建设单位（代建单位）、监理单位、设计单位、施工单位公章的竣工验收合格证明材料。</w:t>
      </w:r>
    </w:p>
    <w:p w14:paraId="72CC5D07">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工程规模以合同上的规模为准。</w:t>
      </w:r>
    </w:p>
    <w:p w14:paraId="6CDE21BA">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合同金额以施工合同中的数据为准。施工承包合同未载明合同总价的，以工程结算资料复印件</w:t>
      </w:r>
      <w:r>
        <w:rPr>
          <w:rFonts w:hint="eastAsia" w:ascii="宋体" w:hAnsi="宋体" w:cs="宋体"/>
          <w:color w:val="auto"/>
          <w:szCs w:val="21"/>
          <w:highlight w:val="none"/>
          <w:lang w:eastAsia="zh-CN"/>
        </w:rPr>
        <w:t>或扫描件</w:t>
      </w:r>
      <w:r>
        <w:rPr>
          <w:rFonts w:hint="eastAsia" w:ascii="宋体" w:hAnsi="宋体" w:eastAsia="宋体" w:cs="宋体"/>
          <w:color w:val="auto"/>
          <w:szCs w:val="21"/>
          <w:highlight w:val="none"/>
        </w:rPr>
        <w:t>（工程结算资料须能反映结算双方已盖章确认的结算金额）为准。单项合同金额是指一个承包合同所载合同价，同一工程项目分期发包，签订多个施工合同的，不以累加的合同额作为代表工程业绩。</w:t>
      </w:r>
    </w:p>
    <w:p w14:paraId="7E851E48">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若业绩是</w:t>
      </w:r>
      <w:r>
        <w:rPr>
          <w:rFonts w:hint="eastAsia" w:ascii="宋体" w:hAnsi="宋体" w:eastAsia="宋体" w:cs="宋体"/>
          <w:color w:val="auto"/>
          <w:szCs w:val="21"/>
          <w:highlight w:val="none"/>
          <w:lang w:val="en-US" w:eastAsia="zh-CN"/>
        </w:rPr>
        <w:t>由</w:t>
      </w:r>
      <w:r>
        <w:rPr>
          <w:rFonts w:hint="eastAsia" w:ascii="宋体" w:hAnsi="宋体" w:eastAsia="宋体" w:cs="宋体"/>
          <w:color w:val="auto"/>
          <w:szCs w:val="21"/>
          <w:highlight w:val="none"/>
        </w:rPr>
        <w:t>多个施工单位联合承担的，面积或金额按施工单位家数均分；合同中有约定的，按合同约定为准。</w:t>
      </w:r>
    </w:p>
    <w:p w14:paraId="0063428C">
      <w:pPr>
        <w:keepNext w:val="0"/>
        <w:keepLines w:val="0"/>
        <w:pageBreakBefore w:val="0"/>
        <w:widowControl w:val="0"/>
        <w:tabs>
          <w:tab w:val="left" w:pos="9354"/>
        </w:tabs>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投标人法人机构发生合法变更或重组或法人名称变更时，应提供相关部门的合法批件或其他相关证明材料来证明其所附业绩的继承性；未提供相关证明材料或所提供的证明材料无法证实其所附业绩的继承性的，其业绩不予认定。</w:t>
      </w:r>
    </w:p>
    <w:p w14:paraId="4D6E5E04">
      <w:pPr>
        <w:keepNext w:val="0"/>
        <w:keepLines w:val="0"/>
        <w:pageBreakBefore w:val="0"/>
        <w:widowControl w:val="0"/>
        <w:tabs>
          <w:tab w:val="left" w:pos="9354"/>
        </w:tabs>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9.投标人只需提交1个类似工程业绩。</w:t>
      </w:r>
    </w:p>
    <w:p w14:paraId="28E29A01">
      <w:pPr>
        <w:pStyle w:val="10"/>
        <w:spacing w:line="360" w:lineRule="auto"/>
        <w:jc w:val="center"/>
        <w:rPr>
          <w:rFonts w:hint="eastAsia" w:ascii="宋体" w:hAnsi="宋体" w:eastAsia="宋体" w:cs="宋体"/>
          <w:color w:val="auto"/>
          <w:sz w:val="40"/>
          <w:szCs w:val="40"/>
          <w:highlight w:val="none"/>
          <w:lang w:eastAsia="zh-CN"/>
        </w:rPr>
      </w:pPr>
      <w:r>
        <w:rPr>
          <w:rFonts w:hint="eastAsia" w:ascii="宋体" w:hAnsi="宋体" w:eastAsia="宋体" w:cs="宋体"/>
          <w:color w:val="auto"/>
          <w:szCs w:val="21"/>
          <w:highlight w:val="none"/>
        </w:rPr>
        <w:br w:type="page"/>
      </w:r>
      <w:r>
        <w:rPr>
          <w:rFonts w:hint="eastAsia" w:ascii="宋体" w:hAnsi="宋体" w:eastAsia="宋体" w:cs="宋体"/>
          <w:bCs/>
          <w:color w:val="auto"/>
          <w:sz w:val="40"/>
          <w:szCs w:val="40"/>
          <w:highlight w:val="none"/>
          <w:lang w:eastAsia="zh-CN"/>
        </w:rPr>
        <w:t>项目名称</w:t>
      </w:r>
    </w:p>
    <w:p w14:paraId="4891F2B0">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695B94E0">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3F60206D">
      <w:pPr>
        <w:tabs>
          <w:tab w:val="left" w:pos="-951"/>
          <w:tab w:val="left" w:pos="4267"/>
          <w:tab w:val="left" w:pos="7925"/>
        </w:tabs>
        <w:adjustRightInd w:val="0"/>
        <w:snapToGrid w:val="0"/>
        <w:spacing w:line="360" w:lineRule="auto"/>
        <w:ind w:right="-6"/>
        <w:jc w:val="center"/>
        <w:rPr>
          <w:rFonts w:hint="eastAsia" w:ascii="宋体" w:hAnsi="宋体" w:eastAsia="宋体" w:cs="宋体"/>
          <w:bCs/>
          <w:color w:val="auto"/>
          <w:szCs w:val="21"/>
          <w:highlight w:val="none"/>
        </w:rPr>
      </w:pPr>
      <w:r>
        <w:rPr>
          <w:rFonts w:hint="eastAsia" w:ascii="宋体" w:hAnsi="宋体" w:eastAsia="宋体" w:cs="宋体"/>
          <w:bCs/>
          <w:color w:val="auto"/>
          <w:sz w:val="84"/>
          <w:szCs w:val="84"/>
          <w:highlight w:val="none"/>
          <w:lang w:val="en-US" w:eastAsia="zh-CN"/>
        </w:rPr>
        <w:t>技术</w:t>
      </w:r>
      <w:r>
        <w:rPr>
          <w:rFonts w:hint="eastAsia" w:ascii="宋体" w:hAnsi="宋体" w:eastAsia="宋体" w:cs="宋体"/>
          <w:bCs/>
          <w:color w:val="auto"/>
          <w:sz w:val="84"/>
          <w:szCs w:val="84"/>
          <w:highlight w:val="none"/>
        </w:rPr>
        <w:t>标函</w:t>
      </w:r>
    </w:p>
    <w:p w14:paraId="10A7CC8E">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456053E6">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58F33095">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36EE8F06">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493ED8B6">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390E044C">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7CE314ED">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171A3F29">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443D3FCD">
      <w:pPr>
        <w:tabs>
          <w:tab w:val="left" w:pos="-951"/>
          <w:tab w:val="left" w:pos="4267"/>
          <w:tab w:val="left" w:pos="7925"/>
        </w:tabs>
        <w:adjustRightInd w:val="0"/>
        <w:snapToGrid w:val="0"/>
        <w:spacing w:line="360" w:lineRule="auto"/>
        <w:ind w:right="-6" w:firstLine="0" w:firstLineChars="0"/>
        <w:jc w:val="center"/>
        <w:rPr>
          <w:rFonts w:hint="eastAsia" w:ascii="宋体" w:hAnsi="宋体" w:eastAsia="宋体" w:cs="宋体"/>
          <w:bCs/>
          <w:color w:val="auto"/>
          <w:sz w:val="28"/>
          <w:szCs w:val="28"/>
          <w:highlight w:val="none"/>
          <w:u w:val="single"/>
        </w:rPr>
      </w:pPr>
      <w:r>
        <w:rPr>
          <w:rFonts w:hint="eastAsia" w:ascii="宋体" w:hAnsi="宋体" w:eastAsia="宋体" w:cs="宋体"/>
          <w:bCs/>
          <w:color w:val="auto"/>
          <w:sz w:val="28"/>
          <w:szCs w:val="28"/>
          <w:highlight w:val="none"/>
        </w:rPr>
        <w:t>投标人全称：</w:t>
      </w:r>
      <w:r>
        <w:rPr>
          <w:rFonts w:hint="eastAsia" w:ascii="宋体" w:hAnsi="宋体" w:eastAsia="宋体" w:cs="宋体"/>
          <w:bCs/>
          <w:color w:val="auto"/>
          <w:sz w:val="28"/>
          <w:szCs w:val="28"/>
          <w:highlight w:val="none"/>
          <w:u w:val="single"/>
        </w:rPr>
        <w:t xml:space="preserve">                     </w:t>
      </w:r>
      <w:r>
        <w:rPr>
          <w:rFonts w:hint="eastAsia" w:ascii="宋体" w:hAnsi="宋体"/>
          <w:bCs/>
          <w:color w:val="auto"/>
          <w:sz w:val="28"/>
          <w:szCs w:val="28"/>
          <w:highlight w:val="none"/>
          <w:u w:val="none"/>
          <w:lang w:val="en-US" w:eastAsia="zh-CN"/>
        </w:rPr>
        <w:t>（加盖电子印章）</w:t>
      </w:r>
    </w:p>
    <w:p w14:paraId="784D0268">
      <w:pPr>
        <w:tabs>
          <w:tab w:val="left" w:pos="-951"/>
          <w:tab w:val="left" w:pos="4267"/>
          <w:tab w:val="left" w:pos="7925"/>
        </w:tabs>
        <w:adjustRightInd w:val="0"/>
        <w:snapToGrid w:val="0"/>
        <w:spacing w:line="360" w:lineRule="auto"/>
        <w:ind w:right="-6"/>
        <w:rPr>
          <w:rFonts w:hint="eastAsia" w:ascii="宋体" w:hAnsi="宋体" w:eastAsia="宋体" w:cs="宋体"/>
          <w:bCs/>
          <w:color w:val="auto"/>
          <w:sz w:val="28"/>
          <w:szCs w:val="28"/>
          <w:highlight w:val="none"/>
          <w:u w:val="single"/>
        </w:rPr>
      </w:pPr>
    </w:p>
    <w:p w14:paraId="1E95FB34">
      <w:pPr>
        <w:tabs>
          <w:tab w:val="left" w:pos="-951"/>
          <w:tab w:val="left" w:pos="4267"/>
          <w:tab w:val="left" w:pos="7925"/>
        </w:tabs>
        <w:adjustRightInd w:val="0"/>
        <w:snapToGrid w:val="0"/>
        <w:spacing w:line="360" w:lineRule="auto"/>
        <w:ind w:right="-6" w:firstLine="0" w:firstLineChars="0"/>
        <w:jc w:val="center"/>
        <w:rPr>
          <w:rFonts w:hint="eastAsia" w:ascii="宋体" w:hAnsi="宋体" w:eastAsia="宋体" w:cs="宋体"/>
          <w:bCs/>
          <w:color w:val="auto"/>
          <w:sz w:val="28"/>
          <w:szCs w:val="28"/>
          <w:highlight w:val="none"/>
          <w:u w:val="single"/>
          <w:lang w:val="en-US" w:eastAsia="zh-CN"/>
        </w:rPr>
      </w:pPr>
      <w:r>
        <w:rPr>
          <w:rFonts w:hint="eastAsia" w:ascii="宋体" w:hAnsi="宋体" w:eastAsia="宋体" w:cs="宋体"/>
          <w:bCs/>
          <w:color w:val="auto"/>
          <w:sz w:val="28"/>
          <w:szCs w:val="28"/>
          <w:highlight w:val="none"/>
        </w:rPr>
        <w:t>法定代表人或代理人：</w:t>
      </w:r>
      <w:r>
        <w:rPr>
          <w:rFonts w:hint="eastAsia" w:ascii="宋体" w:hAnsi="宋体" w:eastAsia="宋体" w:cs="宋体"/>
          <w:bCs/>
          <w:color w:val="auto"/>
          <w:sz w:val="28"/>
          <w:szCs w:val="28"/>
          <w:highlight w:val="none"/>
          <w:u w:val="single"/>
        </w:rPr>
        <w:t xml:space="preserve">   </w:t>
      </w:r>
      <w:r>
        <w:rPr>
          <w:rFonts w:hint="eastAsia" w:ascii="宋体" w:hAnsi="宋体" w:cs="宋体"/>
          <w:bCs/>
          <w:color w:val="auto"/>
          <w:sz w:val="28"/>
          <w:szCs w:val="28"/>
          <w:highlight w:val="none"/>
          <w:u w:val="single"/>
          <w:lang w:val="en-US" w:eastAsia="zh-CN"/>
        </w:rPr>
        <w:t xml:space="preserve">   </w:t>
      </w:r>
      <w:r>
        <w:rPr>
          <w:rFonts w:hint="eastAsia" w:ascii="宋体" w:hAnsi="宋体" w:eastAsia="宋体" w:cs="宋体"/>
          <w:bCs/>
          <w:color w:val="auto"/>
          <w:sz w:val="28"/>
          <w:szCs w:val="28"/>
          <w:highlight w:val="none"/>
          <w:u w:val="single"/>
        </w:rPr>
        <w:t xml:space="preserve">         </w:t>
      </w:r>
      <w:r>
        <w:rPr>
          <w:rFonts w:hint="eastAsia" w:ascii="宋体" w:hAnsi="宋体" w:eastAsia="宋体" w:cs="宋体"/>
          <w:bCs/>
          <w:color w:val="auto"/>
          <w:sz w:val="28"/>
          <w:szCs w:val="28"/>
          <w:highlight w:val="none"/>
          <w:u w:val="single"/>
          <w:lang w:val="en-US" w:eastAsia="zh-CN"/>
        </w:rPr>
        <w:t xml:space="preserve"> </w:t>
      </w:r>
      <w:r>
        <w:rPr>
          <w:rFonts w:hint="eastAsia" w:ascii="宋体" w:hAnsi="宋体" w:eastAsia="宋体" w:cs="宋体"/>
          <w:bCs/>
          <w:color w:val="auto"/>
          <w:sz w:val="28"/>
          <w:szCs w:val="28"/>
          <w:highlight w:val="none"/>
          <w:u w:val="none"/>
        </w:rPr>
        <w:t>（</w:t>
      </w:r>
      <w:r>
        <w:rPr>
          <w:rFonts w:hint="eastAsia" w:ascii="宋体" w:hAnsi="宋体" w:cs="宋体"/>
          <w:bCs/>
          <w:color w:val="auto"/>
          <w:sz w:val="28"/>
          <w:szCs w:val="28"/>
          <w:highlight w:val="none"/>
          <w:u w:val="none"/>
          <w:lang w:eastAsia="zh-CN"/>
        </w:rPr>
        <w:t>电子签名</w:t>
      </w:r>
      <w:r>
        <w:rPr>
          <w:rFonts w:hint="eastAsia" w:ascii="宋体" w:hAnsi="宋体" w:eastAsia="宋体" w:cs="宋体"/>
          <w:bCs/>
          <w:color w:val="auto"/>
          <w:sz w:val="28"/>
          <w:szCs w:val="28"/>
          <w:highlight w:val="none"/>
          <w:u w:val="none"/>
        </w:rPr>
        <w:t>）</w:t>
      </w:r>
    </w:p>
    <w:p w14:paraId="5B5C1799">
      <w:pPr>
        <w:tabs>
          <w:tab w:val="left" w:pos="-951"/>
          <w:tab w:val="left" w:pos="4267"/>
          <w:tab w:val="left" w:pos="7925"/>
        </w:tabs>
        <w:adjustRightInd w:val="0"/>
        <w:snapToGrid w:val="0"/>
        <w:spacing w:line="360" w:lineRule="auto"/>
        <w:ind w:right="-6"/>
        <w:rPr>
          <w:rFonts w:hint="eastAsia" w:ascii="宋体" w:hAnsi="宋体" w:eastAsia="宋体" w:cs="宋体"/>
          <w:b/>
          <w:bCs/>
          <w:color w:val="auto"/>
          <w:sz w:val="28"/>
          <w:szCs w:val="28"/>
          <w:highlight w:val="none"/>
        </w:rPr>
      </w:pPr>
    </w:p>
    <w:p w14:paraId="7849240D">
      <w:pPr>
        <w:tabs>
          <w:tab w:val="left" w:pos="-951"/>
          <w:tab w:val="left" w:pos="4267"/>
          <w:tab w:val="left" w:pos="7925"/>
        </w:tabs>
        <w:adjustRightInd w:val="0"/>
        <w:snapToGrid w:val="0"/>
        <w:spacing w:line="360" w:lineRule="auto"/>
        <w:ind w:right="-6" w:firstLine="0" w:firstLineChars="0"/>
        <w:jc w:val="center"/>
        <w:rPr>
          <w:rFonts w:hint="eastAsia" w:ascii="宋体" w:hAnsi="宋体" w:eastAsia="宋体" w:cs="宋体"/>
          <w:bCs/>
          <w:color w:val="auto"/>
          <w:sz w:val="28"/>
          <w:szCs w:val="28"/>
          <w:highlight w:val="none"/>
        </w:rPr>
      </w:pPr>
      <w:bookmarkStart w:id="2585" w:name="_Toc389844209_WPSOffice_Level2"/>
      <w:r>
        <w:rPr>
          <w:rFonts w:hint="eastAsia" w:ascii="宋体" w:hAnsi="宋体" w:eastAsia="宋体" w:cs="宋体"/>
          <w:bCs/>
          <w:color w:val="auto"/>
          <w:sz w:val="28"/>
          <w:szCs w:val="28"/>
          <w:highlight w:val="none"/>
        </w:rPr>
        <w:t>年  月  日</w:t>
      </w:r>
      <w:bookmarkEnd w:id="2585"/>
    </w:p>
    <w:p w14:paraId="10FDF842">
      <w:pPr>
        <w:tabs>
          <w:tab w:val="left" w:pos="-951"/>
          <w:tab w:val="left" w:pos="4267"/>
          <w:tab w:val="left" w:pos="7925"/>
        </w:tabs>
        <w:adjustRightInd w:val="0"/>
        <w:snapToGrid w:val="0"/>
        <w:spacing w:line="360" w:lineRule="auto"/>
        <w:ind w:right="-6"/>
        <w:rPr>
          <w:rFonts w:hint="eastAsia" w:ascii="宋体" w:hAnsi="宋体" w:eastAsia="宋体" w:cs="宋体"/>
          <w:bCs/>
          <w:color w:val="auto"/>
          <w:sz w:val="21"/>
          <w:szCs w:val="21"/>
          <w:highlight w:val="none"/>
        </w:rPr>
      </w:pPr>
    </w:p>
    <w:p w14:paraId="22F595A5">
      <w:pPr>
        <w:spacing w:line="42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说明：本封面仅供参考，格式由投标人自定，但必须包括</w:t>
      </w:r>
      <w:r>
        <w:rPr>
          <w:rFonts w:hint="eastAsia" w:ascii="宋体" w:hAnsi="宋体" w:eastAsia="宋体" w:cs="宋体"/>
          <w:color w:val="auto"/>
          <w:sz w:val="21"/>
          <w:szCs w:val="21"/>
          <w:highlight w:val="none"/>
          <w:lang w:eastAsia="zh-CN"/>
        </w:rPr>
        <w:t>项目名称</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技术</w:t>
      </w:r>
      <w:r>
        <w:rPr>
          <w:rFonts w:hint="eastAsia" w:ascii="宋体" w:hAnsi="宋体" w:eastAsia="宋体" w:cs="宋体"/>
          <w:color w:val="auto"/>
          <w:sz w:val="21"/>
          <w:szCs w:val="21"/>
          <w:highlight w:val="none"/>
        </w:rPr>
        <w:t>标”或“</w:t>
      </w:r>
      <w:r>
        <w:rPr>
          <w:rFonts w:hint="eastAsia" w:ascii="宋体" w:hAnsi="宋体" w:eastAsia="宋体" w:cs="宋体"/>
          <w:color w:val="auto"/>
          <w:sz w:val="21"/>
          <w:szCs w:val="21"/>
          <w:highlight w:val="none"/>
          <w:lang w:val="en-US" w:eastAsia="zh-CN"/>
        </w:rPr>
        <w:t>技术</w:t>
      </w:r>
      <w:r>
        <w:rPr>
          <w:rFonts w:hint="eastAsia" w:ascii="宋体" w:hAnsi="宋体" w:eastAsia="宋体" w:cs="宋体"/>
          <w:color w:val="auto"/>
          <w:sz w:val="21"/>
          <w:szCs w:val="21"/>
          <w:highlight w:val="none"/>
        </w:rPr>
        <w:t>标函”字样、投标人名称、投标人</w:t>
      </w:r>
      <w:r>
        <w:rPr>
          <w:rFonts w:hint="eastAsia" w:ascii="宋体" w:hAnsi="宋体" w:cs="宋体"/>
          <w:color w:val="auto"/>
          <w:sz w:val="21"/>
          <w:szCs w:val="21"/>
          <w:highlight w:val="none"/>
          <w:lang w:eastAsia="zh-CN"/>
        </w:rPr>
        <w:t>电子印章</w:t>
      </w:r>
      <w:r>
        <w:rPr>
          <w:rFonts w:hint="eastAsia" w:ascii="宋体" w:hAnsi="宋体" w:eastAsia="宋体" w:cs="宋体"/>
          <w:color w:val="auto"/>
          <w:sz w:val="21"/>
          <w:szCs w:val="21"/>
          <w:highlight w:val="none"/>
        </w:rPr>
        <w:t>、投标人法定代表人或其代理人</w:t>
      </w:r>
      <w:r>
        <w:rPr>
          <w:rFonts w:hint="eastAsia" w:ascii="宋体" w:hAnsi="宋体" w:cs="宋体"/>
          <w:color w:val="auto"/>
          <w:sz w:val="21"/>
          <w:szCs w:val="21"/>
          <w:highlight w:val="none"/>
          <w:lang w:eastAsia="zh-CN"/>
        </w:rPr>
        <w:t>电子签名</w:t>
      </w:r>
      <w:r>
        <w:rPr>
          <w:rFonts w:hint="eastAsia" w:ascii="宋体" w:hAnsi="宋体" w:eastAsia="宋体" w:cs="宋体"/>
          <w:color w:val="auto"/>
          <w:sz w:val="21"/>
          <w:szCs w:val="21"/>
          <w:highlight w:val="none"/>
        </w:rPr>
        <w:t>。</w:t>
      </w:r>
    </w:p>
    <w:p w14:paraId="20554503">
      <w:pPr>
        <w:spacing w:line="42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561749EA">
      <w:pPr>
        <w:spacing w:line="360" w:lineRule="auto"/>
        <w:ind w:firstLine="420"/>
        <w:jc w:val="center"/>
        <w:rPr>
          <w:rFonts w:hint="eastAsia" w:ascii="宋体" w:hAnsi="宋体" w:eastAsia="宋体" w:cs="宋体"/>
          <w:b/>
          <w:color w:val="auto"/>
          <w:sz w:val="48"/>
          <w:szCs w:val="48"/>
          <w:highlight w:val="none"/>
        </w:rPr>
      </w:pPr>
      <w:r>
        <w:rPr>
          <w:rFonts w:hint="eastAsia" w:ascii="宋体" w:hAnsi="宋体" w:eastAsia="宋体" w:cs="宋体"/>
          <w:b/>
          <w:color w:val="auto"/>
          <w:sz w:val="28"/>
          <w:szCs w:val="28"/>
          <w:highlight w:val="none"/>
          <w:lang w:eastAsia="zh-CN"/>
        </w:rPr>
        <w:t>技术标</w:t>
      </w:r>
      <w:r>
        <w:rPr>
          <w:rFonts w:hint="eastAsia" w:ascii="宋体" w:hAnsi="宋体" w:eastAsia="宋体" w:cs="宋体"/>
          <w:b/>
          <w:color w:val="auto"/>
          <w:sz w:val="28"/>
          <w:szCs w:val="28"/>
          <w:highlight w:val="none"/>
        </w:rPr>
        <w:t>目录</w:t>
      </w:r>
    </w:p>
    <w:p w14:paraId="6286FC35">
      <w:pPr>
        <w:spacing w:line="360" w:lineRule="auto"/>
        <w:ind w:firstLine="420"/>
        <w:rPr>
          <w:rFonts w:hint="eastAsia" w:ascii="宋体" w:hAnsi="宋体" w:eastAsia="宋体" w:cs="宋体"/>
          <w:color w:val="auto"/>
          <w:sz w:val="21"/>
          <w:szCs w:val="21"/>
          <w:highlight w:val="none"/>
          <w:lang w:val="en-US" w:eastAsia="zh-CN"/>
        </w:rPr>
      </w:pPr>
      <w:bookmarkStart w:id="2586" w:name="_Toc312969099_WPSOffice_Level2"/>
      <w:r>
        <w:rPr>
          <w:rFonts w:hint="eastAsia" w:ascii="宋体" w:hAnsi="宋体" w:eastAsia="宋体" w:cs="宋体"/>
          <w:color w:val="auto"/>
          <w:sz w:val="21"/>
          <w:szCs w:val="21"/>
          <w:highlight w:val="none"/>
          <w:lang w:val="en-US" w:eastAsia="zh-CN"/>
        </w:rPr>
        <w:t>一、基本资料</w:t>
      </w:r>
      <w:bookmarkEnd w:id="2586"/>
    </w:p>
    <w:p w14:paraId="6F691DC9">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（一）投标承诺书</w:t>
      </w:r>
    </w:p>
    <w:p w14:paraId="739D87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Cs w:val="21"/>
          <w:highlight w:val="none"/>
        </w:rPr>
        <w:t>项目管理机构</w:t>
      </w:r>
    </w:p>
    <w:p w14:paraId="15DB63CB">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（三）</w:t>
      </w:r>
      <w:r>
        <w:rPr>
          <w:rFonts w:hint="eastAsia" w:ascii="宋体" w:hAnsi="宋体" w:eastAsia="宋体" w:cs="宋体"/>
          <w:color w:val="auto"/>
          <w:szCs w:val="21"/>
          <w:highlight w:val="none"/>
        </w:rPr>
        <w:t>危险性较大的分部分项工程</w:t>
      </w:r>
      <w:r>
        <w:rPr>
          <w:rFonts w:hint="eastAsia" w:ascii="宋体" w:hAnsi="宋体" w:eastAsia="宋体" w:cs="宋体"/>
          <w:color w:val="auto"/>
          <w:szCs w:val="21"/>
          <w:highlight w:val="none"/>
          <w:lang w:eastAsia="zh-CN"/>
        </w:rPr>
        <w:t>清单及</w:t>
      </w:r>
      <w:r>
        <w:rPr>
          <w:rFonts w:hint="eastAsia" w:ascii="宋体" w:hAnsi="宋体" w:eastAsia="宋体" w:cs="宋体"/>
          <w:color w:val="auto"/>
          <w:szCs w:val="21"/>
          <w:highlight w:val="none"/>
        </w:rPr>
        <w:t>安全管理措施</w:t>
      </w:r>
      <w:r>
        <w:rPr>
          <w:rFonts w:hint="eastAsia" w:ascii="宋体" w:hAnsi="宋体" w:eastAsia="宋体" w:cs="宋体"/>
          <w:color w:val="auto"/>
          <w:szCs w:val="21"/>
          <w:highlight w:val="none"/>
          <w:lang w:eastAsia="zh-CN"/>
        </w:rPr>
        <w:t>（如需）</w:t>
      </w:r>
    </w:p>
    <w:p w14:paraId="0465520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Cs w:val="21"/>
          <w:highlight w:val="none"/>
          <w:lang w:eastAsia="zh-CN"/>
        </w:rPr>
        <w:t>（四）</w:t>
      </w:r>
      <w:r>
        <w:rPr>
          <w:rFonts w:hint="eastAsia" w:ascii="宋体" w:hAnsi="宋体" w:eastAsia="宋体" w:cs="宋体"/>
          <w:color w:val="auto"/>
          <w:highlight w:val="none"/>
          <w:lang w:eastAsia="zh-CN"/>
        </w:rPr>
        <w:t>投标人认为需要补充的材料</w:t>
      </w:r>
    </w:p>
    <w:p w14:paraId="3B81AC35">
      <w:pPr>
        <w:spacing w:line="360" w:lineRule="auto"/>
        <w:ind w:firstLine="420" w:firstLineChars="200"/>
        <w:rPr>
          <w:rFonts w:hint="eastAsia" w:ascii="宋体" w:hAnsi="宋体" w:eastAsia="宋体" w:cs="宋体"/>
          <w:color w:val="auto"/>
          <w:sz w:val="21"/>
          <w:szCs w:val="21"/>
          <w:highlight w:val="none"/>
          <w:lang w:val="en-US" w:eastAsia="zh-CN"/>
        </w:rPr>
      </w:pPr>
      <w:bookmarkStart w:id="2587" w:name="_Toc811658704_WPSOffice_Level2"/>
      <w:r>
        <w:rPr>
          <w:rFonts w:hint="eastAsia" w:ascii="宋体" w:hAnsi="宋体" w:eastAsia="宋体" w:cs="宋体"/>
          <w:color w:val="auto"/>
          <w:sz w:val="21"/>
          <w:szCs w:val="21"/>
          <w:highlight w:val="none"/>
          <w:lang w:val="en-US" w:eastAsia="zh-CN"/>
        </w:rPr>
        <w:t>二、施工组织设计</w:t>
      </w:r>
      <w:bookmarkEnd w:id="2587"/>
    </w:p>
    <w:p w14:paraId="2E65CDF2">
      <w:pPr>
        <w:spacing w:line="312" w:lineRule="auto"/>
        <w:jc w:val="center"/>
        <w:rPr>
          <w:rFonts w:hint="eastAsia" w:ascii="宋体" w:hAnsi="宋体" w:eastAsia="宋体" w:cs="宋体"/>
          <w:b/>
          <w:color w:val="auto"/>
          <w:sz w:val="24"/>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val="0"/>
          <w:color w:val="auto"/>
          <w:sz w:val="24"/>
          <w:szCs w:val="24"/>
          <w:highlight w:val="none"/>
          <w:lang w:eastAsia="zh-CN"/>
        </w:rPr>
        <w:t>（一）</w:t>
      </w:r>
      <w:r>
        <w:rPr>
          <w:rFonts w:hint="eastAsia" w:ascii="宋体" w:hAnsi="宋体" w:eastAsia="宋体" w:cs="宋体"/>
          <w:b/>
          <w:color w:val="auto"/>
          <w:sz w:val="24"/>
          <w:highlight w:val="none"/>
          <w:lang w:val="en-US" w:eastAsia="zh-CN"/>
        </w:rPr>
        <w:t>投标承诺书</w:t>
      </w:r>
    </w:p>
    <w:p w14:paraId="0F2685A4">
      <w:pPr>
        <w:keepNext w:val="0"/>
        <w:keepLines w:val="0"/>
        <w:pageBreakBefore w:val="0"/>
        <w:widowControl w:val="0"/>
        <w:kinsoku/>
        <w:wordWrap/>
        <w:overflowPunct/>
        <w:topLinePunct w:val="0"/>
        <w:autoSpaceDE/>
        <w:autoSpaceDN/>
        <w:bidi w:val="0"/>
        <w:adjustRightInd/>
        <w:snapToGrid w:val="0"/>
        <w:spacing w:line="312"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（招标人）               </w:t>
      </w:r>
      <w:r>
        <w:rPr>
          <w:rFonts w:hint="eastAsia" w:ascii="宋体" w:hAnsi="宋体" w:eastAsia="宋体" w:cs="宋体"/>
          <w:color w:val="auto"/>
          <w:szCs w:val="21"/>
          <w:highlight w:val="none"/>
        </w:rPr>
        <w:t>：</w:t>
      </w:r>
    </w:p>
    <w:p w14:paraId="3F19E533">
      <w:pPr>
        <w:keepNext w:val="0"/>
        <w:keepLines w:val="0"/>
        <w:pageBreakBefore w:val="0"/>
        <w:widowControl w:val="0"/>
        <w:kinsoku/>
        <w:wordWrap/>
        <w:overflowPunct/>
        <w:topLinePunct w:val="0"/>
        <w:autoSpaceDE/>
        <w:autoSpaceDN/>
        <w:bidi w:val="0"/>
        <w:adjustRightInd/>
        <w:snapToGrid w:val="0"/>
        <w:spacing w:line="312"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根据 </w:t>
      </w:r>
      <w:r>
        <w:rPr>
          <w:rFonts w:hint="eastAsia" w:ascii="宋体" w:hAnsi="宋体" w:eastAsia="宋体" w:cs="宋体"/>
          <w:color w:val="auto"/>
          <w:szCs w:val="21"/>
          <w:highlight w:val="none"/>
          <w:u w:val="single"/>
        </w:rPr>
        <w:t xml:space="preserve">        项目名称              </w:t>
      </w:r>
      <w:r>
        <w:rPr>
          <w:rFonts w:hint="eastAsia" w:ascii="宋体" w:hAnsi="宋体" w:eastAsia="宋体" w:cs="宋体"/>
          <w:color w:val="auto"/>
          <w:szCs w:val="21"/>
          <w:highlight w:val="none"/>
        </w:rPr>
        <w:t>招标文件、招标答疑要求和内容，我公司全面响应，严格按照招标文件精神及施工图纸进行施工，并作出郑重承诺：</w:t>
      </w:r>
    </w:p>
    <w:p w14:paraId="3B2CEB6E">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我方不存在招标文件第二章“投标人须知”第1.4.3项所规定的任何一种情形，否则招标人有权取消我方的中标资格。</w:t>
      </w:r>
    </w:p>
    <w:p w14:paraId="1B5DB664">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我方未在《信用中国》网站（www.creditchina.gov.cn）被列为“失信被执行人”、未在国家企业信用信息公示系统被列入“严重违法失信企业名单”。</w:t>
      </w:r>
    </w:p>
    <w:p w14:paraId="50ECB430">
      <w:pPr>
        <w:keepNext w:val="0"/>
        <w:keepLines w:val="0"/>
        <w:pageBreakBefore w:val="0"/>
        <w:widowControl w:val="0"/>
        <w:numPr>
          <w:ilvl w:val="0"/>
          <w:numId w:val="9"/>
        </w:numPr>
        <w:kinsoku/>
        <w:wordWrap/>
        <w:overflowPunct/>
        <w:topLinePunct w:val="0"/>
        <w:autoSpaceDE/>
        <w:autoSpaceDN/>
        <w:bidi w:val="0"/>
        <w:adjustRightInd/>
        <w:spacing w:line="312" w:lineRule="auto"/>
        <w:ind w:firstLineChars="200"/>
        <w:jc w:val="left"/>
        <w:textAlignment w:val="auto"/>
        <w:rPr>
          <w:rFonts w:hint="eastAsia" w:ascii="宋体" w:hAnsi="宋体" w:eastAsia="宋体" w:cs="宋体"/>
          <w:color w:val="auto"/>
          <w:szCs w:val="21"/>
          <w:highlight w:val="none"/>
          <w:lang w:val="zh-CN" w:eastAsia="zh-CN"/>
        </w:rPr>
      </w:pPr>
      <w:r>
        <w:rPr>
          <w:rFonts w:hint="eastAsia" w:ascii="宋体" w:hAnsi="宋体" w:eastAsia="宋体" w:cs="宋体"/>
          <w:b w:val="0"/>
          <w:bCs w:val="0"/>
          <w:color w:val="auto"/>
          <w:sz w:val="21"/>
          <w:szCs w:val="21"/>
          <w:highlight w:val="none"/>
          <w:lang w:val="zh-CN" w:eastAsia="zh-CN"/>
        </w:rPr>
        <w:t>我方保证在本项目投标中不与其他单位串通投标、不以行贿手段谋取中标、不挂靠或者借用资质投标，不胁迫其他潜在投标人放弃投标，不胁迫中标人放弃中标、转让中标项目。</w:t>
      </w:r>
    </w:p>
    <w:p w14:paraId="2872F00B">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zh-CN" w:eastAsia="zh-CN" w:bidi="ar-SA"/>
        </w:rPr>
        <w:t>我方保证所递交的投标文件及其后所提供的一切资料内容完整、真实、合法、有效。如我方成为本项目的中标候选人，我方同意并授权招标人将我方投标文件按法定要求进行公开。</w:t>
      </w:r>
    </w:p>
    <w:p w14:paraId="16BCC152">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施工工期：</w:t>
      </w:r>
      <w:permStart w:id="194" w:edGrp="everyone"/>
      <w:r>
        <w:rPr>
          <w:rFonts w:hint="eastAsia" w:ascii="宋体" w:hAnsi="宋体" w:eastAsia="宋体" w:cs="宋体"/>
          <w:color w:val="auto"/>
          <w:kern w:val="2"/>
          <w:sz w:val="21"/>
          <w:szCs w:val="21"/>
          <w:highlight w:val="none"/>
          <w:lang w:val="en-US" w:eastAsia="zh-CN" w:bidi="ar-SA"/>
        </w:rPr>
        <w:t xml:space="preserve">  </w:t>
      </w:r>
      <w:r>
        <w:rPr>
          <w:rFonts w:hint="eastAsia" w:ascii="宋体" w:hAnsi="宋体" w:cs="宋体"/>
          <w:color w:val="auto"/>
          <w:kern w:val="2"/>
          <w:sz w:val="21"/>
          <w:szCs w:val="21"/>
          <w:highlight w:val="none"/>
          <w:lang w:val="en-US" w:eastAsia="zh-CN" w:bidi="ar-SA"/>
        </w:rPr>
        <w:t>240</w:t>
      </w:r>
      <w:r>
        <w:rPr>
          <w:rFonts w:hint="eastAsia" w:ascii="宋体" w:hAnsi="宋体" w:eastAsia="宋体" w:cs="宋体"/>
          <w:color w:val="auto"/>
          <w:kern w:val="2"/>
          <w:sz w:val="21"/>
          <w:szCs w:val="21"/>
          <w:highlight w:val="none"/>
          <w:lang w:val="en-US" w:eastAsia="zh-CN" w:bidi="ar-SA"/>
        </w:rPr>
        <w:t>日历天</w:t>
      </w:r>
    </w:p>
    <w:permEnd w:id="194"/>
    <w:p w14:paraId="2D55A9E1">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工程质量：合格</w:t>
      </w:r>
    </w:p>
    <w:p w14:paraId="02E725FF">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施工安全：</w:t>
      </w:r>
    </w:p>
    <w:p w14:paraId="339E6A15">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文明施工：</w:t>
      </w:r>
    </w:p>
    <w:p w14:paraId="01D703EF">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投标有效期：  天</w:t>
      </w:r>
    </w:p>
    <w:p w14:paraId="3C6FAE13">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szCs w:val="21"/>
          <w:highlight w:val="none"/>
        </w:rPr>
      </w:pPr>
      <w:r>
        <w:rPr>
          <w:rFonts w:hint="eastAsia" w:ascii="宋体" w:hAnsi="宋体" w:eastAsia="宋体" w:cs="Times New Roman"/>
          <w:color w:val="auto"/>
          <w:szCs w:val="21"/>
          <w:highlight w:val="none"/>
        </w:rPr>
        <w:t>我方拟投入本项目的项目负责人没有在其他在建项目中担任项目负责人，或者虽在其他项目上担任项目负责人但能够在本项目中标后（中标通知书发出之日起30日内）从该项目撤离，否则招标人有权取消我方中标资格。</w:t>
      </w:r>
    </w:p>
    <w:p w14:paraId="103CF160">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szCs w:val="21"/>
          <w:highlight w:val="none"/>
        </w:rPr>
      </w:pPr>
      <w:r>
        <w:rPr>
          <w:rFonts w:hint="eastAsia" w:ascii="宋体" w:hAnsi="宋体" w:cs="宋体"/>
          <w:color w:val="auto"/>
          <w:kern w:val="2"/>
          <w:sz w:val="21"/>
          <w:szCs w:val="21"/>
          <w:highlight w:val="none"/>
          <w:lang w:val="en-US" w:eastAsia="zh-CN" w:bidi="ar-SA"/>
        </w:rPr>
        <w:t>我方</w:t>
      </w:r>
      <w:r>
        <w:rPr>
          <w:rFonts w:hint="eastAsia" w:ascii="宋体" w:hAnsi="宋体" w:eastAsia="宋体" w:cs="宋体"/>
          <w:color w:val="auto"/>
          <w:kern w:val="2"/>
          <w:sz w:val="21"/>
          <w:szCs w:val="21"/>
          <w:highlight w:val="none"/>
          <w:lang w:val="en-US" w:eastAsia="zh-CN" w:bidi="ar-SA"/>
        </w:rPr>
        <w:t>拟投入的项目管理机构主要人员全部到位，</w:t>
      </w:r>
      <w:r>
        <w:rPr>
          <w:rFonts w:hint="eastAsia" w:ascii="宋体" w:hAnsi="宋体" w:eastAsia="宋体" w:cs="Times New Roman"/>
          <w:color w:val="auto"/>
          <w:kern w:val="2"/>
          <w:sz w:val="21"/>
          <w:szCs w:val="21"/>
          <w:highlight w:val="none"/>
          <w:lang w:val="en-US" w:eastAsia="zh-CN" w:bidi="ar-SA"/>
        </w:rPr>
        <w:t>保证中标后投入本项目的其他施工现场管理人员均符合施工报建要求，</w:t>
      </w:r>
      <w:r>
        <w:rPr>
          <w:rFonts w:hint="eastAsia" w:ascii="宋体" w:hAnsi="宋体" w:eastAsia="宋体" w:cs="宋体"/>
          <w:color w:val="auto"/>
          <w:kern w:val="2"/>
          <w:sz w:val="21"/>
          <w:szCs w:val="21"/>
          <w:highlight w:val="none"/>
          <w:lang w:val="en-US" w:eastAsia="zh-CN" w:bidi="ar-SA"/>
        </w:rPr>
        <w:t>施工报建前不变更拟投入的相关人员</w:t>
      </w:r>
      <w:r>
        <w:rPr>
          <w:rFonts w:hint="eastAsia" w:ascii="宋体" w:hAnsi="宋体" w:cs="宋体"/>
          <w:color w:val="auto"/>
          <w:kern w:val="2"/>
          <w:sz w:val="21"/>
          <w:szCs w:val="21"/>
          <w:highlight w:val="none"/>
          <w:lang w:val="en-US" w:eastAsia="zh-CN" w:bidi="ar-SA"/>
        </w:rPr>
        <w:t>且</w:t>
      </w:r>
      <w:r>
        <w:rPr>
          <w:rFonts w:hint="eastAsia" w:ascii="宋体" w:hAnsi="宋体" w:eastAsia="宋体" w:cs="宋体"/>
          <w:color w:val="auto"/>
          <w:szCs w:val="21"/>
          <w:highlight w:val="none"/>
        </w:rPr>
        <w:t>遵守建设行政主管部门对施工现场人员</w:t>
      </w:r>
      <w:r>
        <w:rPr>
          <w:rFonts w:hint="eastAsia" w:ascii="宋体" w:hAnsi="宋体" w:eastAsia="宋体" w:cs="宋体"/>
          <w:color w:val="auto"/>
          <w:szCs w:val="21"/>
          <w:highlight w:val="none"/>
          <w:lang w:val="en-US" w:eastAsia="zh-CN"/>
        </w:rPr>
        <w:t>实名制管理等</w:t>
      </w:r>
      <w:r>
        <w:rPr>
          <w:rFonts w:hint="eastAsia" w:ascii="宋体" w:hAnsi="宋体" w:eastAsia="宋体" w:cs="宋体"/>
          <w:color w:val="auto"/>
          <w:szCs w:val="21"/>
          <w:highlight w:val="none"/>
        </w:rPr>
        <w:t>相关管理规定</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否则视同违约</w:t>
      </w:r>
      <w:r>
        <w:rPr>
          <w:rFonts w:hint="eastAsia" w:ascii="宋体" w:hAnsi="宋体" w:cs="宋体"/>
          <w:color w:val="auto"/>
          <w:szCs w:val="21"/>
          <w:highlight w:val="none"/>
          <w:lang w:eastAsia="zh-CN"/>
        </w:rPr>
        <w:t>。</w:t>
      </w:r>
      <w:r>
        <w:rPr>
          <w:rFonts w:hint="eastAsia" w:ascii="宋体" w:hAnsi="宋体"/>
          <w:color w:val="auto"/>
          <w:szCs w:val="21"/>
          <w:highlight w:val="none"/>
          <w:lang w:eastAsia="zh-CN"/>
        </w:rPr>
        <w:t>未签订合同的，视为我方弃标，已签订合同的，招标人有权终止合同。施工报建后变更人员的须经招标人同意</w:t>
      </w:r>
      <w:r>
        <w:rPr>
          <w:rFonts w:hint="eastAsia" w:ascii="宋体" w:hAnsi="宋体" w:eastAsia="宋体" w:cs="宋体"/>
          <w:color w:val="auto"/>
          <w:szCs w:val="21"/>
          <w:highlight w:val="none"/>
        </w:rPr>
        <w:t>。</w:t>
      </w:r>
      <w:permStart w:id="195" w:edGrp="everyone"/>
      <w:r>
        <w:rPr>
          <w:rFonts w:hint="eastAsia" w:ascii="宋体" w:hAnsi="宋体" w:eastAsia="宋体" w:cs="宋体"/>
          <w:color w:val="auto"/>
          <w:szCs w:val="21"/>
          <w:highlight w:val="none"/>
        </w:rPr>
        <w:t>具体违约条款如下：（1）若经</w:t>
      </w:r>
      <w:r>
        <w:rPr>
          <w:rFonts w:hint="eastAsia" w:ascii="宋体" w:hAnsi="宋体" w:eastAsia="宋体" w:cs="宋体"/>
          <w:color w:val="auto"/>
          <w:szCs w:val="21"/>
          <w:highlight w:val="none"/>
          <w:lang w:val="en-US" w:eastAsia="zh-CN"/>
        </w:rPr>
        <w:t>代建单位</w:t>
      </w:r>
      <w:r>
        <w:rPr>
          <w:rFonts w:hint="eastAsia" w:ascii="宋体" w:hAnsi="宋体" w:eastAsia="宋体" w:cs="宋体"/>
          <w:color w:val="auto"/>
          <w:szCs w:val="21"/>
          <w:highlight w:val="none"/>
        </w:rPr>
        <w:t>同意变更的，按照本项目《施工合同补充协议书》第六条违约处罚的具体条款及“更换人员违约金处罚明细”的处罚标准执行；（2）若擅自变更，未签订合同的，视为我公司弃标，若签订合同的，招标人有权终止合同。</w:t>
      </w:r>
      <w:permEnd w:id="195"/>
    </w:p>
    <w:p w14:paraId="41AFBEEC">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技术标准和要求：保证按招标文件的技术标准和要求完成本项目，否则作不良行为处理。</w:t>
      </w:r>
    </w:p>
    <w:p w14:paraId="75752AF5">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分包企业需经招标人同意并满足前附表要求（该条款仅适用允许分包的项目）。</w:t>
      </w:r>
    </w:p>
    <w:p w14:paraId="13D16D99">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如果我方中标，我方将严格执行国家、广东省及中山市工程建设领域有关农民工工资管理现行有效的规定。</w:t>
      </w:r>
    </w:p>
    <w:p w14:paraId="5E88DE2F">
      <w:pPr>
        <w:keepNext w:val="0"/>
        <w:keepLines w:val="0"/>
        <w:pageBreakBefore w:val="0"/>
        <w:widowControl w:val="0"/>
        <w:numPr>
          <w:ilvl w:val="0"/>
          <w:numId w:val="9"/>
        </w:numPr>
        <w:kinsoku/>
        <w:wordWrap/>
        <w:overflowPunct/>
        <w:topLinePunct w:val="0"/>
        <w:autoSpaceDE/>
        <w:autoSpaceDN/>
        <w:bidi w:val="0"/>
        <w:adjustRightInd/>
        <w:spacing w:line="312" w:lineRule="auto"/>
        <w:ind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kern w:val="2"/>
          <w:sz w:val="21"/>
          <w:szCs w:val="21"/>
          <w:highlight w:val="none"/>
          <w:lang w:val="en-US" w:eastAsia="zh-CN" w:bidi="ar-SA"/>
        </w:rPr>
        <w:t>如果我方中标，我方将按照</w:t>
      </w:r>
      <w:r>
        <w:rPr>
          <w:rFonts w:hint="eastAsia" w:ascii="宋体" w:hAnsi="宋体" w:eastAsia="宋体" w:cs="宋体"/>
          <w:color w:val="auto"/>
          <w:szCs w:val="21"/>
          <w:highlight w:val="none"/>
        </w:rPr>
        <w:t>《国家税务总局关于发布〈纳税人跨县（市、区）提供建筑服务增值税征收管理暂行办</w:t>
      </w:r>
      <w:r>
        <w:rPr>
          <w:rFonts w:hint="eastAsia" w:ascii="宋体" w:hAnsi="宋体" w:eastAsia="宋体" w:cs="宋体"/>
          <w:color w:val="auto"/>
          <w:szCs w:val="21"/>
          <w:highlight w:val="none"/>
          <w:lang w:val="en-US" w:eastAsia="zh-CN"/>
        </w:rPr>
        <w:t>法</w:t>
      </w:r>
      <w:r>
        <w:rPr>
          <w:rFonts w:hint="eastAsia" w:ascii="宋体" w:hAnsi="宋体" w:eastAsia="宋体" w:cs="宋体"/>
          <w:color w:val="auto"/>
          <w:szCs w:val="21"/>
          <w:highlight w:val="none"/>
        </w:rPr>
        <w:t>〉的公告》（</w:t>
      </w:r>
      <w:r>
        <w:rPr>
          <w:rFonts w:hint="eastAsia" w:ascii="宋体" w:hAnsi="宋体" w:eastAsia="宋体" w:cs="宋体"/>
          <w:color w:val="auto"/>
          <w:szCs w:val="21"/>
          <w:highlight w:val="none"/>
          <w:lang w:val="en-US" w:eastAsia="zh-CN"/>
        </w:rPr>
        <w:t>国家</w:t>
      </w:r>
      <w:r>
        <w:rPr>
          <w:rFonts w:hint="eastAsia" w:ascii="宋体" w:hAnsi="宋体" w:eastAsia="宋体" w:cs="宋体"/>
          <w:color w:val="auto"/>
          <w:szCs w:val="21"/>
          <w:highlight w:val="none"/>
        </w:rPr>
        <w:t>税务总局公告2016年第17号）</w:t>
      </w:r>
      <w:r>
        <w:rPr>
          <w:rFonts w:hint="eastAsia" w:ascii="宋体" w:hAnsi="宋体" w:eastAsia="宋体" w:cs="宋体"/>
          <w:color w:val="auto"/>
          <w:szCs w:val="21"/>
          <w:highlight w:val="none"/>
          <w:lang w:val="en-US" w:eastAsia="zh-CN"/>
        </w:rPr>
        <w:t>的要求办理预缴税款事项。</w:t>
      </w:r>
    </w:p>
    <w:p w14:paraId="7D7A31F6">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如果我方中标后由于自身原因造成不能履约的，招标人有权取消我方的中标资格。</w:t>
      </w:r>
    </w:p>
    <w:p w14:paraId="3A909AC4">
      <w:pPr>
        <w:keepNext w:val="0"/>
        <w:keepLines w:val="0"/>
        <w:pageBreakBefore w:val="0"/>
        <w:widowControl w:val="0"/>
        <w:numPr>
          <w:ilvl w:val="0"/>
          <w:numId w:val="9"/>
        </w:numPr>
        <w:kinsoku/>
        <w:wordWrap/>
        <w:overflowPunct/>
        <w:topLinePunct w:val="0"/>
        <w:autoSpaceDE/>
        <w:autoSpaceDN/>
        <w:bidi w:val="0"/>
        <w:adjustRightInd/>
        <w:snapToGrid/>
        <w:spacing w:line="312" w:lineRule="auto"/>
        <w:ind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zh-CN" w:eastAsia="zh-CN" w:bidi="ar-SA"/>
        </w:rPr>
        <w:t>我方违反上述承诺、保证，或上述声明与事实不符，一经查实，我方愿意接受中山市建设行政主管部门记录不良行为，承担由此产生的一切责任。</w:t>
      </w:r>
    </w:p>
    <w:p w14:paraId="522DC6E7">
      <w:pPr>
        <w:keepNext w:val="0"/>
        <w:keepLines w:val="0"/>
        <w:pageBreakBefore w:val="0"/>
        <w:widowControl w:val="0"/>
        <w:kinsoku/>
        <w:wordWrap/>
        <w:overflowPunct/>
        <w:topLinePunct w:val="0"/>
        <w:autoSpaceDE/>
        <w:autoSpaceDN/>
        <w:bidi w:val="0"/>
        <w:adjustRightInd/>
        <w:snapToGrid w:val="0"/>
        <w:spacing w:line="312" w:lineRule="auto"/>
        <w:ind w:right="420" w:firstLine="5145" w:firstLineChars="24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承诺单位</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eastAsia="zh-CN"/>
        </w:rPr>
        <w:t>加盖电子印章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2B006CD2">
      <w:pPr>
        <w:keepNext w:val="0"/>
        <w:keepLines w:val="0"/>
        <w:pageBreakBefore w:val="0"/>
        <w:widowControl w:val="0"/>
        <w:kinsoku/>
        <w:wordWrap/>
        <w:overflowPunct/>
        <w:topLinePunct w:val="0"/>
        <w:autoSpaceDE/>
        <w:autoSpaceDN/>
        <w:bidi w:val="0"/>
        <w:adjustRightInd/>
        <w:snapToGrid w:val="0"/>
        <w:spacing w:line="312" w:lineRule="auto"/>
        <w:ind w:right="420" w:firstLine="5145" w:firstLineChars="24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lang w:val="en-US" w:eastAsia="zh-CN"/>
        </w:rPr>
        <w:t>或代理人</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eastAsia="zh-CN"/>
        </w:rPr>
        <w:t>电子签名</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6FC47A00">
      <w:pPr>
        <w:keepNext w:val="0"/>
        <w:keepLines w:val="0"/>
        <w:pageBreakBefore w:val="0"/>
        <w:widowControl w:val="0"/>
        <w:kinsoku/>
        <w:wordWrap/>
        <w:overflowPunct/>
        <w:topLinePunct w:val="0"/>
        <w:autoSpaceDE/>
        <w:autoSpaceDN/>
        <w:bidi w:val="0"/>
        <w:adjustRightInd/>
        <w:snapToGrid w:val="0"/>
        <w:spacing w:line="312" w:lineRule="auto"/>
        <w:ind w:right="420" w:firstLine="5145" w:firstLineChars="24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项目负责人</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eastAsia="zh-CN"/>
        </w:rPr>
        <w:t>电子签名</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06E64BEF">
      <w:pPr>
        <w:keepNext w:val="0"/>
        <w:keepLines w:val="0"/>
        <w:pageBreakBefore w:val="0"/>
        <w:widowControl w:val="0"/>
        <w:kinsoku/>
        <w:wordWrap/>
        <w:overflowPunct/>
        <w:topLinePunct w:val="0"/>
        <w:autoSpaceDE/>
        <w:autoSpaceDN/>
        <w:bidi w:val="0"/>
        <w:adjustRightInd/>
        <w:snapToGrid w:val="0"/>
        <w:spacing w:line="312" w:lineRule="auto"/>
        <w:ind w:right="420" w:firstLine="5145" w:firstLineChars="24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技术负责人</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eastAsia="zh-CN"/>
        </w:rPr>
        <w:t>电子签名</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09539D12">
      <w:pPr>
        <w:pStyle w:val="5"/>
        <w:rPr>
          <w:rFonts w:hint="eastAsia"/>
          <w:color w:val="auto"/>
          <w:highlight w:val="none"/>
        </w:rPr>
      </w:pPr>
      <w:r>
        <w:rPr>
          <w:rFonts w:hint="eastAsia"/>
          <w:color w:val="auto"/>
          <w:highlight w:val="none"/>
        </w:rPr>
        <w:br w:type="page"/>
      </w:r>
    </w:p>
    <w:p w14:paraId="1AEA9C93">
      <w:pPr>
        <w:numPr>
          <w:ilvl w:val="0"/>
          <w:numId w:val="0"/>
        </w:numPr>
        <w:tabs>
          <w:tab w:val="left" w:pos="-951"/>
          <w:tab w:val="left" w:pos="4267"/>
          <w:tab w:val="left" w:pos="7925"/>
        </w:tabs>
        <w:adjustRightInd w:val="0"/>
        <w:snapToGrid w:val="0"/>
        <w:ind w:left="0" w:leftChars="0" w:right="-6" w:firstLine="0" w:firstLine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t>（二）</w:t>
      </w:r>
      <w:r>
        <w:rPr>
          <w:rFonts w:hint="eastAsia" w:ascii="宋体" w:hAnsi="宋体" w:eastAsia="宋体" w:cs="宋体"/>
          <w:b/>
          <w:bCs/>
          <w:color w:val="auto"/>
          <w:sz w:val="28"/>
          <w:szCs w:val="28"/>
          <w:highlight w:val="none"/>
        </w:rPr>
        <w:t>项目管理机构</w:t>
      </w:r>
    </w:p>
    <w:p w14:paraId="4DC161D9">
      <w:pPr>
        <w:numPr>
          <w:ilvl w:val="0"/>
          <w:numId w:val="0"/>
        </w:numPr>
        <w:tabs>
          <w:tab w:val="left" w:pos="-951"/>
          <w:tab w:val="left" w:pos="4267"/>
          <w:tab w:val="left" w:pos="7925"/>
        </w:tabs>
        <w:adjustRightInd w:val="0"/>
        <w:snapToGrid w:val="0"/>
        <w:ind w:left="0" w:leftChars="0" w:right="-6" w:firstLine="0" w:firstLineChars="0"/>
        <w:jc w:val="center"/>
        <w:rPr>
          <w:rFonts w:hint="eastAsia"/>
          <w:b/>
          <w:color w:val="auto"/>
          <w:highlight w:val="none"/>
        </w:rPr>
      </w:pPr>
      <w:r>
        <w:rPr>
          <w:rFonts w:hint="eastAsia" w:ascii="宋体" w:hAnsi="宋体" w:eastAsia="宋体" w:cs="宋体"/>
          <w:b/>
          <w:color w:val="auto"/>
          <w:highlight w:val="none"/>
          <w:lang w:val="en-US" w:eastAsia="zh-CN"/>
        </w:rPr>
        <w:t xml:space="preserve">1. </w:t>
      </w:r>
      <w:r>
        <w:rPr>
          <w:rFonts w:hint="eastAsia" w:ascii="宋体" w:hAnsi="宋体" w:eastAsia="宋体" w:cs="宋体"/>
          <w:b/>
          <w:color w:val="auto"/>
          <w:highlight w:val="none"/>
        </w:rPr>
        <w:t>项目</w:t>
      </w:r>
      <w:r>
        <w:rPr>
          <w:rFonts w:hint="eastAsia"/>
          <w:b/>
          <w:color w:val="auto"/>
          <w:highlight w:val="none"/>
        </w:rPr>
        <w:t>管理机构主要人员配置表</w:t>
      </w:r>
    </w:p>
    <w:tbl>
      <w:tblPr>
        <w:tblStyle w:val="26"/>
        <w:tblW w:w="93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937"/>
        <w:gridCol w:w="638"/>
        <w:gridCol w:w="850"/>
        <w:gridCol w:w="1130"/>
        <w:gridCol w:w="900"/>
        <w:gridCol w:w="1080"/>
        <w:gridCol w:w="1102"/>
        <w:gridCol w:w="1025"/>
        <w:gridCol w:w="713"/>
      </w:tblGrid>
      <w:tr w14:paraId="07EA9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39" w:type="dxa"/>
            <w:vMerge w:val="restart"/>
            <w:noWrap w:val="0"/>
            <w:vAlign w:val="center"/>
          </w:tcPr>
          <w:p w14:paraId="255EE71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岗位</w:t>
            </w:r>
          </w:p>
        </w:tc>
        <w:tc>
          <w:tcPr>
            <w:tcW w:w="937" w:type="dxa"/>
            <w:vMerge w:val="restart"/>
            <w:noWrap w:val="0"/>
            <w:vAlign w:val="center"/>
          </w:tcPr>
          <w:p w14:paraId="46F52B30">
            <w:pPr>
              <w:spacing w:line="360" w:lineRule="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姓名</w:t>
            </w:r>
          </w:p>
        </w:tc>
        <w:tc>
          <w:tcPr>
            <w:tcW w:w="638" w:type="dxa"/>
            <w:vMerge w:val="restart"/>
            <w:noWrap w:val="0"/>
            <w:vAlign w:val="center"/>
          </w:tcPr>
          <w:p w14:paraId="0D30C48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性别</w:t>
            </w:r>
          </w:p>
        </w:tc>
        <w:tc>
          <w:tcPr>
            <w:tcW w:w="850" w:type="dxa"/>
            <w:vMerge w:val="restart"/>
            <w:noWrap w:val="0"/>
            <w:vAlign w:val="center"/>
          </w:tcPr>
          <w:p w14:paraId="069D72A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职称</w:t>
            </w:r>
          </w:p>
        </w:tc>
        <w:tc>
          <w:tcPr>
            <w:tcW w:w="5237" w:type="dxa"/>
            <w:gridSpan w:val="5"/>
            <w:noWrap w:val="0"/>
            <w:vAlign w:val="center"/>
          </w:tcPr>
          <w:p w14:paraId="180ADA5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执业或职业资格证明</w:t>
            </w:r>
          </w:p>
        </w:tc>
        <w:tc>
          <w:tcPr>
            <w:tcW w:w="713" w:type="dxa"/>
            <w:vMerge w:val="restart"/>
            <w:noWrap w:val="0"/>
            <w:vAlign w:val="center"/>
          </w:tcPr>
          <w:p w14:paraId="6DF5D9C8">
            <w:pPr>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193B1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939" w:type="dxa"/>
            <w:vMerge w:val="continue"/>
            <w:noWrap w:val="0"/>
            <w:vAlign w:val="top"/>
          </w:tcPr>
          <w:p w14:paraId="2DF53C44">
            <w:pPr>
              <w:spacing w:line="360" w:lineRule="auto"/>
              <w:rPr>
                <w:rFonts w:hint="eastAsia" w:ascii="宋体" w:hAnsi="宋体" w:eastAsia="宋体" w:cs="宋体"/>
                <w:color w:val="auto"/>
                <w:szCs w:val="21"/>
                <w:highlight w:val="none"/>
              </w:rPr>
            </w:pPr>
          </w:p>
        </w:tc>
        <w:tc>
          <w:tcPr>
            <w:tcW w:w="937" w:type="dxa"/>
            <w:vMerge w:val="continue"/>
            <w:noWrap w:val="0"/>
            <w:vAlign w:val="top"/>
          </w:tcPr>
          <w:p w14:paraId="32427ED6">
            <w:pPr>
              <w:spacing w:line="360" w:lineRule="auto"/>
              <w:rPr>
                <w:rFonts w:hint="eastAsia" w:ascii="宋体" w:hAnsi="宋体" w:eastAsia="宋体" w:cs="宋体"/>
                <w:color w:val="auto"/>
                <w:szCs w:val="21"/>
                <w:highlight w:val="none"/>
              </w:rPr>
            </w:pPr>
          </w:p>
        </w:tc>
        <w:tc>
          <w:tcPr>
            <w:tcW w:w="638" w:type="dxa"/>
            <w:vMerge w:val="continue"/>
            <w:noWrap w:val="0"/>
            <w:vAlign w:val="top"/>
          </w:tcPr>
          <w:p w14:paraId="00EB929D">
            <w:pPr>
              <w:spacing w:line="360" w:lineRule="auto"/>
              <w:rPr>
                <w:rFonts w:hint="eastAsia" w:ascii="宋体" w:hAnsi="宋体" w:eastAsia="宋体" w:cs="宋体"/>
                <w:color w:val="auto"/>
                <w:szCs w:val="21"/>
                <w:highlight w:val="none"/>
              </w:rPr>
            </w:pPr>
          </w:p>
        </w:tc>
        <w:tc>
          <w:tcPr>
            <w:tcW w:w="850" w:type="dxa"/>
            <w:vMerge w:val="continue"/>
            <w:noWrap w:val="0"/>
            <w:vAlign w:val="top"/>
          </w:tcPr>
          <w:p w14:paraId="432D56E1">
            <w:pPr>
              <w:spacing w:line="360" w:lineRule="auto"/>
              <w:rPr>
                <w:rFonts w:hint="eastAsia" w:ascii="宋体" w:hAnsi="宋体" w:eastAsia="宋体" w:cs="宋体"/>
                <w:color w:val="auto"/>
                <w:szCs w:val="21"/>
                <w:highlight w:val="none"/>
              </w:rPr>
            </w:pPr>
          </w:p>
        </w:tc>
        <w:tc>
          <w:tcPr>
            <w:tcW w:w="1130" w:type="dxa"/>
            <w:noWrap w:val="0"/>
            <w:vAlign w:val="center"/>
          </w:tcPr>
          <w:p w14:paraId="366C08D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证书名称</w:t>
            </w:r>
          </w:p>
        </w:tc>
        <w:tc>
          <w:tcPr>
            <w:tcW w:w="900" w:type="dxa"/>
            <w:noWrap w:val="0"/>
            <w:vAlign w:val="center"/>
          </w:tcPr>
          <w:p w14:paraId="1373937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等</w:t>
            </w:r>
            <w:r>
              <w:rPr>
                <w:rFonts w:hint="eastAsia" w:ascii="宋体" w:hAnsi="宋体" w:eastAsia="宋体" w:cs="宋体"/>
                <w:color w:val="auto"/>
                <w:szCs w:val="21"/>
                <w:highlight w:val="none"/>
              </w:rPr>
              <w:t>级</w:t>
            </w:r>
          </w:p>
        </w:tc>
        <w:tc>
          <w:tcPr>
            <w:tcW w:w="1080" w:type="dxa"/>
            <w:noWrap w:val="0"/>
            <w:vAlign w:val="center"/>
          </w:tcPr>
          <w:p w14:paraId="5B5B0DF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证</w:t>
            </w:r>
            <w:r>
              <w:rPr>
                <w:rFonts w:hint="eastAsia" w:ascii="宋体" w:hAnsi="宋体" w:eastAsia="宋体" w:cs="宋体"/>
                <w:color w:val="auto"/>
                <w:szCs w:val="21"/>
                <w:highlight w:val="none"/>
                <w:lang w:eastAsia="zh-CN"/>
              </w:rPr>
              <w:t>书编</w:t>
            </w:r>
            <w:r>
              <w:rPr>
                <w:rFonts w:hint="eastAsia" w:ascii="宋体" w:hAnsi="宋体" w:eastAsia="宋体" w:cs="宋体"/>
                <w:color w:val="auto"/>
                <w:szCs w:val="21"/>
                <w:highlight w:val="none"/>
              </w:rPr>
              <w:t>号</w:t>
            </w:r>
          </w:p>
        </w:tc>
        <w:tc>
          <w:tcPr>
            <w:tcW w:w="1102" w:type="dxa"/>
            <w:noWrap w:val="0"/>
            <w:vAlign w:val="center"/>
          </w:tcPr>
          <w:p w14:paraId="015A0EF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专业</w:t>
            </w:r>
          </w:p>
        </w:tc>
        <w:tc>
          <w:tcPr>
            <w:tcW w:w="1025" w:type="dxa"/>
            <w:noWrap w:val="0"/>
            <w:vAlign w:val="center"/>
          </w:tcPr>
          <w:p w14:paraId="3DE57F5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社保</w:t>
            </w:r>
          </w:p>
          <w:p w14:paraId="01825B5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（有/无）</w:t>
            </w:r>
          </w:p>
        </w:tc>
        <w:tc>
          <w:tcPr>
            <w:tcW w:w="713" w:type="dxa"/>
            <w:vMerge w:val="continue"/>
            <w:noWrap w:val="0"/>
            <w:vAlign w:val="top"/>
          </w:tcPr>
          <w:p w14:paraId="33A549E4">
            <w:pPr>
              <w:spacing w:line="360" w:lineRule="auto"/>
              <w:rPr>
                <w:rFonts w:hint="eastAsia" w:ascii="宋体" w:hAnsi="宋体" w:eastAsia="宋体" w:cs="宋体"/>
                <w:color w:val="auto"/>
                <w:szCs w:val="21"/>
                <w:highlight w:val="none"/>
              </w:rPr>
            </w:pPr>
          </w:p>
        </w:tc>
      </w:tr>
      <w:tr w14:paraId="04687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939" w:type="dxa"/>
            <w:noWrap w:val="0"/>
            <w:vAlign w:val="top"/>
          </w:tcPr>
          <w:p w14:paraId="4D3DAE4C">
            <w:pPr>
              <w:spacing w:line="360" w:lineRule="auto"/>
              <w:rPr>
                <w:rFonts w:hint="eastAsia" w:ascii="宋体" w:hAnsi="宋体" w:eastAsia="宋体" w:cs="宋体"/>
                <w:color w:val="auto"/>
                <w:szCs w:val="21"/>
                <w:highlight w:val="none"/>
              </w:rPr>
            </w:pPr>
          </w:p>
        </w:tc>
        <w:tc>
          <w:tcPr>
            <w:tcW w:w="937" w:type="dxa"/>
            <w:noWrap w:val="0"/>
            <w:vAlign w:val="top"/>
          </w:tcPr>
          <w:p w14:paraId="32B7C523">
            <w:pPr>
              <w:spacing w:line="360" w:lineRule="auto"/>
              <w:rPr>
                <w:rFonts w:hint="eastAsia" w:ascii="宋体" w:hAnsi="宋体" w:eastAsia="宋体" w:cs="宋体"/>
                <w:color w:val="auto"/>
                <w:szCs w:val="21"/>
                <w:highlight w:val="none"/>
                <w:lang w:eastAsia="zh-CN"/>
              </w:rPr>
            </w:pPr>
          </w:p>
        </w:tc>
        <w:tc>
          <w:tcPr>
            <w:tcW w:w="638" w:type="dxa"/>
            <w:noWrap w:val="0"/>
            <w:vAlign w:val="top"/>
          </w:tcPr>
          <w:p w14:paraId="4061E29C">
            <w:pPr>
              <w:spacing w:line="360" w:lineRule="auto"/>
              <w:rPr>
                <w:rFonts w:hint="eastAsia" w:ascii="宋体" w:hAnsi="宋体" w:eastAsia="宋体" w:cs="宋体"/>
                <w:color w:val="auto"/>
                <w:szCs w:val="21"/>
                <w:highlight w:val="none"/>
              </w:rPr>
            </w:pPr>
          </w:p>
        </w:tc>
        <w:tc>
          <w:tcPr>
            <w:tcW w:w="850" w:type="dxa"/>
            <w:noWrap w:val="0"/>
            <w:vAlign w:val="top"/>
          </w:tcPr>
          <w:p w14:paraId="0D2EB8E4">
            <w:pPr>
              <w:spacing w:line="360" w:lineRule="auto"/>
              <w:rPr>
                <w:rFonts w:hint="eastAsia" w:ascii="宋体" w:hAnsi="宋体" w:eastAsia="宋体" w:cs="宋体"/>
                <w:color w:val="auto"/>
                <w:szCs w:val="21"/>
                <w:highlight w:val="none"/>
              </w:rPr>
            </w:pPr>
          </w:p>
        </w:tc>
        <w:tc>
          <w:tcPr>
            <w:tcW w:w="1130" w:type="dxa"/>
            <w:noWrap w:val="0"/>
            <w:vAlign w:val="top"/>
          </w:tcPr>
          <w:p w14:paraId="308351A5">
            <w:pPr>
              <w:spacing w:line="360" w:lineRule="auto"/>
              <w:rPr>
                <w:rFonts w:hint="eastAsia" w:ascii="宋体" w:hAnsi="宋体" w:eastAsia="宋体" w:cs="宋体"/>
                <w:color w:val="auto"/>
                <w:szCs w:val="21"/>
                <w:highlight w:val="none"/>
              </w:rPr>
            </w:pPr>
          </w:p>
        </w:tc>
        <w:tc>
          <w:tcPr>
            <w:tcW w:w="900" w:type="dxa"/>
            <w:noWrap w:val="0"/>
            <w:vAlign w:val="top"/>
          </w:tcPr>
          <w:p w14:paraId="23D6109A">
            <w:pPr>
              <w:spacing w:line="360" w:lineRule="auto"/>
              <w:rPr>
                <w:rFonts w:hint="eastAsia" w:ascii="宋体" w:hAnsi="宋体" w:eastAsia="宋体" w:cs="宋体"/>
                <w:color w:val="auto"/>
                <w:szCs w:val="21"/>
                <w:highlight w:val="none"/>
              </w:rPr>
            </w:pPr>
          </w:p>
        </w:tc>
        <w:tc>
          <w:tcPr>
            <w:tcW w:w="1080" w:type="dxa"/>
            <w:noWrap w:val="0"/>
            <w:vAlign w:val="top"/>
          </w:tcPr>
          <w:p w14:paraId="5B26EEA8">
            <w:pPr>
              <w:spacing w:line="360" w:lineRule="auto"/>
              <w:rPr>
                <w:rFonts w:hint="eastAsia" w:ascii="宋体" w:hAnsi="宋体" w:eastAsia="宋体" w:cs="宋体"/>
                <w:color w:val="auto"/>
                <w:szCs w:val="21"/>
                <w:highlight w:val="none"/>
              </w:rPr>
            </w:pPr>
          </w:p>
        </w:tc>
        <w:tc>
          <w:tcPr>
            <w:tcW w:w="1102" w:type="dxa"/>
            <w:noWrap w:val="0"/>
            <w:vAlign w:val="top"/>
          </w:tcPr>
          <w:p w14:paraId="7C43230C">
            <w:pPr>
              <w:spacing w:line="360" w:lineRule="auto"/>
              <w:rPr>
                <w:rFonts w:hint="eastAsia" w:ascii="宋体" w:hAnsi="宋体" w:eastAsia="宋体" w:cs="宋体"/>
                <w:color w:val="auto"/>
                <w:szCs w:val="21"/>
                <w:highlight w:val="none"/>
              </w:rPr>
            </w:pPr>
          </w:p>
        </w:tc>
        <w:tc>
          <w:tcPr>
            <w:tcW w:w="1025" w:type="dxa"/>
            <w:noWrap w:val="0"/>
            <w:vAlign w:val="top"/>
          </w:tcPr>
          <w:p w14:paraId="6614743F">
            <w:pPr>
              <w:spacing w:line="360" w:lineRule="auto"/>
              <w:ind w:firstLine="420" w:firstLineChars="200"/>
              <w:rPr>
                <w:rFonts w:hint="eastAsia" w:ascii="宋体" w:hAnsi="宋体" w:eastAsia="宋体" w:cs="宋体"/>
                <w:color w:val="auto"/>
                <w:szCs w:val="21"/>
                <w:highlight w:val="none"/>
              </w:rPr>
            </w:pPr>
          </w:p>
        </w:tc>
        <w:tc>
          <w:tcPr>
            <w:tcW w:w="713" w:type="dxa"/>
            <w:noWrap w:val="0"/>
            <w:vAlign w:val="top"/>
          </w:tcPr>
          <w:p w14:paraId="039C80FB">
            <w:pPr>
              <w:spacing w:line="360" w:lineRule="auto"/>
              <w:rPr>
                <w:rFonts w:hint="eastAsia" w:ascii="宋体" w:hAnsi="宋体" w:eastAsia="宋体" w:cs="宋体"/>
                <w:color w:val="auto"/>
                <w:szCs w:val="21"/>
                <w:highlight w:val="none"/>
              </w:rPr>
            </w:pPr>
          </w:p>
        </w:tc>
      </w:tr>
      <w:tr w14:paraId="2268A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939" w:type="dxa"/>
            <w:noWrap w:val="0"/>
            <w:vAlign w:val="top"/>
          </w:tcPr>
          <w:p w14:paraId="4AB8E154">
            <w:pPr>
              <w:spacing w:line="360" w:lineRule="auto"/>
              <w:rPr>
                <w:rFonts w:hint="eastAsia" w:ascii="宋体" w:hAnsi="宋体" w:eastAsia="宋体" w:cs="宋体"/>
                <w:color w:val="auto"/>
                <w:szCs w:val="21"/>
                <w:highlight w:val="none"/>
              </w:rPr>
            </w:pPr>
          </w:p>
        </w:tc>
        <w:tc>
          <w:tcPr>
            <w:tcW w:w="937" w:type="dxa"/>
            <w:noWrap w:val="0"/>
            <w:vAlign w:val="top"/>
          </w:tcPr>
          <w:p w14:paraId="4883DF98">
            <w:pPr>
              <w:spacing w:line="360" w:lineRule="auto"/>
              <w:rPr>
                <w:rFonts w:hint="eastAsia" w:ascii="宋体" w:hAnsi="宋体" w:eastAsia="宋体" w:cs="宋体"/>
                <w:color w:val="auto"/>
                <w:szCs w:val="21"/>
                <w:highlight w:val="none"/>
              </w:rPr>
            </w:pPr>
          </w:p>
        </w:tc>
        <w:tc>
          <w:tcPr>
            <w:tcW w:w="638" w:type="dxa"/>
            <w:noWrap w:val="0"/>
            <w:vAlign w:val="top"/>
          </w:tcPr>
          <w:p w14:paraId="15E22AF0">
            <w:pPr>
              <w:spacing w:line="360" w:lineRule="auto"/>
              <w:rPr>
                <w:rFonts w:hint="eastAsia" w:ascii="宋体" w:hAnsi="宋体" w:eastAsia="宋体" w:cs="宋体"/>
                <w:color w:val="auto"/>
                <w:szCs w:val="21"/>
                <w:highlight w:val="none"/>
              </w:rPr>
            </w:pPr>
          </w:p>
        </w:tc>
        <w:tc>
          <w:tcPr>
            <w:tcW w:w="850" w:type="dxa"/>
            <w:noWrap w:val="0"/>
            <w:vAlign w:val="top"/>
          </w:tcPr>
          <w:p w14:paraId="387C36BD">
            <w:pPr>
              <w:spacing w:line="360" w:lineRule="auto"/>
              <w:rPr>
                <w:rFonts w:hint="eastAsia" w:ascii="宋体" w:hAnsi="宋体" w:eastAsia="宋体" w:cs="宋体"/>
                <w:color w:val="auto"/>
                <w:szCs w:val="21"/>
                <w:highlight w:val="none"/>
              </w:rPr>
            </w:pPr>
          </w:p>
        </w:tc>
        <w:tc>
          <w:tcPr>
            <w:tcW w:w="1130" w:type="dxa"/>
            <w:noWrap w:val="0"/>
            <w:vAlign w:val="top"/>
          </w:tcPr>
          <w:p w14:paraId="50A8C6A5">
            <w:pPr>
              <w:spacing w:line="360" w:lineRule="auto"/>
              <w:rPr>
                <w:rFonts w:hint="eastAsia" w:ascii="宋体" w:hAnsi="宋体" w:eastAsia="宋体" w:cs="宋体"/>
                <w:color w:val="auto"/>
                <w:szCs w:val="21"/>
                <w:highlight w:val="none"/>
              </w:rPr>
            </w:pPr>
          </w:p>
        </w:tc>
        <w:tc>
          <w:tcPr>
            <w:tcW w:w="900" w:type="dxa"/>
            <w:noWrap w:val="0"/>
            <w:vAlign w:val="top"/>
          </w:tcPr>
          <w:p w14:paraId="3CF41413">
            <w:pPr>
              <w:spacing w:line="360" w:lineRule="auto"/>
              <w:rPr>
                <w:rFonts w:hint="eastAsia" w:ascii="宋体" w:hAnsi="宋体" w:eastAsia="宋体" w:cs="宋体"/>
                <w:color w:val="auto"/>
                <w:szCs w:val="21"/>
                <w:highlight w:val="none"/>
              </w:rPr>
            </w:pPr>
          </w:p>
        </w:tc>
        <w:tc>
          <w:tcPr>
            <w:tcW w:w="1080" w:type="dxa"/>
            <w:noWrap w:val="0"/>
            <w:vAlign w:val="top"/>
          </w:tcPr>
          <w:p w14:paraId="2A526373">
            <w:pPr>
              <w:spacing w:line="360" w:lineRule="auto"/>
              <w:rPr>
                <w:rFonts w:hint="eastAsia" w:ascii="宋体" w:hAnsi="宋体" w:eastAsia="宋体" w:cs="宋体"/>
                <w:color w:val="auto"/>
                <w:szCs w:val="21"/>
                <w:highlight w:val="none"/>
              </w:rPr>
            </w:pPr>
          </w:p>
        </w:tc>
        <w:tc>
          <w:tcPr>
            <w:tcW w:w="1102" w:type="dxa"/>
            <w:noWrap w:val="0"/>
            <w:vAlign w:val="top"/>
          </w:tcPr>
          <w:p w14:paraId="05CE0245">
            <w:pPr>
              <w:spacing w:line="360" w:lineRule="auto"/>
              <w:rPr>
                <w:rFonts w:hint="eastAsia" w:ascii="宋体" w:hAnsi="宋体" w:eastAsia="宋体" w:cs="宋体"/>
                <w:color w:val="auto"/>
                <w:szCs w:val="21"/>
                <w:highlight w:val="none"/>
              </w:rPr>
            </w:pPr>
          </w:p>
        </w:tc>
        <w:tc>
          <w:tcPr>
            <w:tcW w:w="1025" w:type="dxa"/>
            <w:noWrap w:val="0"/>
            <w:vAlign w:val="top"/>
          </w:tcPr>
          <w:p w14:paraId="5311FB4E">
            <w:pPr>
              <w:spacing w:line="360" w:lineRule="auto"/>
              <w:rPr>
                <w:rFonts w:hint="eastAsia" w:ascii="宋体" w:hAnsi="宋体" w:eastAsia="宋体" w:cs="宋体"/>
                <w:color w:val="auto"/>
                <w:szCs w:val="21"/>
                <w:highlight w:val="none"/>
              </w:rPr>
            </w:pPr>
          </w:p>
        </w:tc>
        <w:tc>
          <w:tcPr>
            <w:tcW w:w="713" w:type="dxa"/>
            <w:noWrap w:val="0"/>
            <w:vAlign w:val="top"/>
          </w:tcPr>
          <w:p w14:paraId="21EC9F99">
            <w:pPr>
              <w:spacing w:line="360" w:lineRule="auto"/>
              <w:rPr>
                <w:rFonts w:hint="eastAsia" w:ascii="宋体" w:hAnsi="宋体" w:eastAsia="宋体" w:cs="宋体"/>
                <w:color w:val="auto"/>
                <w:szCs w:val="21"/>
                <w:highlight w:val="none"/>
              </w:rPr>
            </w:pPr>
          </w:p>
        </w:tc>
      </w:tr>
      <w:tr w14:paraId="1E348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8" w:hRule="atLeast"/>
        </w:trPr>
        <w:tc>
          <w:tcPr>
            <w:tcW w:w="939" w:type="dxa"/>
            <w:noWrap w:val="0"/>
            <w:vAlign w:val="top"/>
          </w:tcPr>
          <w:p w14:paraId="594DDCDF">
            <w:pPr>
              <w:spacing w:line="360" w:lineRule="auto"/>
              <w:rPr>
                <w:rFonts w:hint="eastAsia" w:ascii="宋体" w:hAnsi="宋体" w:eastAsia="宋体" w:cs="宋体"/>
                <w:color w:val="auto"/>
                <w:szCs w:val="21"/>
                <w:highlight w:val="none"/>
              </w:rPr>
            </w:pPr>
          </w:p>
        </w:tc>
        <w:tc>
          <w:tcPr>
            <w:tcW w:w="937" w:type="dxa"/>
            <w:noWrap w:val="0"/>
            <w:vAlign w:val="top"/>
          </w:tcPr>
          <w:p w14:paraId="3F875923">
            <w:pPr>
              <w:spacing w:line="360" w:lineRule="auto"/>
              <w:rPr>
                <w:rFonts w:hint="eastAsia" w:ascii="宋体" w:hAnsi="宋体" w:eastAsia="宋体" w:cs="宋体"/>
                <w:color w:val="auto"/>
                <w:szCs w:val="21"/>
                <w:highlight w:val="none"/>
              </w:rPr>
            </w:pPr>
          </w:p>
        </w:tc>
        <w:tc>
          <w:tcPr>
            <w:tcW w:w="638" w:type="dxa"/>
            <w:noWrap w:val="0"/>
            <w:vAlign w:val="top"/>
          </w:tcPr>
          <w:p w14:paraId="6E2ECF4C">
            <w:pPr>
              <w:spacing w:line="360" w:lineRule="auto"/>
              <w:rPr>
                <w:rFonts w:hint="eastAsia" w:ascii="宋体" w:hAnsi="宋体" w:eastAsia="宋体" w:cs="宋体"/>
                <w:color w:val="auto"/>
                <w:szCs w:val="21"/>
                <w:highlight w:val="none"/>
              </w:rPr>
            </w:pPr>
          </w:p>
        </w:tc>
        <w:tc>
          <w:tcPr>
            <w:tcW w:w="850" w:type="dxa"/>
            <w:noWrap w:val="0"/>
            <w:vAlign w:val="top"/>
          </w:tcPr>
          <w:p w14:paraId="3CC28ACB">
            <w:pPr>
              <w:spacing w:line="360" w:lineRule="auto"/>
              <w:rPr>
                <w:rFonts w:hint="eastAsia" w:ascii="宋体" w:hAnsi="宋体" w:eastAsia="宋体" w:cs="宋体"/>
                <w:color w:val="auto"/>
                <w:szCs w:val="21"/>
                <w:highlight w:val="none"/>
              </w:rPr>
            </w:pPr>
          </w:p>
        </w:tc>
        <w:tc>
          <w:tcPr>
            <w:tcW w:w="1130" w:type="dxa"/>
            <w:noWrap w:val="0"/>
            <w:vAlign w:val="top"/>
          </w:tcPr>
          <w:p w14:paraId="15006CB2">
            <w:pPr>
              <w:spacing w:line="360" w:lineRule="auto"/>
              <w:rPr>
                <w:rFonts w:hint="eastAsia" w:ascii="宋体" w:hAnsi="宋体" w:eastAsia="宋体" w:cs="宋体"/>
                <w:color w:val="auto"/>
                <w:szCs w:val="21"/>
                <w:highlight w:val="none"/>
              </w:rPr>
            </w:pPr>
          </w:p>
        </w:tc>
        <w:tc>
          <w:tcPr>
            <w:tcW w:w="900" w:type="dxa"/>
            <w:noWrap w:val="0"/>
            <w:vAlign w:val="top"/>
          </w:tcPr>
          <w:p w14:paraId="4A5AE8A5">
            <w:pPr>
              <w:spacing w:line="360" w:lineRule="auto"/>
              <w:rPr>
                <w:rFonts w:hint="eastAsia" w:ascii="宋体" w:hAnsi="宋体" w:eastAsia="宋体" w:cs="宋体"/>
                <w:color w:val="auto"/>
                <w:szCs w:val="21"/>
                <w:highlight w:val="none"/>
              </w:rPr>
            </w:pPr>
          </w:p>
        </w:tc>
        <w:tc>
          <w:tcPr>
            <w:tcW w:w="1080" w:type="dxa"/>
            <w:noWrap w:val="0"/>
            <w:vAlign w:val="top"/>
          </w:tcPr>
          <w:p w14:paraId="0AEC8476">
            <w:pPr>
              <w:spacing w:line="360" w:lineRule="auto"/>
              <w:rPr>
                <w:rFonts w:hint="eastAsia" w:ascii="宋体" w:hAnsi="宋体" w:eastAsia="宋体" w:cs="宋体"/>
                <w:color w:val="auto"/>
                <w:szCs w:val="21"/>
                <w:highlight w:val="none"/>
              </w:rPr>
            </w:pPr>
          </w:p>
        </w:tc>
        <w:tc>
          <w:tcPr>
            <w:tcW w:w="1102" w:type="dxa"/>
            <w:noWrap w:val="0"/>
            <w:vAlign w:val="top"/>
          </w:tcPr>
          <w:p w14:paraId="1CFF8AA6">
            <w:pPr>
              <w:spacing w:line="360" w:lineRule="auto"/>
              <w:rPr>
                <w:rFonts w:hint="eastAsia" w:ascii="宋体" w:hAnsi="宋体" w:eastAsia="宋体" w:cs="宋体"/>
                <w:color w:val="auto"/>
                <w:szCs w:val="21"/>
                <w:highlight w:val="none"/>
              </w:rPr>
            </w:pPr>
          </w:p>
        </w:tc>
        <w:tc>
          <w:tcPr>
            <w:tcW w:w="1025" w:type="dxa"/>
            <w:noWrap w:val="0"/>
            <w:vAlign w:val="top"/>
          </w:tcPr>
          <w:p w14:paraId="741B5F28">
            <w:pPr>
              <w:spacing w:line="360" w:lineRule="auto"/>
              <w:rPr>
                <w:rFonts w:hint="eastAsia" w:ascii="宋体" w:hAnsi="宋体" w:eastAsia="宋体" w:cs="宋体"/>
                <w:color w:val="auto"/>
                <w:szCs w:val="21"/>
                <w:highlight w:val="none"/>
              </w:rPr>
            </w:pPr>
          </w:p>
        </w:tc>
        <w:tc>
          <w:tcPr>
            <w:tcW w:w="713" w:type="dxa"/>
            <w:noWrap w:val="0"/>
            <w:vAlign w:val="top"/>
          </w:tcPr>
          <w:p w14:paraId="5D319FDE">
            <w:pPr>
              <w:spacing w:line="360" w:lineRule="auto"/>
              <w:rPr>
                <w:rFonts w:hint="eastAsia" w:ascii="宋体" w:hAnsi="宋体" w:eastAsia="宋体" w:cs="宋体"/>
                <w:color w:val="auto"/>
                <w:szCs w:val="21"/>
                <w:highlight w:val="none"/>
              </w:rPr>
            </w:pPr>
          </w:p>
        </w:tc>
      </w:tr>
      <w:tr w14:paraId="6C98A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939" w:type="dxa"/>
            <w:noWrap w:val="0"/>
            <w:vAlign w:val="top"/>
          </w:tcPr>
          <w:p w14:paraId="113E7687">
            <w:pPr>
              <w:spacing w:line="360" w:lineRule="auto"/>
              <w:rPr>
                <w:rFonts w:hint="eastAsia" w:ascii="宋体" w:hAnsi="宋体" w:eastAsia="宋体" w:cs="宋体"/>
                <w:color w:val="auto"/>
                <w:szCs w:val="21"/>
                <w:highlight w:val="none"/>
              </w:rPr>
            </w:pPr>
          </w:p>
        </w:tc>
        <w:tc>
          <w:tcPr>
            <w:tcW w:w="937" w:type="dxa"/>
            <w:noWrap w:val="0"/>
            <w:vAlign w:val="top"/>
          </w:tcPr>
          <w:p w14:paraId="7C3E33E1">
            <w:pPr>
              <w:spacing w:line="360" w:lineRule="auto"/>
              <w:rPr>
                <w:rFonts w:hint="eastAsia" w:ascii="宋体" w:hAnsi="宋体" w:eastAsia="宋体" w:cs="宋体"/>
                <w:color w:val="auto"/>
                <w:szCs w:val="21"/>
                <w:highlight w:val="none"/>
              </w:rPr>
            </w:pPr>
          </w:p>
        </w:tc>
        <w:tc>
          <w:tcPr>
            <w:tcW w:w="638" w:type="dxa"/>
            <w:noWrap w:val="0"/>
            <w:vAlign w:val="top"/>
          </w:tcPr>
          <w:p w14:paraId="502A66C2">
            <w:pPr>
              <w:spacing w:line="360" w:lineRule="auto"/>
              <w:rPr>
                <w:rFonts w:hint="eastAsia" w:ascii="宋体" w:hAnsi="宋体" w:eastAsia="宋体" w:cs="宋体"/>
                <w:color w:val="auto"/>
                <w:szCs w:val="21"/>
                <w:highlight w:val="none"/>
              </w:rPr>
            </w:pPr>
          </w:p>
        </w:tc>
        <w:tc>
          <w:tcPr>
            <w:tcW w:w="850" w:type="dxa"/>
            <w:noWrap w:val="0"/>
            <w:vAlign w:val="top"/>
          </w:tcPr>
          <w:p w14:paraId="0104D7B5">
            <w:pPr>
              <w:spacing w:line="360" w:lineRule="auto"/>
              <w:rPr>
                <w:rFonts w:hint="eastAsia" w:ascii="宋体" w:hAnsi="宋体" w:eastAsia="宋体" w:cs="宋体"/>
                <w:color w:val="auto"/>
                <w:szCs w:val="21"/>
                <w:highlight w:val="none"/>
              </w:rPr>
            </w:pPr>
          </w:p>
        </w:tc>
        <w:tc>
          <w:tcPr>
            <w:tcW w:w="1130" w:type="dxa"/>
            <w:noWrap w:val="0"/>
            <w:vAlign w:val="top"/>
          </w:tcPr>
          <w:p w14:paraId="6705D8DC">
            <w:pPr>
              <w:spacing w:line="360" w:lineRule="auto"/>
              <w:rPr>
                <w:rFonts w:hint="eastAsia" w:ascii="宋体" w:hAnsi="宋体" w:eastAsia="宋体" w:cs="宋体"/>
                <w:color w:val="auto"/>
                <w:szCs w:val="21"/>
                <w:highlight w:val="none"/>
              </w:rPr>
            </w:pPr>
          </w:p>
        </w:tc>
        <w:tc>
          <w:tcPr>
            <w:tcW w:w="900" w:type="dxa"/>
            <w:noWrap w:val="0"/>
            <w:vAlign w:val="top"/>
          </w:tcPr>
          <w:p w14:paraId="7D2801DA">
            <w:pPr>
              <w:spacing w:line="360" w:lineRule="auto"/>
              <w:rPr>
                <w:rFonts w:hint="eastAsia" w:ascii="宋体" w:hAnsi="宋体" w:eastAsia="宋体" w:cs="宋体"/>
                <w:color w:val="auto"/>
                <w:szCs w:val="21"/>
                <w:highlight w:val="none"/>
              </w:rPr>
            </w:pPr>
          </w:p>
        </w:tc>
        <w:tc>
          <w:tcPr>
            <w:tcW w:w="1080" w:type="dxa"/>
            <w:noWrap w:val="0"/>
            <w:vAlign w:val="top"/>
          </w:tcPr>
          <w:p w14:paraId="44ED63A0">
            <w:pPr>
              <w:spacing w:line="360" w:lineRule="auto"/>
              <w:rPr>
                <w:rFonts w:hint="eastAsia" w:ascii="宋体" w:hAnsi="宋体" w:eastAsia="宋体" w:cs="宋体"/>
                <w:color w:val="auto"/>
                <w:szCs w:val="21"/>
                <w:highlight w:val="none"/>
              </w:rPr>
            </w:pPr>
          </w:p>
        </w:tc>
        <w:tc>
          <w:tcPr>
            <w:tcW w:w="1102" w:type="dxa"/>
            <w:noWrap w:val="0"/>
            <w:vAlign w:val="top"/>
          </w:tcPr>
          <w:p w14:paraId="62FCC8B4">
            <w:pPr>
              <w:spacing w:line="360" w:lineRule="auto"/>
              <w:rPr>
                <w:rFonts w:hint="eastAsia" w:ascii="宋体" w:hAnsi="宋体" w:eastAsia="宋体" w:cs="宋体"/>
                <w:color w:val="auto"/>
                <w:szCs w:val="21"/>
                <w:highlight w:val="none"/>
              </w:rPr>
            </w:pPr>
          </w:p>
        </w:tc>
        <w:tc>
          <w:tcPr>
            <w:tcW w:w="1025" w:type="dxa"/>
            <w:noWrap w:val="0"/>
            <w:vAlign w:val="top"/>
          </w:tcPr>
          <w:p w14:paraId="5A797645">
            <w:pPr>
              <w:spacing w:line="360" w:lineRule="auto"/>
              <w:rPr>
                <w:rFonts w:hint="eastAsia" w:ascii="宋体" w:hAnsi="宋体" w:eastAsia="宋体" w:cs="宋体"/>
                <w:color w:val="auto"/>
                <w:szCs w:val="21"/>
                <w:highlight w:val="none"/>
              </w:rPr>
            </w:pPr>
          </w:p>
        </w:tc>
        <w:tc>
          <w:tcPr>
            <w:tcW w:w="713" w:type="dxa"/>
            <w:noWrap w:val="0"/>
            <w:vAlign w:val="top"/>
          </w:tcPr>
          <w:p w14:paraId="42CF5468">
            <w:pPr>
              <w:spacing w:line="360" w:lineRule="auto"/>
              <w:rPr>
                <w:rFonts w:hint="eastAsia" w:ascii="宋体" w:hAnsi="宋体" w:eastAsia="宋体" w:cs="宋体"/>
                <w:color w:val="auto"/>
                <w:szCs w:val="21"/>
                <w:highlight w:val="none"/>
              </w:rPr>
            </w:pPr>
          </w:p>
        </w:tc>
      </w:tr>
      <w:tr w14:paraId="69426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939" w:type="dxa"/>
            <w:noWrap w:val="0"/>
            <w:vAlign w:val="top"/>
          </w:tcPr>
          <w:p w14:paraId="32B32B64">
            <w:pPr>
              <w:spacing w:line="360" w:lineRule="auto"/>
              <w:rPr>
                <w:rFonts w:hint="eastAsia" w:ascii="宋体" w:hAnsi="宋体" w:eastAsia="宋体" w:cs="宋体"/>
                <w:color w:val="auto"/>
                <w:szCs w:val="21"/>
                <w:highlight w:val="none"/>
              </w:rPr>
            </w:pPr>
          </w:p>
        </w:tc>
        <w:tc>
          <w:tcPr>
            <w:tcW w:w="937" w:type="dxa"/>
            <w:noWrap w:val="0"/>
            <w:vAlign w:val="top"/>
          </w:tcPr>
          <w:p w14:paraId="51F8FAEA">
            <w:pPr>
              <w:spacing w:line="360" w:lineRule="auto"/>
              <w:rPr>
                <w:rFonts w:hint="eastAsia" w:ascii="宋体" w:hAnsi="宋体" w:eastAsia="宋体" w:cs="宋体"/>
                <w:color w:val="auto"/>
                <w:szCs w:val="21"/>
                <w:highlight w:val="none"/>
              </w:rPr>
            </w:pPr>
          </w:p>
        </w:tc>
        <w:tc>
          <w:tcPr>
            <w:tcW w:w="638" w:type="dxa"/>
            <w:noWrap w:val="0"/>
            <w:vAlign w:val="top"/>
          </w:tcPr>
          <w:p w14:paraId="512E71CC">
            <w:pPr>
              <w:spacing w:line="360" w:lineRule="auto"/>
              <w:rPr>
                <w:rFonts w:hint="eastAsia" w:ascii="宋体" w:hAnsi="宋体" w:eastAsia="宋体" w:cs="宋体"/>
                <w:color w:val="auto"/>
                <w:szCs w:val="21"/>
                <w:highlight w:val="none"/>
              </w:rPr>
            </w:pPr>
          </w:p>
        </w:tc>
        <w:tc>
          <w:tcPr>
            <w:tcW w:w="850" w:type="dxa"/>
            <w:noWrap w:val="0"/>
            <w:vAlign w:val="top"/>
          </w:tcPr>
          <w:p w14:paraId="4B1440E8">
            <w:pPr>
              <w:spacing w:line="360" w:lineRule="auto"/>
              <w:rPr>
                <w:rFonts w:hint="eastAsia" w:ascii="宋体" w:hAnsi="宋体" w:eastAsia="宋体" w:cs="宋体"/>
                <w:color w:val="auto"/>
                <w:szCs w:val="21"/>
                <w:highlight w:val="none"/>
              </w:rPr>
            </w:pPr>
          </w:p>
        </w:tc>
        <w:tc>
          <w:tcPr>
            <w:tcW w:w="1130" w:type="dxa"/>
            <w:noWrap w:val="0"/>
            <w:vAlign w:val="top"/>
          </w:tcPr>
          <w:p w14:paraId="1F33388F">
            <w:pPr>
              <w:spacing w:line="360" w:lineRule="auto"/>
              <w:rPr>
                <w:rFonts w:hint="eastAsia" w:ascii="宋体" w:hAnsi="宋体" w:eastAsia="宋体" w:cs="宋体"/>
                <w:color w:val="auto"/>
                <w:szCs w:val="21"/>
                <w:highlight w:val="none"/>
              </w:rPr>
            </w:pPr>
          </w:p>
        </w:tc>
        <w:tc>
          <w:tcPr>
            <w:tcW w:w="900" w:type="dxa"/>
            <w:noWrap w:val="0"/>
            <w:vAlign w:val="top"/>
          </w:tcPr>
          <w:p w14:paraId="2AF9D04B">
            <w:pPr>
              <w:spacing w:line="360" w:lineRule="auto"/>
              <w:rPr>
                <w:rFonts w:hint="eastAsia" w:ascii="宋体" w:hAnsi="宋体" w:eastAsia="宋体" w:cs="宋体"/>
                <w:color w:val="auto"/>
                <w:szCs w:val="21"/>
                <w:highlight w:val="none"/>
              </w:rPr>
            </w:pPr>
          </w:p>
        </w:tc>
        <w:tc>
          <w:tcPr>
            <w:tcW w:w="1080" w:type="dxa"/>
            <w:noWrap w:val="0"/>
            <w:vAlign w:val="top"/>
          </w:tcPr>
          <w:p w14:paraId="201110C0">
            <w:pPr>
              <w:spacing w:line="360" w:lineRule="auto"/>
              <w:rPr>
                <w:rFonts w:hint="eastAsia" w:ascii="宋体" w:hAnsi="宋体" w:eastAsia="宋体" w:cs="宋体"/>
                <w:color w:val="auto"/>
                <w:szCs w:val="21"/>
                <w:highlight w:val="none"/>
              </w:rPr>
            </w:pPr>
          </w:p>
        </w:tc>
        <w:tc>
          <w:tcPr>
            <w:tcW w:w="1102" w:type="dxa"/>
            <w:noWrap w:val="0"/>
            <w:vAlign w:val="top"/>
          </w:tcPr>
          <w:p w14:paraId="091BF903">
            <w:pPr>
              <w:spacing w:line="360" w:lineRule="auto"/>
              <w:rPr>
                <w:rFonts w:hint="eastAsia" w:ascii="宋体" w:hAnsi="宋体" w:eastAsia="宋体" w:cs="宋体"/>
                <w:color w:val="auto"/>
                <w:szCs w:val="21"/>
                <w:highlight w:val="none"/>
              </w:rPr>
            </w:pPr>
          </w:p>
        </w:tc>
        <w:tc>
          <w:tcPr>
            <w:tcW w:w="1025" w:type="dxa"/>
            <w:noWrap w:val="0"/>
            <w:vAlign w:val="top"/>
          </w:tcPr>
          <w:p w14:paraId="67507C54">
            <w:pPr>
              <w:spacing w:line="360" w:lineRule="auto"/>
              <w:rPr>
                <w:rFonts w:hint="eastAsia" w:ascii="宋体" w:hAnsi="宋体" w:eastAsia="宋体" w:cs="宋体"/>
                <w:color w:val="auto"/>
                <w:szCs w:val="21"/>
                <w:highlight w:val="none"/>
              </w:rPr>
            </w:pPr>
          </w:p>
        </w:tc>
        <w:tc>
          <w:tcPr>
            <w:tcW w:w="713" w:type="dxa"/>
            <w:noWrap w:val="0"/>
            <w:vAlign w:val="top"/>
          </w:tcPr>
          <w:p w14:paraId="78826C10">
            <w:pPr>
              <w:spacing w:line="360" w:lineRule="auto"/>
              <w:rPr>
                <w:rFonts w:hint="eastAsia" w:ascii="宋体" w:hAnsi="宋体" w:eastAsia="宋体" w:cs="宋体"/>
                <w:color w:val="auto"/>
                <w:szCs w:val="21"/>
                <w:highlight w:val="none"/>
              </w:rPr>
            </w:pPr>
          </w:p>
        </w:tc>
      </w:tr>
      <w:tr w14:paraId="2D72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939" w:type="dxa"/>
            <w:noWrap w:val="0"/>
            <w:vAlign w:val="top"/>
          </w:tcPr>
          <w:p w14:paraId="2779ED4B">
            <w:pPr>
              <w:spacing w:line="360" w:lineRule="auto"/>
              <w:rPr>
                <w:rFonts w:hint="eastAsia" w:ascii="宋体" w:hAnsi="宋体" w:eastAsia="宋体" w:cs="宋体"/>
                <w:color w:val="auto"/>
                <w:szCs w:val="21"/>
                <w:highlight w:val="none"/>
              </w:rPr>
            </w:pPr>
          </w:p>
        </w:tc>
        <w:tc>
          <w:tcPr>
            <w:tcW w:w="937" w:type="dxa"/>
            <w:noWrap w:val="0"/>
            <w:vAlign w:val="top"/>
          </w:tcPr>
          <w:p w14:paraId="0D302794">
            <w:pPr>
              <w:spacing w:line="360" w:lineRule="auto"/>
              <w:rPr>
                <w:rFonts w:hint="eastAsia" w:ascii="宋体" w:hAnsi="宋体" w:eastAsia="宋体" w:cs="宋体"/>
                <w:color w:val="auto"/>
                <w:szCs w:val="21"/>
                <w:highlight w:val="none"/>
              </w:rPr>
            </w:pPr>
          </w:p>
        </w:tc>
        <w:tc>
          <w:tcPr>
            <w:tcW w:w="638" w:type="dxa"/>
            <w:noWrap w:val="0"/>
            <w:vAlign w:val="top"/>
          </w:tcPr>
          <w:p w14:paraId="212B0D76">
            <w:pPr>
              <w:spacing w:line="360" w:lineRule="auto"/>
              <w:rPr>
                <w:rFonts w:hint="eastAsia" w:ascii="宋体" w:hAnsi="宋体" w:eastAsia="宋体" w:cs="宋体"/>
                <w:color w:val="auto"/>
                <w:szCs w:val="21"/>
                <w:highlight w:val="none"/>
              </w:rPr>
            </w:pPr>
          </w:p>
        </w:tc>
        <w:tc>
          <w:tcPr>
            <w:tcW w:w="850" w:type="dxa"/>
            <w:noWrap w:val="0"/>
            <w:vAlign w:val="top"/>
          </w:tcPr>
          <w:p w14:paraId="77C5B672">
            <w:pPr>
              <w:spacing w:line="360" w:lineRule="auto"/>
              <w:rPr>
                <w:rFonts w:hint="eastAsia" w:ascii="宋体" w:hAnsi="宋体" w:eastAsia="宋体" w:cs="宋体"/>
                <w:color w:val="auto"/>
                <w:szCs w:val="21"/>
                <w:highlight w:val="none"/>
              </w:rPr>
            </w:pPr>
          </w:p>
        </w:tc>
        <w:tc>
          <w:tcPr>
            <w:tcW w:w="1130" w:type="dxa"/>
            <w:noWrap w:val="0"/>
            <w:vAlign w:val="top"/>
          </w:tcPr>
          <w:p w14:paraId="42C6399F">
            <w:pPr>
              <w:spacing w:line="360" w:lineRule="auto"/>
              <w:rPr>
                <w:rFonts w:hint="eastAsia" w:ascii="宋体" w:hAnsi="宋体" w:eastAsia="宋体" w:cs="宋体"/>
                <w:color w:val="auto"/>
                <w:szCs w:val="21"/>
                <w:highlight w:val="none"/>
              </w:rPr>
            </w:pPr>
          </w:p>
        </w:tc>
        <w:tc>
          <w:tcPr>
            <w:tcW w:w="900" w:type="dxa"/>
            <w:noWrap w:val="0"/>
            <w:vAlign w:val="top"/>
          </w:tcPr>
          <w:p w14:paraId="1B72C524">
            <w:pPr>
              <w:spacing w:line="360" w:lineRule="auto"/>
              <w:rPr>
                <w:rFonts w:hint="eastAsia" w:ascii="宋体" w:hAnsi="宋体" w:eastAsia="宋体" w:cs="宋体"/>
                <w:color w:val="auto"/>
                <w:szCs w:val="21"/>
                <w:highlight w:val="none"/>
              </w:rPr>
            </w:pPr>
          </w:p>
        </w:tc>
        <w:tc>
          <w:tcPr>
            <w:tcW w:w="1080" w:type="dxa"/>
            <w:noWrap w:val="0"/>
            <w:vAlign w:val="top"/>
          </w:tcPr>
          <w:p w14:paraId="330A0335">
            <w:pPr>
              <w:spacing w:line="360" w:lineRule="auto"/>
              <w:rPr>
                <w:rFonts w:hint="eastAsia" w:ascii="宋体" w:hAnsi="宋体" w:eastAsia="宋体" w:cs="宋体"/>
                <w:color w:val="auto"/>
                <w:szCs w:val="21"/>
                <w:highlight w:val="none"/>
              </w:rPr>
            </w:pPr>
          </w:p>
        </w:tc>
        <w:tc>
          <w:tcPr>
            <w:tcW w:w="1102" w:type="dxa"/>
            <w:noWrap w:val="0"/>
            <w:vAlign w:val="top"/>
          </w:tcPr>
          <w:p w14:paraId="21115ACD">
            <w:pPr>
              <w:spacing w:line="360" w:lineRule="auto"/>
              <w:rPr>
                <w:rFonts w:hint="eastAsia" w:ascii="宋体" w:hAnsi="宋体" w:eastAsia="宋体" w:cs="宋体"/>
                <w:color w:val="auto"/>
                <w:szCs w:val="21"/>
                <w:highlight w:val="none"/>
              </w:rPr>
            </w:pPr>
          </w:p>
        </w:tc>
        <w:tc>
          <w:tcPr>
            <w:tcW w:w="1025" w:type="dxa"/>
            <w:noWrap w:val="0"/>
            <w:vAlign w:val="top"/>
          </w:tcPr>
          <w:p w14:paraId="635D1929">
            <w:pPr>
              <w:spacing w:line="360" w:lineRule="auto"/>
              <w:rPr>
                <w:rFonts w:hint="eastAsia" w:ascii="宋体" w:hAnsi="宋体" w:eastAsia="宋体" w:cs="宋体"/>
                <w:color w:val="auto"/>
                <w:szCs w:val="21"/>
                <w:highlight w:val="none"/>
              </w:rPr>
            </w:pPr>
          </w:p>
        </w:tc>
        <w:tc>
          <w:tcPr>
            <w:tcW w:w="713" w:type="dxa"/>
            <w:noWrap w:val="0"/>
            <w:vAlign w:val="top"/>
          </w:tcPr>
          <w:p w14:paraId="5FAE746C">
            <w:pPr>
              <w:spacing w:line="360" w:lineRule="auto"/>
              <w:rPr>
                <w:rFonts w:hint="eastAsia" w:ascii="宋体" w:hAnsi="宋体" w:eastAsia="宋体" w:cs="宋体"/>
                <w:color w:val="auto"/>
                <w:szCs w:val="21"/>
                <w:highlight w:val="none"/>
              </w:rPr>
            </w:pPr>
          </w:p>
        </w:tc>
      </w:tr>
      <w:tr w14:paraId="6812A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939" w:type="dxa"/>
            <w:noWrap w:val="0"/>
            <w:vAlign w:val="top"/>
          </w:tcPr>
          <w:p w14:paraId="3885E4A3">
            <w:pPr>
              <w:spacing w:line="360" w:lineRule="auto"/>
              <w:rPr>
                <w:rFonts w:hint="eastAsia" w:ascii="宋体" w:hAnsi="宋体" w:eastAsia="宋体" w:cs="宋体"/>
                <w:color w:val="auto"/>
                <w:szCs w:val="21"/>
                <w:highlight w:val="none"/>
              </w:rPr>
            </w:pPr>
          </w:p>
        </w:tc>
        <w:tc>
          <w:tcPr>
            <w:tcW w:w="937" w:type="dxa"/>
            <w:noWrap w:val="0"/>
            <w:vAlign w:val="top"/>
          </w:tcPr>
          <w:p w14:paraId="78BF1988">
            <w:pPr>
              <w:spacing w:line="360" w:lineRule="auto"/>
              <w:rPr>
                <w:rFonts w:hint="eastAsia" w:ascii="宋体" w:hAnsi="宋体" w:eastAsia="宋体" w:cs="宋体"/>
                <w:color w:val="auto"/>
                <w:szCs w:val="21"/>
                <w:highlight w:val="none"/>
              </w:rPr>
            </w:pPr>
          </w:p>
        </w:tc>
        <w:tc>
          <w:tcPr>
            <w:tcW w:w="638" w:type="dxa"/>
            <w:noWrap w:val="0"/>
            <w:vAlign w:val="top"/>
          </w:tcPr>
          <w:p w14:paraId="11FD489D">
            <w:pPr>
              <w:spacing w:line="360" w:lineRule="auto"/>
              <w:rPr>
                <w:rFonts w:hint="eastAsia" w:ascii="宋体" w:hAnsi="宋体" w:eastAsia="宋体" w:cs="宋体"/>
                <w:color w:val="auto"/>
                <w:szCs w:val="21"/>
                <w:highlight w:val="none"/>
              </w:rPr>
            </w:pPr>
          </w:p>
        </w:tc>
        <w:tc>
          <w:tcPr>
            <w:tcW w:w="850" w:type="dxa"/>
            <w:noWrap w:val="0"/>
            <w:vAlign w:val="top"/>
          </w:tcPr>
          <w:p w14:paraId="57255618">
            <w:pPr>
              <w:spacing w:line="360" w:lineRule="auto"/>
              <w:rPr>
                <w:rFonts w:hint="eastAsia" w:ascii="宋体" w:hAnsi="宋体" w:eastAsia="宋体" w:cs="宋体"/>
                <w:color w:val="auto"/>
                <w:szCs w:val="21"/>
                <w:highlight w:val="none"/>
              </w:rPr>
            </w:pPr>
          </w:p>
        </w:tc>
        <w:tc>
          <w:tcPr>
            <w:tcW w:w="1130" w:type="dxa"/>
            <w:noWrap w:val="0"/>
            <w:vAlign w:val="top"/>
          </w:tcPr>
          <w:p w14:paraId="074E5AF1">
            <w:pPr>
              <w:spacing w:line="360" w:lineRule="auto"/>
              <w:rPr>
                <w:rFonts w:hint="eastAsia" w:ascii="宋体" w:hAnsi="宋体" w:eastAsia="宋体" w:cs="宋体"/>
                <w:color w:val="auto"/>
                <w:szCs w:val="21"/>
                <w:highlight w:val="none"/>
              </w:rPr>
            </w:pPr>
          </w:p>
        </w:tc>
        <w:tc>
          <w:tcPr>
            <w:tcW w:w="900" w:type="dxa"/>
            <w:noWrap w:val="0"/>
            <w:vAlign w:val="top"/>
          </w:tcPr>
          <w:p w14:paraId="12EB1050">
            <w:pPr>
              <w:spacing w:line="360" w:lineRule="auto"/>
              <w:rPr>
                <w:rFonts w:hint="eastAsia" w:ascii="宋体" w:hAnsi="宋体" w:eastAsia="宋体" w:cs="宋体"/>
                <w:color w:val="auto"/>
                <w:szCs w:val="21"/>
                <w:highlight w:val="none"/>
              </w:rPr>
            </w:pPr>
          </w:p>
        </w:tc>
        <w:tc>
          <w:tcPr>
            <w:tcW w:w="1080" w:type="dxa"/>
            <w:noWrap w:val="0"/>
            <w:vAlign w:val="top"/>
          </w:tcPr>
          <w:p w14:paraId="091858DD">
            <w:pPr>
              <w:spacing w:line="360" w:lineRule="auto"/>
              <w:rPr>
                <w:rFonts w:hint="eastAsia" w:ascii="宋体" w:hAnsi="宋体" w:eastAsia="宋体" w:cs="宋体"/>
                <w:color w:val="auto"/>
                <w:szCs w:val="21"/>
                <w:highlight w:val="none"/>
              </w:rPr>
            </w:pPr>
          </w:p>
        </w:tc>
        <w:tc>
          <w:tcPr>
            <w:tcW w:w="1102" w:type="dxa"/>
            <w:noWrap w:val="0"/>
            <w:vAlign w:val="top"/>
          </w:tcPr>
          <w:p w14:paraId="2F9654D6">
            <w:pPr>
              <w:spacing w:line="360" w:lineRule="auto"/>
              <w:rPr>
                <w:rFonts w:hint="eastAsia" w:ascii="宋体" w:hAnsi="宋体" w:eastAsia="宋体" w:cs="宋体"/>
                <w:color w:val="auto"/>
                <w:szCs w:val="21"/>
                <w:highlight w:val="none"/>
              </w:rPr>
            </w:pPr>
          </w:p>
        </w:tc>
        <w:tc>
          <w:tcPr>
            <w:tcW w:w="1025" w:type="dxa"/>
            <w:noWrap w:val="0"/>
            <w:vAlign w:val="top"/>
          </w:tcPr>
          <w:p w14:paraId="09F8DDD0">
            <w:pPr>
              <w:spacing w:line="360" w:lineRule="auto"/>
              <w:rPr>
                <w:rFonts w:hint="eastAsia" w:ascii="宋体" w:hAnsi="宋体" w:eastAsia="宋体" w:cs="宋体"/>
                <w:color w:val="auto"/>
                <w:szCs w:val="21"/>
                <w:highlight w:val="none"/>
              </w:rPr>
            </w:pPr>
          </w:p>
        </w:tc>
        <w:tc>
          <w:tcPr>
            <w:tcW w:w="713" w:type="dxa"/>
            <w:noWrap w:val="0"/>
            <w:vAlign w:val="top"/>
          </w:tcPr>
          <w:p w14:paraId="575FB6F5">
            <w:pPr>
              <w:spacing w:line="360" w:lineRule="auto"/>
              <w:rPr>
                <w:rFonts w:hint="eastAsia" w:ascii="宋体" w:hAnsi="宋体" w:eastAsia="宋体" w:cs="宋体"/>
                <w:color w:val="auto"/>
                <w:szCs w:val="21"/>
                <w:highlight w:val="none"/>
              </w:rPr>
            </w:pPr>
          </w:p>
        </w:tc>
      </w:tr>
      <w:tr w14:paraId="0E4D0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939" w:type="dxa"/>
            <w:noWrap w:val="0"/>
            <w:vAlign w:val="top"/>
          </w:tcPr>
          <w:p w14:paraId="4BF55C06">
            <w:pPr>
              <w:spacing w:line="360" w:lineRule="auto"/>
              <w:rPr>
                <w:rFonts w:hint="eastAsia" w:ascii="宋体" w:hAnsi="宋体" w:eastAsia="宋体" w:cs="宋体"/>
                <w:color w:val="auto"/>
                <w:szCs w:val="21"/>
                <w:highlight w:val="none"/>
              </w:rPr>
            </w:pPr>
          </w:p>
        </w:tc>
        <w:tc>
          <w:tcPr>
            <w:tcW w:w="937" w:type="dxa"/>
            <w:noWrap w:val="0"/>
            <w:vAlign w:val="top"/>
          </w:tcPr>
          <w:p w14:paraId="37230096">
            <w:pPr>
              <w:spacing w:line="360" w:lineRule="auto"/>
              <w:rPr>
                <w:rFonts w:hint="eastAsia" w:ascii="宋体" w:hAnsi="宋体" w:eastAsia="宋体" w:cs="宋体"/>
                <w:color w:val="auto"/>
                <w:szCs w:val="21"/>
                <w:highlight w:val="none"/>
              </w:rPr>
            </w:pPr>
          </w:p>
        </w:tc>
        <w:tc>
          <w:tcPr>
            <w:tcW w:w="638" w:type="dxa"/>
            <w:noWrap w:val="0"/>
            <w:vAlign w:val="top"/>
          </w:tcPr>
          <w:p w14:paraId="622B96B0">
            <w:pPr>
              <w:spacing w:line="360" w:lineRule="auto"/>
              <w:rPr>
                <w:rFonts w:hint="eastAsia" w:ascii="宋体" w:hAnsi="宋体" w:eastAsia="宋体" w:cs="宋体"/>
                <w:color w:val="auto"/>
                <w:szCs w:val="21"/>
                <w:highlight w:val="none"/>
              </w:rPr>
            </w:pPr>
          </w:p>
        </w:tc>
        <w:tc>
          <w:tcPr>
            <w:tcW w:w="850" w:type="dxa"/>
            <w:noWrap w:val="0"/>
            <w:vAlign w:val="top"/>
          </w:tcPr>
          <w:p w14:paraId="721A1A62">
            <w:pPr>
              <w:spacing w:line="360" w:lineRule="auto"/>
              <w:rPr>
                <w:rFonts w:hint="eastAsia" w:ascii="宋体" w:hAnsi="宋体" w:eastAsia="宋体" w:cs="宋体"/>
                <w:color w:val="auto"/>
                <w:szCs w:val="21"/>
                <w:highlight w:val="none"/>
              </w:rPr>
            </w:pPr>
          </w:p>
        </w:tc>
        <w:tc>
          <w:tcPr>
            <w:tcW w:w="1130" w:type="dxa"/>
            <w:noWrap w:val="0"/>
            <w:vAlign w:val="top"/>
          </w:tcPr>
          <w:p w14:paraId="7F100141">
            <w:pPr>
              <w:spacing w:line="360" w:lineRule="auto"/>
              <w:rPr>
                <w:rFonts w:hint="eastAsia" w:ascii="宋体" w:hAnsi="宋体" w:eastAsia="宋体" w:cs="宋体"/>
                <w:color w:val="auto"/>
                <w:szCs w:val="21"/>
                <w:highlight w:val="none"/>
              </w:rPr>
            </w:pPr>
          </w:p>
        </w:tc>
        <w:tc>
          <w:tcPr>
            <w:tcW w:w="900" w:type="dxa"/>
            <w:noWrap w:val="0"/>
            <w:vAlign w:val="top"/>
          </w:tcPr>
          <w:p w14:paraId="14D7C605">
            <w:pPr>
              <w:spacing w:line="360" w:lineRule="auto"/>
              <w:rPr>
                <w:rFonts w:hint="eastAsia" w:ascii="宋体" w:hAnsi="宋体" w:eastAsia="宋体" w:cs="宋体"/>
                <w:color w:val="auto"/>
                <w:szCs w:val="21"/>
                <w:highlight w:val="none"/>
              </w:rPr>
            </w:pPr>
          </w:p>
        </w:tc>
        <w:tc>
          <w:tcPr>
            <w:tcW w:w="1080" w:type="dxa"/>
            <w:noWrap w:val="0"/>
            <w:vAlign w:val="top"/>
          </w:tcPr>
          <w:p w14:paraId="0E186386">
            <w:pPr>
              <w:spacing w:line="360" w:lineRule="auto"/>
              <w:rPr>
                <w:rFonts w:hint="eastAsia" w:ascii="宋体" w:hAnsi="宋体" w:eastAsia="宋体" w:cs="宋体"/>
                <w:color w:val="auto"/>
                <w:szCs w:val="21"/>
                <w:highlight w:val="none"/>
              </w:rPr>
            </w:pPr>
          </w:p>
        </w:tc>
        <w:tc>
          <w:tcPr>
            <w:tcW w:w="1102" w:type="dxa"/>
            <w:noWrap w:val="0"/>
            <w:vAlign w:val="top"/>
          </w:tcPr>
          <w:p w14:paraId="134BBD43">
            <w:pPr>
              <w:spacing w:line="360" w:lineRule="auto"/>
              <w:rPr>
                <w:rFonts w:hint="eastAsia" w:ascii="宋体" w:hAnsi="宋体" w:eastAsia="宋体" w:cs="宋体"/>
                <w:color w:val="auto"/>
                <w:szCs w:val="21"/>
                <w:highlight w:val="none"/>
              </w:rPr>
            </w:pPr>
          </w:p>
        </w:tc>
        <w:tc>
          <w:tcPr>
            <w:tcW w:w="1025" w:type="dxa"/>
            <w:noWrap w:val="0"/>
            <w:vAlign w:val="top"/>
          </w:tcPr>
          <w:p w14:paraId="0084AB10">
            <w:pPr>
              <w:spacing w:line="360" w:lineRule="auto"/>
              <w:rPr>
                <w:rFonts w:hint="eastAsia" w:ascii="宋体" w:hAnsi="宋体" w:eastAsia="宋体" w:cs="宋体"/>
                <w:color w:val="auto"/>
                <w:szCs w:val="21"/>
                <w:highlight w:val="none"/>
              </w:rPr>
            </w:pPr>
          </w:p>
        </w:tc>
        <w:tc>
          <w:tcPr>
            <w:tcW w:w="713" w:type="dxa"/>
            <w:noWrap w:val="0"/>
            <w:vAlign w:val="top"/>
          </w:tcPr>
          <w:p w14:paraId="7C86FBDC">
            <w:pPr>
              <w:spacing w:line="360" w:lineRule="auto"/>
              <w:rPr>
                <w:rFonts w:hint="eastAsia" w:ascii="宋体" w:hAnsi="宋体" w:eastAsia="宋体" w:cs="宋体"/>
                <w:color w:val="auto"/>
                <w:szCs w:val="21"/>
                <w:highlight w:val="none"/>
              </w:rPr>
            </w:pPr>
          </w:p>
        </w:tc>
      </w:tr>
      <w:tr w14:paraId="046FC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939" w:type="dxa"/>
            <w:noWrap w:val="0"/>
            <w:vAlign w:val="top"/>
          </w:tcPr>
          <w:p w14:paraId="71F75F0B">
            <w:pPr>
              <w:spacing w:line="360" w:lineRule="auto"/>
              <w:rPr>
                <w:rFonts w:hint="eastAsia" w:ascii="宋体" w:hAnsi="宋体" w:eastAsia="宋体" w:cs="宋体"/>
                <w:color w:val="auto"/>
                <w:szCs w:val="21"/>
                <w:highlight w:val="none"/>
              </w:rPr>
            </w:pPr>
          </w:p>
        </w:tc>
        <w:tc>
          <w:tcPr>
            <w:tcW w:w="937" w:type="dxa"/>
            <w:noWrap w:val="0"/>
            <w:vAlign w:val="top"/>
          </w:tcPr>
          <w:p w14:paraId="6C279C6E">
            <w:pPr>
              <w:spacing w:line="360" w:lineRule="auto"/>
              <w:rPr>
                <w:rFonts w:hint="eastAsia" w:ascii="宋体" w:hAnsi="宋体" w:eastAsia="宋体" w:cs="宋体"/>
                <w:color w:val="auto"/>
                <w:szCs w:val="21"/>
                <w:highlight w:val="none"/>
              </w:rPr>
            </w:pPr>
          </w:p>
        </w:tc>
        <w:tc>
          <w:tcPr>
            <w:tcW w:w="638" w:type="dxa"/>
            <w:noWrap w:val="0"/>
            <w:vAlign w:val="top"/>
          </w:tcPr>
          <w:p w14:paraId="288F1C37">
            <w:pPr>
              <w:spacing w:line="360" w:lineRule="auto"/>
              <w:rPr>
                <w:rFonts w:hint="eastAsia" w:ascii="宋体" w:hAnsi="宋体" w:eastAsia="宋体" w:cs="宋体"/>
                <w:color w:val="auto"/>
                <w:szCs w:val="21"/>
                <w:highlight w:val="none"/>
              </w:rPr>
            </w:pPr>
          </w:p>
        </w:tc>
        <w:tc>
          <w:tcPr>
            <w:tcW w:w="850" w:type="dxa"/>
            <w:noWrap w:val="0"/>
            <w:vAlign w:val="top"/>
          </w:tcPr>
          <w:p w14:paraId="65F0F064">
            <w:pPr>
              <w:spacing w:line="360" w:lineRule="auto"/>
              <w:rPr>
                <w:rFonts w:hint="eastAsia" w:ascii="宋体" w:hAnsi="宋体" w:eastAsia="宋体" w:cs="宋体"/>
                <w:color w:val="auto"/>
                <w:szCs w:val="21"/>
                <w:highlight w:val="none"/>
              </w:rPr>
            </w:pPr>
          </w:p>
        </w:tc>
        <w:tc>
          <w:tcPr>
            <w:tcW w:w="1130" w:type="dxa"/>
            <w:noWrap w:val="0"/>
            <w:vAlign w:val="top"/>
          </w:tcPr>
          <w:p w14:paraId="4F33539D">
            <w:pPr>
              <w:spacing w:line="360" w:lineRule="auto"/>
              <w:rPr>
                <w:rFonts w:hint="eastAsia" w:ascii="宋体" w:hAnsi="宋体" w:eastAsia="宋体" w:cs="宋体"/>
                <w:color w:val="auto"/>
                <w:szCs w:val="21"/>
                <w:highlight w:val="none"/>
              </w:rPr>
            </w:pPr>
          </w:p>
        </w:tc>
        <w:tc>
          <w:tcPr>
            <w:tcW w:w="900" w:type="dxa"/>
            <w:noWrap w:val="0"/>
            <w:vAlign w:val="top"/>
          </w:tcPr>
          <w:p w14:paraId="19332F69">
            <w:pPr>
              <w:spacing w:line="360" w:lineRule="auto"/>
              <w:rPr>
                <w:rFonts w:hint="eastAsia" w:ascii="宋体" w:hAnsi="宋体" w:eastAsia="宋体" w:cs="宋体"/>
                <w:color w:val="auto"/>
                <w:szCs w:val="21"/>
                <w:highlight w:val="none"/>
              </w:rPr>
            </w:pPr>
          </w:p>
        </w:tc>
        <w:tc>
          <w:tcPr>
            <w:tcW w:w="1080" w:type="dxa"/>
            <w:noWrap w:val="0"/>
            <w:vAlign w:val="top"/>
          </w:tcPr>
          <w:p w14:paraId="35987E8D">
            <w:pPr>
              <w:spacing w:line="360" w:lineRule="auto"/>
              <w:rPr>
                <w:rFonts w:hint="eastAsia" w:ascii="宋体" w:hAnsi="宋体" w:eastAsia="宋体" w:cs="宋体"/>
                <w:color w:val="auto"/>
                <w:szCs w:val="21"/>
                <w:highlight w:val="none"/>
              </w:rPr>
            </w:pPr>
          </w:p>
        </w:tc>
        <w:tc>
          <w:tcPr>
            <w:tcW w:w="1102" w:type="dxa"/>
            <w:noWrap w:val="0"/>
            <w:vAlign w:val="top"/>
          </w:tcPr>
          <w:p w14:paraId="5AB45A08">
            <w:pPr>
              <w:spacing w:line="360" w:lineRule="auto"/>
              <w:rPr>
                <w:rFonts w:hint="eastAsia" w:ascii="宋体" w:hAnsi="宋体" w:eastAsia="宋体" w:cs="宋体"/>
                <w:color w:val="auto"/>
                <w:szCs w:val="21"/>
                <w:highlight w:val="none"/>
              </w:rPr>
            </w:pPr>
          </w:p>
        </w:tc>
        <w:tc>
          <w:tcPr>
            <w:tcW w:w="1025" w:type="dxa"/>
            <w:noWrap w:val="0"/>
            <w:vAlign w:val="top"/>
          </w:tcPr>
          <w:p w14:paraId="7943B9A9">
            <w:pPr>
              <w:spacing w:line="360" w:lineRule="auto"/>
              <w:rPr>
                <w:rFonts w:hint="eastAsia" w:ascii="宋体" w:hAnsi="宋体" w:eastAsia="宋体" w:cs="宋体"/>
                <w:color w:val="auto"/>
                <w:szCs w:val="21"/>
                <w:highlight w:val="none"/>
              </w:rPr>
            </w:pPr>
          </w:p>
        </w:tc>
        <w:tc>
          <w:tcPr>
            <w:tcW w:w="713" w:type="dxa"/>
            <w:noWrap w:val="0"/>
            <w:vAlign w:val="top"/>
          </w:tcPr>
          <w:p w14:paraId="0DFEE744">
            <w:pPr>
              <w:spacing w:line="360" w:lineRule="auto"/>
              <w:rPr>
                <w:rFonts w:hint="eastAsia" w:ascii="宋体" w:hAnsi="宋体" w:eastAsia="宋体" w:cs="宋体"/>
                <w:color w:val="auto"/>
                <w:szCs w:val="21"/>
                <w:highlight w:val="none"/>
              </w:rPr>
            </w:pPr>
          </w:p>
        </w:tc>
      </w:tr>
      <w:tr w14:paraId="3D386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939" w:type="dxa"/>
            <w:noWrap w:val="0"/>
            <w:vAlign w:val="top"/>
          </w:tcPr>
          <w:p w14:paraId="108B9C76">
            <w:pPr>
              <w:spacing w:line="360" w:lineRule="auto"/>
              <w:rPr>
                <w:rFonts w:hint="eastAsia" w:ascii="宋体" w:hAnsi="宋体" w:eastAsia="宋体" w:cs="宋体"/>
                <w:color w:val="auto"/>
                <w:szCs w:val="21"/>
                <w:highlight w:val="none"/>
              </w:rPr>
            </w:pPr>
          </w:p>
        </w:tc>
        <w:tc>
          <w:tcPr>
            <w:tcW w:w="937" w:type="dxa"/>
            <w:noWrap w:val="0"/>
            <w:vAlign w:val="top"/>
          </w:tcPr>
          <w:p w14:paraId="4B6D354F">
            <w:pPr>
              <w:spacing w:line="360" w:lineRule="auto"/>
              <w:rPr>
                <w:rFonts w:hint="eastAsia" w:ascii="宋体" w:hAnsi="宋体" w:eastAsia="宋体" w:cs="宋体"/>
                <w:color w:val="auto"/>
                <w:szCs w:val="21"/>
                <w:highlight w:val="none"/>
              </w:rPr>
            </w:pPr>
          </w:p>
        </w:tc>
        <w:tc>
          <w:tcPr>
            <w:tcW w:w="638" w:type="dxa"/>
            <w:noWrap w:val="0"/>
            <w:vAlign w:val="top"/>
          </w:tcPr>
          <w:p w14:paraId="3614BFBC">
            <w:pPr>
              <w:spacing w:line="360" w:lineRule="auto"/>
              <w:rPr>
                <w:rFonts w:hint="eastAsia" w:ascii="宋体" w:hAnsi="宋体" w:eastAsia="宋体" w:cs="宋体"/>
                <w:color w:val="auto"/>
                <w:szCs w:val="21"/>
                <w:highlight w:val="none"/>
              </w:rPr>
            </w:pPr>
          </w:p>
        </w:tc>
        <w:tc>
          <w:tcPr>
            <w:tcW w:w="850" w:type="dxa"/>
            <w:noWrap w:val="0"/>
            <w:vAlign w:val="top"/>
          </w:tcPr>
          <w:p w14:paraId="108B39C3">
            <w:pPr>
              <w:spacing w:line="360" w:lineRule="auto"/>
              <w:rPr>
                <w:rFonts w:hint="eastAsia" w:ascii="宋体" w:hAnsi="宋体" w:eastAsia="宋体" w:cs="宋体"/>
                <w:color w:val="auto"/>
                <w:szCs w:val="21"/>
                <w:highlight w:val="none"/>
              </w:rPr>
            </w:pPr>
          </w:p>
        </w:tc>
        <w:tc>
          <w:tcPr>
            <w:tcW w:w="1130" w:type="dxa"/>
            <w:noWrap w:val="0"/>
            <w:vAlign w:val="top"/>
          </w:tcPr>
          <w:p w14:paraId="7BC7FEA2">
            <w:pPr>
              <w:spacing w:line="360" w:lineRule="auto"/>
              <w:rPr>
                <w:rFonts w:hint="eastAsia" w:ascii="宋体" w:hAnsi="宋体" w:eastAsia="宋体" w:cs="宋体"/>
                <w:color w:val="auto"/>
                <w:szCs w:val="21"/>
                <w:highlight w:val="none"/>
              </w:rPr>
            </w:pPr>
          </w:p>
        </w:tc>
        <w:tc>
          <w:tcPr>
            <w:tcW w:w="900" w:type="dxa"/>
            <w:noWrap w:val="0"/>
            <w:vAlign w:val="top"/>
          </w:tcPr>
          <w:p w14:paraId="074F1C48">
            <w:pPr>
              <w:spacing w:line="360" w:lineRule="auto"/>
              <w:rPr>
                <w:rFonts w:hint="eastAsia" w:ascii="宋体" w:hAnsi="宋体" w:eastAsia="宋体" w:cs="宋体"/>
                <w:color w:val="auto"/>
                <w:szCs w:val="21"/>
                <w:highlight w:val="none"/>
              </w:rPr>
            </w:pPr>
          </w:p>
        </w:tc>
        <w:tc>
          <w:tcPr>
            <w:tcW w:w="1080" w:type="dxa"/>
            <w:noWrap w:val="0"/>
            <w:vAlign w:val="top"/>
          </w:tcPr>
          <w:p w14:paraId="653652EB">
            <w:pPr>
              <w:spacing w:line="360" w:lineRule="auto"/>
              <w:rPr>
                <w:rFonts w:hint="eastAsia" w:ascii="宋体" w:hAnsi="宋体" w:eastAsia="宋体" w:cs="宋体"/>
                <w:color w:val="auto"/>
                <w:szCs w:val="21"/>
                <w:highlight w:val="none"/>
              </w:rPr>
            </w:pPr>
          </w:p>
        </w:tc>
        <w:tc>
          <w:tcPr>
            <w:tcW w:w="1102" w:type="dxa"/>
            <w:noWrap w:val="0"/>
            <w:vAlign w:val="top"/>
          </w:tcPr>
          <w:p w14:paraId="592C8CF5">
            <w:pPr>
              <w:spacing w:line="360" w:lineRule="auto"/>
              <w:rPr>
                <w:rFonts w:hint="eastAsia" w:ascii="宋体" w:hAnsi="宋体" w:eastAsia="宋体" w:cs="宋体"/>
                <w:color w:val="auto"/>
                <w:szCs w:val="21"/>
                <w:highlight w:val="none"/>
              </w:rPr>
            </w:pPr>
          </w:p>
        </w:tc>
        <w:tc>
          <w:tcPr>
            <w:tcW w:w="1025" w:type="dxa"/>
            <w:noWrap w:val="0"/>
            <w:vAlign w:val="top"/>
          </w:tcPr>
          <w:p w14:paraId="1B4CAD64">
            <w:pPr>
              <w:spacing w:line="360" w:lineRule="auto"/>
              <w:rPr>
                <w:rFonts w:hint="eastAsia" w:ascii="宋体" w:hAnsi="宋体" w:eastAsia="宋体" w:cs="宋体"/>
                <w:color w:val="auto"/>
                <w:szCs w:val="21"/>
                <w:highlight w:val="none"/>
              </w:rPr>
            </w:pPr>
          </w:p>
        </w:tc>
        <w:tc>
          <w:tcPr>
            <w:tcW w:w="713" w:type="dxa"/>
            <w:noWrap w:val="0"/>
            <w:vAlign w:val="top"/>
          </w:tcPr>
          <w:p w14:paraId="00E92832">
            <w:pPr>
              <w:spacing w:line="360" w:lineRule="auto"/>
              <w:rPr>
                <w:rFonts w:hint="eastAsia" w:ascii="宋体" w:hAnsi="宋体" w:eastAsia="宋体" w:cs="宋体"/>
                <w:color w:val="auto"/>
                <w:szCs w:val="21"/>
                <w:highlight w:val="none"/>
              </w:rPr>
            </w:pPr>
          </w:p>
        </w:tc>
      </w:tr>
    </w:tbl>
    <w:p w14:paraId="2E8A99A4">
      <w:pPr>
        <w:spacing w:line="360" w:lineRule="auto"/>
        <w:ind w:firstLine="0" w:firstLineChars="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注：</w:t>
      </w:r>
      <w:r>
        <w:rPr>
          <w:rFonts w:hint="eastAsia" w:ascii="宋体" w:hAnsi="宋体" w:cs="宋体"/>
          <w:color w:val="auto"/>
          <w:sz w:val="21"/>
          <w:szCs w:val="21"/>
          <w:highlight w:val="none"/>
          <w:lang w:val="en-US" w:eastAsia="zh-CN"/>
        </w:rPr>
        <w:t xml:space="preserve">1. </w:t>
      </w:r>
      <w:r>
        <w:rPr>
          <w:rFonts w:hint="eastAsia" w:ascii="宋体" w:hAnsi="宋体" w:eastAsia="宋体" w:cs="宋体"/>
          <w:b w:val="0"/>
          <w:bCs w:val="0"/>
          <w:color w:val="auto"/>
          <w:kern w:val="2"/>
          <w:sz w:val="21"/>
          <w:szCs w:val="21"/>
          <w:highlight w:val="none"/>
          <w:lang w:val="en-US" w:eastAsia="zh-CN" w:bidi="ar-SA"/>
        </w:rPr>
        <w:t>项目管理机构主要人员配置须满足第二章“投标人须知”1</w:t>
      </w:r>
      <w:r>
        <w:rPr>
          <w:rFonts w:hint="eastAsia" w:ascii="宋体" w:hAnsi="宋体" w:cs="宋体"/>
          <w:b w:val="0"/>
          <w:bCs w:val="0"/>
          <w:color w:val="auto"/>
          <w:kern w:val="2"/>
          <w:sz w:val="21"/>
          <w:szCs w:val="21"/>
          <w:highlight w:val="none"/>
          <w:lang w:val="en-US" w:eastAsia="zh-CN" w:bidi="ar-SA"/>
        </w:rPr>
        <w:t>2</w:t>
      </w:r>
      <w:r>
        <w:rPr>
          <w:rFonts w:hint="eastAsia" w:ascii="宋体" w:hAnsi="宋体" w:eastAsia="宋体" w:cs="宋体"/>
          <w:b w:val="0"/>
          <w:bCs w:val="0"/>
          <w:color w:val="auto"/>
          <w:kern w:val="2"/>
          <w:sz w:val="21"/>
          <w:szCs w:val="21"/>
          <w:highlight w:val="none"/>
          <w:lang w:val="en-US" w:eastAsia="zh-CN" w:bidi="ar-SA"/>
        </w:rPr>
        <w:t>.项目管理机构基本要求，否则评审不合格。</w:t>
      </w:r>
    </w:p>
    <w:p w14:paraId="29315608">
      <w:pPr>
        <w:spacing w:line="360" w:lineRule="auto"/>
        <w:ind w:firstLine="420" w:firstLineChars="200"/>
        <w:rPr>
          <w:rFonts w:hint="default"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2. 表格内容应填尽填，没有的内容可留空或填“/”。如投标人填写的“证书名称”、“证书编号”与证书不一致的，以证书为准。</w:t>
      </w:r>
    </w:p>
    <w:p w14:paraId="21A4A05F">
      <w:pPr>
        <w:jc w:val="center"/>
        <w:rPr>
          <w:rFonts w:hint="eastAsia"/>
          <w:b/>
          <w:color w:val="auto"/>
          <w:highlight w:val="none"/>
          <w:lang w:eastAsia="zh-CN"/>
        </w:rPr>
      </w:pPr>
      <w:r>
        <w:rPr>
          <w:rFonts w:hint="eastAsia"/>
          <w:color w:val="auto"/>
          <w:highlight w:val="none"/>
          <w:lang w:val="en-US" w:eastAsia="zh-CN"/>
        </w:rPr>
        <w:br w:type="page"/>
      </w:r>
      <w:r>
        <w:rPr>
          <w:rFonts w:hint="eastAsia" w:ascii="宋体" w:hAnsi="宋体" w:eastAsia="宋体" w:cs="宋体"/>
          <w:b/>
          <w:color w:val="auto"/>
          <w:highlight w:val="none"/>
          <w:lang w:val="en-US" w:eastAsia="zh-CN"/>
        </w:rPr>
        <w:t xml:space="preserve">2. </w:t>
      </w:r>
      <w:r>
        <w:rPr>
          <w:rFonts w:hint="eastAsia"/>
          <w:b/>
          <w:color w:val="auto"/>
          <w:highlight w:val="none"/>
        </w:rPr>
        <w:t>主要人员</w:t>
      </w:r>
      <w:r>
        <w:rPr>
          <w:rFonts w:hint="eastAsia"/>
          <w:b/>
          <w:color w:val="auto"/>
          <w:highlight w:val="none"/>
          <w:lang w:eastAsia="zh-CN"/>
        </w:rPr>
        <w:t>简历表</w:t>
      </w:r>
    </w:p>
    <w:p w14:paraId="1D67B6CE">
      <w:pPr>
        <w:rPr>
          <w:rFonts w:hint="eastAsia"/>
          <w:color w:val="auto"/>
          <w:highlight w:val="none"/>
          <w:lang w:val="en-US" w:eastAsia="zh-CN"/>
        </w:rPr>
      </w:pPr>
    </w:p>
    <w:tbl>
      <w:tblPr>
        <w:tblStyle w:val="26"/>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306"/>
        <w:gridCol w:w="204"/>
        <w:gridCol w:w="1271"/>
        <w:gridCol w:w="750"/>
        <w:gridCol w:w="478"/>
        <w:gridCol w:w="710"/>
        <w:gridCol w:w="596"/>
        <w:gridCol w:w="2391"/>
        <w:gridCol w:w="1354"/>
      </w:tblGrid>
      <w:tr w14:paraId="1469140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510" w:type="dxa"/>
            <w:gridSpan w:val="2"/>
            <w:noWrap w:val="0"/>
            <w:vAlign w:val="center"/>
          </w:tcPr>
          <w:p w14:paraId="3EB53A57">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r>
              <w:rPr>
                <w:rFonts w:hint="eastAsia" w:ascii="宋体" w:hAnsi="宋体"/>
                <w:bCs/>
                <w:color w:val="auto"/>
                <w:sz w:val="21"/>
                <w:szCs w:val="21"/>
                <w:highlight w:val="none"/>
              </w:rPr>
              <w:t>姓名</w:t>
            </w:r>
          </w:p>
        </w:tc>
        <w:tc>
          <w:tcPr>
            <w:tcW w:w="1271" w:type="dxa"/>
            <w:noWrap w:val="0"/>
            <w:vAlign w:val="center"/>
          </w:tcPr>
          <w:p w14:paraId="0B215305">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750" w:type="dxa"/>
            <w:noWrap w:val="0"/>
            <w:vAlign w:val="center"/>
          </w:tcPr>
          <w:p w14:paraId="6CF64A4E">
            <w:pPr>
              <w:tabs>
                <w:tab w:val="left" w:pos="-951"/>
                <w:tab w:val="left" w:pos="4267"/>
                <w:tab w:val="left" w:pos="7925"/>
              </w:tabs>
              <w:adjustRightInd w:val="0"/>
              <w:snapToGrid w:val="0"/>
              <w:spacing w:line="360" w:lineRule="auto"/>
              <w:ind w:right="-6"/>
              <w:jc w:val="center"/>
              <w:rPr>
                <w:rFonts w:hint="eastAsia" w:ascii="宋体" w:hAnsi="宋体" w:eastAsia="宋体"/>
                <w:bCs/>
                <w:color w:val="auto"/>
                <w:sz w:val="21"/>
                <w:szCs w:val="21"/>
                <w:highlight w:val="none"/>
                <w:lang w:eastAsia="zh-CN"/>
              </w:rPr>
            </w:pPr>
            <w:r>
              <w:rPr>
                <w:rFonts w:hint="eastAsia" w:ascii="宋体" w:hAnsi="宋体"/>
                <w:bCs/>
                <w:color w:val="auto"/>
                <w:sz w:val="21"/>
                <w:szCs w:val="21"/>
                <w:highlight w:val="none"/>
                <w:lang w:eastAsia="zh-CN"/>
              </w:rPr>
              <w:t>年龄</w:t>
            </w:r>
          </w:p>
        </w:tc>
        <w:tc>
          <w:tcPr>
            <w:tcW w:w="1188" w:type="dxa"/>
            <w:gridSpan w:val="2"/>
            <w:noWrap w:val="0"/>
            <w:vAlign w:val="center"/>
          </w:tcPr>
          <w:p w14:paraId="4922F6E8">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987" w:type="dxa"/>
            <w:gridSpan w:val="2"/>
            <w:noWrap w:val="0"/>
            <w:vAlign w:val="center"/>
          </w:tcPr>
          <w:p w14:paraId="1A5799B1">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执业资格证书</w:t>
            </w:r>
          </w:p>
          <w:p w14:paraId="54A760F8">
            <w:pPr>
              <w:tabs>
                <w:tab w:val="left" w:pos="-951"/>
                <w:tab w:val="left" w:pos="4267"/>
                <w:tab w:val="left" w:pos="7925"/>
              </w:tabs>
              <w:adjustRightInd w:val="0"/>
              <w:snapToGrid w:val="0"/>
              <w:spacing w:line="360" w:lineRule="auto"/>
              <w:ind w:right="-6"/>
              <w:jc w:val="center"/>
              <w:rPr>
                <w:rFonts w:hint="eastAsia" w:ascii="宋体" w:hAnsi="宋体" w:eastAsia="宋体"/>
                <w:bCs/>
                <w:color w:val="auto"/>
                <w:sz w:val="21"/>
                <w:szCs w:val="21"/>
                <w:highlight w:val="none"/>
                <w:lang w:eastAsia="zh-CN"/>
              </w:rPr>
            </w:pPr>
            <w:r>
              <w:rPr>
                <w:rFonts w:hint="eastAsia" w:ascii="宋体" w:hAnsi="宋体"/>
                <w:bCs/>
                <w:color w:val="auto"/>
                <w:sz w:val="21"/>
                <w:szCs w:val="21"/>
                <w:highlight w:val="none"/>
                <w:lang w:eastAsia="zh-CN"/>
              </w:rPr>
              <w:t>（或上岗证书）名称</w:t>
            </w:r>
          </w:p>
        </w:tc>
        <w:tc>
          <w:tcPr>
            <w:tcW w:w="1354" w:type="dxa"/>
            <w:noWrap w:val="0"/>
            <w:vAlign w:val="center"/>
          </w:tcPr>
          <w:p w14:paraId="473652FE">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r w14:paraId="3042E1B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822" w:hRule="atLeast"/>
          <w:jc w:val="center"/>
        </w:trPr>
        <w:tc>
          <w:tcPr>
            <w:tcW w:w="1510" w:type="dxa"/>
            <w:gridSpan w:val="2"/>
            <w:noWrap w:val="0"/>
            <w:vAlign w:val="center"/>
          </w:tcPr>
          <w:p w14:paraId="1F53FC49">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r>
              <w:rPr>
                <w:rFonts w:hint="eastAsia" w:ascii="宋体" w:hAnsi="宋体"/>
                <w:bCs/>
                <w:color w:val="auto"/>
                <w:sz w:val="21"/>
                <w:szCs w:val="21"/>
                <w:highlight w:val="none"/>
                <w:lang w:eastAsia="zh-CN"/>
              </w:rPr>
              <w:t>职称</w:t>
            </w:r>
          </w:p>
        </w:tc>
        <w:tc>
          <w:tcPr>
            <w:tcW w:w="1271" w:type="dxa"/>
            <w:noWrap w:val="0"/>
            <w:vAlign w:val="center"/>
          </w:tcPr>
          <w:p w14:paraId="13C3ACCA">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750" w:type="dxa"/>
            <w:noWrap w:val="0"/>
            <w:vAlign w:val="center"/>
          </w:tcPr>
          <w:p w14:paraId="20D0CEDE">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学历</w:t>
            </w:r>
          </w:p>
        </w:tc>
        <w:tc>
          <w:tcPr>
            <w:tcW w:w="1188" w:type="dxa"/>
            <w:gridSpan w:val="2"/>
            <w:noWrap w:val="0"/>
            <w:vAlign w:val="center"/>
          </w:tcPr>
          <w:p w14:paraId="5E4D327B">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987" w:type="dxa"/>
            <w:gridSpan w:val="2"/>
            <w:noWrap w:val="0"/>
            <w:vAlign w:val="center"/>
          </w:tcPr>
          <w:p w14:paraId="479F6D29">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拟在本项目任职</w:t>
            </w:r>
          </w:p>
        </w:tc>
        <w:tc>
          <w:tcPr>
            <w:tcW w:w="1354" w:type="dxa"/>
            <w:noWrap w:val="0"/>
            <w:vAlign w:val="center"/>
          </w:tcPr>
          <w:p w14:paraId="7618853F">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r w14:paraId="483BCA4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060" w:type="dxa"/>
            <w:gridSpan w:val="9"/>
            <w:noWrap w:val="0"/>
            <w:vAlign w:val="center"/>
          </w:tcPr>
          <w:p w14:paraId="2EF3057E">
            <w:pPr>
              <w:tabs>
                <w:tab w:val="left" w:pos="-951"/>
                <w:tab w:val="left" w:pos="4267"/>
                <w:tab w:val="left" w:pos="7925"/>
              </w:tabs>
              <w:adjustRightInd w:val="0"/>
              <w:snapToGrid w:val="0"/>
              <w:spacing w:line="360" w:lineRule="auto"/>
              <w:ind w:right="-6"/>
              <w:jc w:val="left"/>
              <w:rPr>
                <w:rFonts w:hint="eastAsia" w:ascii="宋体" w:hAnsi="宋体" w:eastAsia="宋体"/>
                <w:bCs/>
                <w:color w:val="auto"/>
                <w:sz w:val="21"/>
                <w:szCs w:val="21"/>
                <w:highlight w:val="none"/>
                <w:lang w:eastAsia="zh-CN"/>
              </w:rPr>
            </w:pPr>
            <w:r>
              <w:rPr>
                <w:rFonts w:hint="eastAsia" w:ascii="宋体" w:hAnsi="宋体"/>
                <w:bCs/>
                <w:color w:val="auto"/>
                <w:sz w:val="21"/>
                <w:szCs w:val="21"/>
                <w:highlight w:val="none"/>
                <w:lang w:eastAsia="zh-CN"/>
              </w:rPr>
              <w:t>主要工作经历</w:t>
            </w:r>
          </w:p>
        </w:tc>
      </w:tr>
      <w:tr w14:paraId="012AE1D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06" w:type="dxa"/>
            <w:noWrap w:val="0"/>
            <w:vAlign w:val="center"/>
          </w:tcPr>
          <w:p w14:paraId="7BFBD3E6">
            <w:pPr>
              <w:tabs>
                <w:tab w:val="left" w:pos="-951"/>
                <w:tab w:val="left" w:pos="4267"/>
                <w:tab w:val="left" w:pos="7925"/>
              </w:tabs>
              <w:adjustRightInd w:val="0"/>
              <w:snapToGrid w:val="0"/>
              <w:spacing w:line="360" w:lineRule="auto"/>
              <w:ind w:right="-6"/>
              <w:jc w:val="center"/>
              <w:rPr>
                <w:rFonts w:hint="eastAsia" w:ascii="宋体" w:hAnsi="宋体" w:eastAsia="宋体"/>
                <w:bCs/>
                <w:color w:val="auto"/>
                <w:sz w:val="21"/>
                <w:szCs w:val="21"/>
                <w:highlight w:val="none"/>
                <w:lang w:eastAsia="zh-CN"/>
              </w:rPr>
            </w:pPr>
            <w:r>
              <w:rPr>
                <w:rFonts w:hint="eastAsia" w:ascii="宋体" w:hAnsi="宋体" w:eastAsia="宋体"/>
                <w:bCs/>
                <w:color w:val="auto"/>
                <w:sz w:val="21"/>
                <w:szCs w:val="21"/>
                <w:highlight w:val="none"/>
                <w:lang w:eastAsia="zh-CN"/>
              </w:rPr>
              <w:t>时间</w:t>
            </w:r>
          </w:p>
        </w:tc>
        <w:tc>
          <w:tcPr>
            <w:tcW w:w="2703" w:type="dxa"/>
            <w:gridSpan w:val="4"/>
            <w:noWrap w:val="0"/>
            <w:vAlign w:val="center"/>
          </w:tcPr>
          <w:p w14:paraId="7A411565">
            <w:pPr>
              <w:tabs>
                <w:tab w:val="left" w:pos="-951"/>
                <w:tab w:val="left" w:pos="4267"/>
                <w:tab w:val="left" w:pos="7925"/>
              </w:tabs>
              <w:adjustRightInd w:val="0"/>
              <w:snapToGrid w:val="0"/>
              <w:spacing w:line="360" w:lineRule="auto"/>
              <w:ind w:right="-6"/>
              <w:jc w:val="center"/>
              <w:rPr>
                <w:rFonts w:hint="eastAsia" w:ascii="宋体" w:hAnsi="宋体" w:eastAsia="宋体"/>
                <w:bCs/>
                <w:color w:val="auto"/>
                <w:sz w:val="21"/>
                <w:szCs w:val="21"/>
                <w:highlight w:val="none"/>
                <w:lang w:eastAsia="zh-CN"/>
              </w:rPr>
            </w:pPr>
            <w:r>
              <w:rPr>
                <w:rFonts w:hint="eastAsia" w:ascii="宋体" w:hAnsi="宋体"/>
                <w:bCs/>
                <w:color w:val="auto"/>
                <w:sz w:val="21"/>
                <w:szCs w:val="21"/>
                <w:highlight w:val="none"/>
                <w:lang w:eastAsia="zh-CN"/>
              </w:rPr>
              <w:t>参加过的类似项目</w:t>
            </w:r>
          </w:p>
        </w:tc>
        <w:tc>
          <w:tcPr>
            <w:tcW w:w="1306" w:type="dxa"/>
            <w:gridSpan w:val="2"/>
            <w:noWrap w:val="0"/>
            <w:vAlign w:val="center"/>
          </w:tcPr>
          <w:p w14:paraId="176C7F51">
            <w:pPr>
              <w:tabs>
                <w:tab w:val="left" w:pos="-951"/>
                <w:tab w:val="left" w:pos="4267"/>
                <w:tab w:val="left" w:pos="7925"/>
              </w:tabs>
              <w:adjustRightInd w:val="0"/>
              <w:snapToGrid w:val="0"/>
              <w:spacing w:line="360" w:lineRule="auto"/>
              <w:ind w:right="-6"/>
              <w:jc w:val="center"/>
              <w:rPr>
                <w:rFonts w:hint="eastAsia" w:ascii="宋体" w:hAnsi="宋体" w:eastAsia="宋体"/>
                <w:bCs/>
                <w:color w:val="auto"/>
                <w:sz w:val="21"/>
                <w:szCs w:val="21"/>
                <w:highlight w:val="none"/>
                <w:lang w:eastAsia="zh-CN"/>
              </w:rPr>
            </w:pPr>
            <w:r>
              <w:rPr>
                <w:rFonts w:hint="eastAsia" w:ascii="宋体" w:hAnsi="宋体"/>
                <w:bCs/>
                <w:color w:val="auto"/>
                <w:sz w:val="21"/>
                <w:szCs w:val="21"/>
                <w:highlight w:val="none"/>
                <w:lang w:eastAsia="zh-CN"/>
              </w:rPr>
              <w:t>担任职务</w:t>
            </w:r>
          </w:p>
        </w:tc>
        <w:tc>
          <w:tcPr>
            <w:tcW w:w="3745" w:type="dxa"/>
            <w:gridSpan w:val="2"/>
            <w:noWrap w:val="0"/>
            <w:vAlign w:val="center"/>
          </w:tcPr>
          <w:p w14:paraId="12A7DB28">
            <w:pPr>
              <w:tabs>
                <w:tab w:val="left" w:pos="-951"/>
                <w:tab w:val="left" w:pos="4267"/>
                <w:tab w:val="left" w:pos="7925"/>
              </w:tabs>
              <w:adjustRightInd w:val="0"/>
              <w:snapToGrid w:val="0"/>
              <w:spacing w:line="360" w:lineRule="auto"/>
              <w:ind w:right="-6"/>
              <w:jc w:val="center"/>
              <w:rPr>
                <w:rFonts w:hint="eastAsia" w:ascii="宋体" w:hAnsi="宋体" w:eastAsia="宋体"/>
                <w:bCs/>
                <w:color w:val="auto"/>
                <w:sz w:val="21"/>
                <w:szCs w:val="21"/>
                <w:highlight w:val="none"/>
                <w:lang w:eastAsia="zh-CN"/>
              </w:rPr>
            </w:pPr>
            <w:r>
              <w:rPr>
                <w:rFonts w:hint="eastAsia" w:ascii="宋体" w:hAnsi="宋体"/>
                <w:bCs/>
                <w:color w:val="auto"/>
                <w:sz w:val="21"/>
                <w:szCs w:val="21"/>
                <w:highlight w:val="none"/>
                <w:lang w:eastAsia="zh-CN"/>
              </w:rPr>
              <w:t>发包人及联系电话</w:t>
            </w:r>
          </w:p>
        </w:tc>
      </w:tr>
      <w:tr w14:paraId="6DE0080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06" w:type="dxa"/>
            <w:noWrap w:val="0"/>
            <w:vAlign w:val="center"/>
          </w:tcPr>
          <w:p w14:paraId="0CC795CE">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703" w:type="dxa"/>
            <w:gridSpan w:val="4"/>
            <w:noWrap w:val="0"/>
            <w:vAlign w:val="center"/>
          </w:tcPr>
          <w:p w14:paraId="6025140F">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1306" w:type="dxa"/>
            <w:gridSpan w:val="2"/>
            <w:noWrap w:val="0"/>
            <w:vAlign w:val="center"/>
          </w:tcPr>
          <w:p w14:paraId="3F4F1C63">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3745" w:type="dxa"/>
            <w:gridSpan w:val="2"/>
            <w:noWrap w:val="0"/>
            <w:vAlign w:val="center"/>
          </w:tcPr>
          <w:p w14:paraId="452C61B1">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r w14:paraId="5295141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06" w:type="dxa"/>
            <w:noWrap w:val="0"/>
            <w:vAlign w:val="center"/>
          </w:tcPr>
          <w:p w14:paraId="10B53EC9">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703" w:type="dxa"/>
            <w:gridSpan w:val="4"/>
            <w:noWrap w:val="0"/>
            <w:vAlign w:val="center"/>
          </w:tcPr>
          <w:p w14:paraId="6C60DAD3">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1306" w:type="dxa"/>
            <w:gridSpan w:val="2"/>
            <w:noWrap w:val="0"/>
            <w:vAlign w:val="center"/>
          </w:tcPr>
          <w:p w14:paraId="43CFC1AD">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3745" w:type="dxa"/>
            <w:gridSpan w:val="2"/>
            <w:noWrap w:val="0"/>
            <w:vAlign w:val="center"/>
          </w:tcPr>
          <w:p w14:paraId="053BF0C7">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r w14:paraId="72622C6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06" w:type="dxa"/>
            <w:noWrap w:val="0"/>
            <w:vAlign w:val="center"/>
          </w:tcPr>
          <w:p w14:paraId="23F8EEDC">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703" w:type="dxa"/>
            <w:gridSpan w:val="4"/>
            <w:noWrap w:val="0"/>
            <w:vAlign w:val="center"/>
          </w:tcPr>
          <w:p w14:paraId="2FF2919D">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1306" w:type="dxa"/>
            <w:gridSpan w:val="2"/>
            <w:noWrap w:val="0"/>
            <w:vAlign w:val="center"/>
          </w:tcPr>
          <w:p w14:paraId="3EAEFD87">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3745" w:type="dxa"/>
            <w:gridSpan w:val="2"/>
            <w:noWrap w:val="0"/>
            <w:vAlign w:val="center"/>
          </w:tcPr>
          <w:p w14:paraId="4BE66495">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r w14:paraId="6D65624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06" w:type="dxa"/>
            <w:noWrap w:val="0"/>
            <w:vAlign w:val="center"/>
          </w:tcPr>
          <w:p w14:paraId="66091071">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703" w:type="dxa"/>
            <w:gridSpan w:val="4"/>
            <w:noWrap w:val="0"/>
            <w:vAlign w:val="center"/>
          </w:tcPr>
          <w:p w14:paraId="773075F3">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1306" w:type="dxa"/>
            <w:gridSpan w:val="2"/>
            <w:noWrap w:val="0"/>
            <w:vAlign w:val="center"/>
          </w:tcPr>
          <w:p w14:paraId="596577D2">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3745" w:type="dxa"/>
            <w:gridSpan w:val="2"/>
            <w:noWrap w:val="0"/>
            <w:vAlign w:val="center"/>
          </w:tcPr>
          <w:p w14:paraId="673196C1">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r w14:paraId="59FC3AD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06" w:type="dxa"/>
            <w:noWrap w:val="0"/>
            <w:vAlign w:val="center"/>
          </w:tcPr>
          <w:p w14:paraId="4A861544">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703" w:type="dxa"/>
            <w:gridSpan w:val="4"/>
            <w:noWrap w:val="0"/>
            <w:vAlign w:val="center"/>
          </w:tcPr>
          <w:p w14:paraId="2DC16929">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1306" w:type="dxa"/>
            <w:gridSpan w:val="2"/>
            <w:noWrap w:val="0"/>
            <w:vAlign w:val="center"/>
          </w:tcPr>
          <w:p w14:paraId="1CC633A5">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3745" w:type="dxa"/>
            <w:gridSpan w:val="2"/>
            <w:noWrap w:val="0"/>
            <w:vAlign w:val="center"/>
          </w:tcPr>
          <w:p w14:paraId="6C40BF9A">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r w14:paraId="4443714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06" w:type="dxa"/>
            <w:noWrap w:val="0"/>
            <w:vAlign w:val="center"/>
          </w:tcPr>
          <w:p w14:paraId="5E444B86">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703" w:type="dxa"/>
            <w:gridSpan w:val="4"/>
            <w:noWrap w:val="0"/>
            <w:vAlign w:val="center"/>
          </w:tcPr>
          <w:p w14:paraId="39B8F1D4">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1306" w:type="dxa"/>
            <w:gridSpan w:val="2"/>
            <w:noWrap w:val="0"/>
            <w:vAlign w:val="center"/>
          </w:tcPr>
          <w:p w14:paraId="57A92164">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3745" w:type="dxa"/>
            <w:gridSpan w:val="2"/>
            <w:noWrap w:val="0"/>
            <w:vAlign w:val="center"/>
          </w:tcPr>
          <w:p w14:paraId="16B73554">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r w14:paraId="51DDDC6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06" w:type="dxa"/>
            <w:noWrap w:val="0"/>
            <w:vAlign w:val="center"/>
          </w:tcPr>
          <w:p w14:paraId="56F0470D">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703" w:type="dxa"/>
            <w:gridSpan w:val="4"/>
            <w:noWrap w:val="0"/>
            <w:vAlign w:val="center"/>
          </w:tcPr>
          <w:p w14:paraId="2117ABDB">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1306" w:type="dxa"/>
            <w:gridSpan w:val="2"/>
            <w:noWrap w:val="0"/>
            <w:vAlign w:val="center"/>
          </w:tcPr>
          <w:p w14:paraId="7AD4B83D">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3745" w:type="dxa"/>
            <w:gridSpan w:val="2"/>
            <w:noWrap w:val="0"/>
            <w:vAlign w:val="center"/>
          </w:tcPr>
          <w:p w14:paraId="609297CE">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r w14:paraId="13B1796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06" w:type="dxa"/>
            <w:noWrap w:val="0"/>
            <w:vAlign w:val="center"/>
          </w:tcPr>
          <w:p w14:paraId="42966012">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703" w:type="dxa"/>
            <w:gridSpan w:val="4"/>
            <w:noWrap w:val="0"/>
            <w:vAlign w:val="center"/>
          </w:tcPr>
          <w:p w14:paraId="63FBDCE7">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1306" w:type="dxa"/>
            <w:gridSpan w:val="2"/>
            <w:noWrap w:val="0"/>
            <w:vAlign w:val="center"/>
          </w:tcPr>
          <w:p w14:paraId="45DE9E16">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3745" w:type="dxa"/>
            <w:gridSpan w:val="2"/>
            <w:noWrap w:val="0"/>
            <w:vAlign w:val="center"/>
          </w:tcPr>
          <w:p w14:paraId="6CB3B338">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r w14:paraId="7A7F8FA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06" w:type="dxa"/>
            <w:noWrap w:val="0"/>
            <w:vAlign w:val="center"/>
          </w:tcPr>
          <w:p w14:paraId="4EC283EA">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703" w:type="dxa"/>
            <w:gridSpan w:val="4"/>
            <w:noWrap w:val="0"/>
            <w:vAlign w:val="center"/>
          </w:tcPr>
          <w:p w14:paraId="4D001948">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1306" w:type="dxa"/>
            <w:gridSpan w:val="2"/>
            <w:noWrap w:val="0"/>
            <w:vAlign w:val="center"/>
          </w:tcPr>
          <w:p w14:paraId="073A4A1F">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3745" w:type="dxa"/>
            <w:gridSpan w:val="2"/>
            <w:noWrap w:val="0"/>
            <w:vAlign w:val="center"/>
          </w:tcPr>
          <w:p w14:paraId="44701A36">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r w14:paraId="549CC5F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306" w:type="dxa"/>
            <w:noWrap w:val="0"/>
            <w:vAlign w:val="center"/>
          </w:tcPr>
          <w:p w14:paraId="1C4EEDFE">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2703" w:type="dxa"/>
            <w:gridSpan w:val="4"/>
            <w:noWrap w:val="0"/>
            <w:vAlign w:val="center"/>
          </w:tcPr>
          <w:p w14:paraId="0E4BD2EA">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1306" w:type="dxa"/>
            <w:gridSpan w:val="2"/>
            <w:noWrap w:val="0"/>
            <w:vAlign w:val="center"/>
          </w:tcPr>
          <w:p w14:paraId="14F6D17B">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c>
          <w:tcPr>
            <w:tcW w:w="3745" w:type="dxa"/>
            <w:gridSpan w:val="2"/>
            <w:noWrap w:val="0"/>
            <w:vAlign w:val="center"/>
          </w:tcPr>
          <w:p w14:paraId="3A771826">
            <w:pPr>
              <w:tabs>
                <w:tab w:val="left" w:pos="-951"/>
                <w:tab w:val="left" w:pos="4267"/>
                <w:tab w:val="left" w:pos="7925"/>
              </w:tabs>
              <w:adjustRightInd w:val="0"/>
              <w:snapToGrid w:val="0"/>
              <w:spacing w:line="360" w:lineRule="auto"/>
              <w:ind w:right="-6"/>
              <w:jc w:val="center"/>
              <w:rPr>
                <w:rFonts w:hint="eastAsia" w:ascii="宋体" w:hAnsi="宋体"/>
                <w:bCs/>
                <w:color w:val="auto"/>
                <w:sz w:val="21"/>
                <w:szCs w:val="21"/>
                <w:highlight w:val="none"/>
              </w:rPr>
            </w:pPr>
          </w:p>
        </w:tc>
      </w:tr>
    </w:tbl>
    <w:p w14:paraId="15D791A4">
      <w:pPr>
        <w:ind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w:t>
      </w:r>
    </w:p>
    <w:p w14:paraId="4DDF5F7D">
      <w:pPr>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《项目管理机构主要人员配置表》中填报的人员，均须填写本表。</w:t>
      </w:r>
    </w:p>
    <w:p w14:paraId="505FDC60">
      <w:pPr>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b w:val="0"/>
          <w:color w:val="auto"/>
          <w:szCs w:val="21"/>
          <w:highlight w:val="none"/>
          <w:lang w:eastAsia="zh-CN"/>
        </w:rPr>
        <w:t>2</w:t>
      </w:r>
      <w:r>
        <w:rPr>
          <w:rFonts w:hint="eastAsia" w:ascii="宋体" w:hAnsi="宋体" w:eastAsia="宋体" w:cs="宋体"/>
          <w:b w:val="0"/>
          <w:color w:val="auto"/>
          <w:szCs w:val="21"/>
          <w:highlight w:val="none"/>
          <w:lang w:val="en-US" w:eastAsia="zh-CN"/>
        </w:rPr>
        <w:t>.</w:t>
      </w:r>
      <w:r>
        <w:rPr>
          <w:rFonts w:hint="eastAsia" w:ascii="宋体" w:hAnsi="宋体" w:cs="宋体"/>
          <w:b w:val="0"/>
          <w:color w:val="auto"/>
          <w:szCs w:val="21"/>
          <w:highlight w:val="none"/>
          <w:lang w:val="en-US" w:eastAsia="zh-CN"/>
        </w:rPr>
        <w:t xml:space="preserve"> </w:t>
      </w:r>
      <w:r>
        <w:rPr>
          <w:rFonts w:hint="eastAsia" w:ascii="宋体" w:hAnsi="宋体" w:eastAsia="宋体" w:cs="宋体"/>
          <w:color w:val="auto"/>
          <w:sz w:val="21"/>
          <w:szCs w:val="21"/>
          <w:highlight w:val="none"/>
          <w:lang w:val="en-US" w:eastAsia="zh-CN"/>
        </w:rPr>
        <w:t>按</w:t>
      </w:r>
      <w:r>
        <w:rPr>
          <w:rFonts w:hint="eastAsia" w:ascii="宋体" w:hAnsi="宋体" w:eastAsia="宋体" w:cs="宋体"/>
          <w:color w:val="auto"/>
          <w:sz w:val="21"/>
          <w:szCs w:val="21"/>
          <w:highlight w:val="none"/>
        </w:rPr>
        <w:t>第二章</w:t>
      </w:r>
      <w:r>
        <w:rPr>
          <w:rFonts w:hint="eastAsia" w:ascii="宋体" w:hAnsi="宋体" w:eastAsia="宋体" w:cs="宋体"/>
          <w:b w:val="0"/>
          <w:bCs w:val="0"/>
          <w:color w:val="auto"/>
          <w:kern w:val="2"/>
          <w:sz w:val="21"/>
          <w:szCs w:val="21"/>
          <w:highlight w:val="none"/>
          <w:lang w:val="en-US" w:eastAsia="zh-CN" w:bidi="ar-SA"/>
        </w:rPr>
        <w:t>“投标人须知”</w:t>
      </w: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.项目管理机构基本要求 提供人员的</w:t>
      </w:r>
      <w:r>
        <w:rPr>
          <w:rFonts w:hint="eastAsia" w:ascii="宋体" w:hAnsi="宋体" w:eastAsia="宋体" w:cs="宋体"/>
          <w:color w:val="auto"/>
          <w:sz w:val="21"/>
          <w:szCs w:val="21"/>
          <w:highlight w:val="none"/>
        </w:rPr>
        <w:t>相关资料。人员相关资料按个人分别集中编制在一起</w:t>
      </w:r>
      <w:r>
        <w:rPr>
          <w:rFonts w:hint="eastAsia" w:ascii="宋体" w:hAnsi="宋体" w:eastAsia="宋体" w:cs="宋体"/>
          <w:color w:val="auto"/>
          <w:sz w:val="21"/>
          <w:szCs w:val="21"/>
          <w:highlight w:val="none"/>
          <w:lang w:eastAsia="zh-CN"/>
        </w:rPr>
        <w:t>。</w:t>
      </w:r>
    </w:p>
    <w:p w14:paraId="23FAA853">
      <w:pPr>
        <w:ind w:firstLine="420" w:firstLineChars="200"/>
        <w:jc w:val="center"/>
        <w:rPr>
          <w:rFonts w:hint="eastAsia" w:ascii="宋体" w:hAnsi="宋体" w:eastAsia="宋体" w:cs="宋体"/>
          <w:b/>
          <w:bCs/>
          <w:color w:val="auto"/>
          <w:sz w:val="28"/>
          <w:szCs w:val="28"/>
          <w:highlight w:val="none"/>
          <w:lang w:eastAsia="zh-CN"/>
        </w:rPr>
      </w:pPr>
      <w:r>
        <w:rPr>
          <w:rFonts w:hint="eastAsia" w:ascii="宋体" w:hAnsi="宋体" w:eastAsia="宋体" w:cs="宋体"/>
          <w:color w:val="auto"/>
          <w:sz w:val="21"/>
          <w:szCs w:val="21"/>
          <w:highlight w:val="none"/>
          <w:lang w:eastAsia="zh-CN"/>
        </w:rPr>
        <w:br w:type="page"/>
      </w:r>
      <w:r>
        <w:rPr>
          <w:rFonts w:hint="eastAsia" w:ascii="宋体" w:hAnsi="宋体" w:eastAsia="宋体" w:cs="宋体"/>
          <w:b/>
          <w:bCs/>
          <w:color w:val="auto"/>
          <w:sz w:val="28"/>
          <w:szCs w:val="28"/>
          <w:highlight w:val="none"/>
          <w:lang w:eastAsia="zh-CN"/>
        </w:rPr>
        <w:t>（三）危险性较大的分部分项工程清单及安全管理措施</w:t>
      </w:r>
    </w:p>
    <w:p w14:paraId="0200D459">
      <w:pPr>
        <w:rPr>
          <w:rFonts w:hint="eastAsia"/>
          <w:color w:val="auto"/>
          <w:highlight w:val="none"/>
          <w:lang w:eastAsia="zh-CN"/>
        </w:rPr>
      </w:pP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3"/>
        <w:gridCol w:w="3578"/>
        <w:gridCol w:w="4713"/>
      </w:tblGrid>
      <w:tr w14:paraId="4242A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11006EDE">
            <w:pPr>
              <w:spacing w:line="360" w:lineRule="auto"/>
              <w:jc w:val="center"/>
              <w:rPr>
                <w:rFonts w:hint="eastAsia" w:ascii="宋体" w:hAnsi="宋体" w:eastAsia="宋体" w:cs="宋体"/>
                <w:b/>
                <w:bCs/>
                <w:color w:val="auto"/>
                <w:kern w:val="2"/>
                <w:sz w:val="21"/>
                <w:szCs w:val="21"/>
                <w:highlight w:val="none"/>
                <w:vertAlign w:val="baseline"/>
                <w:lang w:val="en-US" w:eastAsia="zh-CN" w:bidi="ar-SA"/>
              </w:rPr>
            </w:pPr>
            <w:r>
              <w:rPr>
                <w:rFonts w:hint="eastAsia" w:ascii="宋体" w:hAnsi="宋体" w:eastAsia="宋体" w:cs="宋体"/>
                <w:b/>
                <w:bCs/>
                <w:color w:val="auto"/>
                <w:sz w:val="21"/>
                <w:szCs w:val="21"/>
                <w:highlight w:val="none"/>
                <w:vertAlign w:val="baseline"/>
                <w:lang w:eastAsia="zh-CN"/>
              </w:rPr>
              <w:t>序号</w:t>
            </w:r>
          </w:p>
        </w:tc>
        <w:tc>
          <w:tcPr>
            <w:tcW w:w="3578" w:type="dxa"/>
            <w:noWrap w:val="0"/>
            <w:vAlign w:val="bottom"/>
          </w:tcPr>
          <w:p w14:paraId="2D730BC3">
            <w:pPr>
              <w:spacing w:line="360" w:lineRule="auto"/>
              <w:jc w:val="center"/>
              <w:rPr>
                <w:rFonts w:hint="eastAsia" w:ascii="宋体" w:hAnsi="宋体" w:eastAsia="宋体" w:cs="宋体"/>
                <w:b/>
                <w:bCs/>
                <w:color w:val="auto"/>
                <w:kern w:val="2"/>
                <w:sz w:val="21"/>
                <w:szCs w:val="21"/>
                <w:highlight w:val="none"/>
                <w:vertAlign w:val="baseline"/>
                <w:lang w:val="en-US" w:eastAsia="zh-CN" w:bidi="ar-SA"/>
              </w:rPr>
            </w:pPr>
            <w:r>
              <w:rPr>
                <w:rFonts w:hint="eastAsia" w:ascii="宋体" w:hAnsi="宋体" w:eastAsia="宋体" w:cs="宋体"/>
                <w:b/>
                <w:bCs/>
                <w:color w:val="auto"/>
                <w:sz w:val="21"/>
                <w:szCs w:val="21"/>
                <w:highlight w:val="none"/>
                <w:vertAlign w:val="baseline"/>
                <w:lang w:eastAsia="zh-CN"/>
              </w:rPr>
              <w:t>危险性较大的分部分项工程</w:t>
            </w:r>
          </w:p>
        </w:tc>
        <w:tc>
          <w:tcPr>
            <w:tcW w:w="4713" w:type="dxa"/>
            <w:noWrap w:val="0"/>
            <w:vAlign w:val="bottom"/>
          </w:tcPr>
          <w:p w14:paraId="464CAB43">
            <w:pPr>
              <w:spacing w:line="360" w:lineRule="auto"/>
              <w:jc w:val="center"/>
              <w:rPr>
                <w:rFonts w:hint="eastAsia" w:ascii="宋体" w:hAnsi="宋体" w:eastAsia="宋体" w:cs="宋体"/>
                <w:b/>
                <w:bCs/>
                <w:color w:val="auto"/>
                <w:kern w:val="2"/>
                <w:sz w:val="21"/>
                <w:szCs w:val="21"/>
                <w:highlight w:val="none"/>
                <w:vertAlign w:val="baseline"/>
                <w:lang w:val="en-US" w:eastAsia="zh-CN" w:bidi="ar-SA"/>
              </w:rPr>
            </w:pPr>
            <w:r>
              <w:rPr>
                <w:rFonts w:hint="eastAsia" w:ascii="宋体" w:hAnsi="宋体" w:eastAsia="宋体" w:cs="宋体"/>
                <w:b/>
                <w:bCs/>
                <w:color w:val="auto"/>
                <w:sz w:val="21"/>
                <w:szCs w:val="21"/>
                <w:highlight w:val="none"/>
                <w:vertAlign w:val="baseline"/>
                <w:lang w:val="en-US" w:eastAsia="zh-CN"/>
              </w:rPr>
              <w:t>安全管理措施</w:t>
            </w:r>
          </w:p>
        </w:tc>
      </w:tr>
      <w:tr w14:paraId="60B97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113B70D3">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28B18CD7">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5285B18E">
            <w:pPr>
              <w:spacing w:line="360" w:lineRule="auto"/>
              <w:jc w:val="center"/>
              <w:rPr>
                <w:rFonts w:hint="eastAsia" w:ascii="宋体" w:hAnsi="宋体" w:eastAsia="宋体" w:cs="宋体"/>
                <w:color w:val="auto"/>
                <w:sz w:val="21"/>
                <w:szCs w:val="21"/>
                <w:highlight w:val="none"/>
                <w:vertAlign w:val="baseline"/>
              </w:rPr>
            </w:pPr>
          </w:p>
        </w:tc>
      </w:tr>
      <w:tr w14:paraId="0156A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4CAECDA6">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6062265A">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07DCC085">
            <w:pPr>
              <w:spacing w:line="360" w:lineRule="auto"/>
              <w:jc w:val="center"/>
              <w:rPr>
                <w:rFonts w:hint="eastAsia" w:ascii="宋体" w:hAnsi="宋体" w:eastAsia="宋体" w:cs="宋体"/>
                <w:color w:val="auto"/>
                <w:sz w:val="21"/>
                <w:szCs w:val="21"/>
                <w:highlight w:val="none"/>
                <w:vertAlign w:val="baseline"/>
              </w:rPr>
            </w:pPr>
          </w:p>
        </w:tc>
      </w:tr>
      <w:tr w14:paraId="125FC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09732DB7">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0E6649B3">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61BFF357">
            <w:pPr>
              <w:spacing w:line="360" w:lineRule="auto"/>
              <w:jc w:val="center"/>
              <w:rPr>
                <w:rFonts w:hint="eastAsia" w:ascii="宋体" w:hAnsi="宋体" w:eastAsia="宋体" w:cs="宋体"/>
                <w:color w:val="auto"/>
                <w:sz w:val="21"/>
                <w:szCs w:val="21"/>
                <w:highlight w:val="none"/>
                <w:vertAlign w:val="baseline"/>
              </w:rPr>
            </w:pPr>
          </w:p>
        </w:tc>
      </w:tr>
      <w:tr w14:paraId="15E4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33576485">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4B7D36AA">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717CAF29">
            <w:pPr>
              <w:spacing w:line="360" w:lineRule="auto"/>
              <w:jc w:val="center"/>
              <w:rPr>
                <w:rFonts w:hint="eastAsia" w:ascii="宋体" w:hAnsi="宋体" w:eastAsia="宋体" w:cs="宋体"/>
                <w:color w:val="auto"/>
                <w:sz w:val="21"/>
                <w:szCs w:val="21"/>
                <w:highlight w:val="none"/>
                <w:vertAlign w:val="baseline"/>
              </w:rPr>
            </w:pPr>
          </w:p>
        </w:tc>
      </w:tr>
      <w:tr w14:paraId="4E56E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21DC2672">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4E230836">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5C0EDD70">
            <w:pPr>
              <w:spacing w:line="360" w:lineRule="auto"/>
              <w:jc w:val="center"/>
              <w:rPr>
                <w:rFonts w:hint="eastAsia" w:ascii="宋体" w:hAnsi="宋体" w:eastAsia="宋体" w:cs="宋体"/>
                <w:color w:val="auto"/>
                <w:sz w:val="21"/>
                <w:szCs w:val="21"/>
                <w:highlight w:val="none"/>
                <w:vertAlign w:val="baseline"/>
              </w:rPr>
            </w:pPr>
          </w:p>
        </w:tc>
      </w:tr>
      <w:tr w14:paraId="1603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459BFD9A">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27A147E5">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28FEB47E">
            <w:pPr>
              <w:spacing w:line="360" w:lineRule="auto"/>
              <w:jc w:val="center"/>
              <w:rPr>
                <w:rFonts w:hint="eastAsia" w:ascii="宋体" w:hAnsi="宋体" w:eastAsia="宋体" w:cs="宋体"/>
                <w:color w:val="auto"/>
                <w:sz w:val="21"/>
                <w:szCs w:val="21"/>
                <w:highlight w:val="none"/>
                <w:vertAlign w:val="baseline"/>
              </w:rPr>
            </w:pPr>
          </w:p>
        </w:tc>
      </w:tr>
      <w:tr w14:paraId="2A99B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504CCB31">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1651E8FB">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0D813F4F">
            <w:pPr>
              <w:spacing w:line="360" w:lineRule="auto"/>
              <w:jc w:val="center"/>
              <w:rPr>
                <w:rFonts w:hint="eastAsia" w:ascii="宋体" w:hAnsi="宋体" w:eastAsia="宋体" w:cs="宋体"/>
                <w:color w:val="auto"/>
                <w:sz w:val="21"/>
                <w:szCs w:val="21"/>
                <w:highlight w:val="none"/>
                <w:vertAlign w:val="baseline"/>
              </w:rPr>
            </w:pPr>
          </w:p>
        </w:tc>
      </w:tr>
      <w:tr w14:paraId="120E5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6510CFD7">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61C57BF4">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25C6856C">
            <w:pPr>
              <w:spacing w:line="360" w:lineRule="auto"/>
              <w:jc w:val="center"/>
              <w:rPr>
                <w:rFonts w:hint="eastAsia" w:ascii="宋体" w:hAnsi="宋体" w:eastAsia="宋体" w:cs="宋体"/>
                <w:color w:val="auto"/>
                <w:sz w:val="21"/>
                <w:szCs w:val="21"/>
                <w:highlight w:val="none"/>
                <w:vertAlign w:val="baseline"/>
              </w:rPr>
            </w:pPr>
          </w:p>
        </w:tc>
      </w:tr>
      <w:tr w14:paraId="1FA30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5F5E9BAB">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6644D720">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2BF803A2">
            <w:pPr>
              <w:spacing w:line="360" w:lineRule="auto"/>
              <w:jc w:val="center"/>
              <w:rPr>
                <w:rFonts w:hint="eastAsia" w:ascii="宋体" w:hAnsi="宋体" w:eastAsia="宋体" w:cs="宋体"/>
                <w:color w:val="auto"/>
                <w:sz w:val="21"/>
                <w:szCs w:val="21"/>
                <w:highlight w:val="none"/>
                <w:vertAlign w:val="baseline"/>
              </w:rPr>
            </w:pPr>
          </w:p>
        </w:tc>
      </w:tr>
      <w:tr w14:paraId="7AA02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62FDC8BA">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3C7E7E42">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05D2921E">
            <w:pPr>
              <w:spacing w:line="360" w:lineRule="auto"/>
              <w:jc w:val="center"/>
              <w:rPr>
                <w:rFonts w:hint="eastAsia" w:ascii="宋体" w:hAnsi="宋体" w:eastAsia="宋体" w:cs="宋体"/>
                <w:color w:val="auto"/>
                <w:sz w:val="21"/>
                <w:szCs w:val="21"/>
                <w:highlight w:val="none"/>
                <w:vertAlign w:val="baseline"/>
              </w:rPr>
            </w:pPr>
          </w:p>
        </w:tc>
      </w:tr>
      <w:tr w14:paraId="1FF31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501EB383">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4C17769F">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6807443D">
            <w:pPr>
              <w:spacing w:line="360" w:lineRule="auto"/>
              <w:jc w:val="center"/>
              <w:rPr>
                <w:rFonts w:hint="eastAsia" w:ascii="宋体" w:hAnsi="宋体" w:eastAsia="宋体" w:cs="宋体"/>
                <w:color w:val="auto"/>
                <w:sz w:val="21"/>
                <w:szCs w:val="21"/>
                <w:highlight w:val="none"/>
                <w:vertAlign w:val="baseline"/>
              </w:rPr>
            </w:pPr>
          </w:p>
        </w:tc>
      </w:tr>
      <w:tr w14:paraId="2F6AD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68473C7B">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58A78A7D">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4DB5218E">
            <w:pPr>
              <w:spacing w:line="360" w:lineRule="auto"/>
              <w:jc w:val="center"/>
              <w:rPr>
                <w:rFonts w:hint="eastAsia" w:ascii="宋体" w:hAnsi="宋体" w:eastAsia="宋体" w:cs="宋体"/>
                <w:color w:val="auto"/>
                <w:sz w:val="21"/>
                <w:szCs w:val="21"/>
                <w:highlight w:val="none"/>
                <w:vertAlign w:val="baseline"/>
              </w:rPr>
            </w:pPr>
          </w:p>
        </w:tc>
      </w:tr>
      <w:tr w14:paraId="10DB6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29612AF5">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2338DA42">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461DBE9A">
            <w:pPr>
              <w:spacing w:line="360" w:lineRule="auto"/>
              <w:jc w:val="center"/>
              <w:rPr>
                <w:rFonts w:hint="eastAsia" w:ascii="宋体" w:hAnsi="宋体" w:eastAsia="宋体" w:cs="宋体"/>
                <w:color w:val="auto"/>
                <w:sz w:val="21"/>
                <w:szCs w:val="21"/>
                <w:highlight w:val="none"/>
                <w:vertAlign w:val="baseline"/>
              </w:rPr>
            </w:pPr>
          </w:p>
        </w:tc>
      </w:tr>
      <w:tr w14:paraId="3439A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2B973036">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5E46DB22">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66EA9195">
            <w:pPr>
              <w:spacing w:line="360" w:lineRule="auto"/>
              <w:jc w:val="center"/>
              <w:rPr>
                <w:rFonts w:hint="eastAsia" w:ascii="宋体" w:hAnsi="宋体" w:eastAsia="宋体" w:cs="宋体"/>
                <w:color w:val="auto"/>
                <w:sz w:val="21"/>
                <w:szCs w:val="21"/>
                <w:highlight w:val="none"/>
                <w:vertAlign w:val="baseline"/>
              </w:rPr>
            </w:pPr>
          </w:p>
        </w:tc>
      </w:tr>
      <w:tr w14:paraId="12352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dxa"/>
            <w:noWrap w:val="0"/>
            <w:vAlign w:val="center"/>
          </w:tcPr>
          <w:p w14:paraId="695F3CBB">
            <w:pPr>
              <w:spacing w:line="360" w:lineRule="auto"/>
              <w:jc w:val="center"/>
              <w:rPr>
                <w:rFonts w:hint="eastAsia" w:ascii="宋体" w:hAnsi="宋体" w:eastAsia="宋体" w:cs="宋体"/>
                <w:color w:val="auto"/>
                <w:sz w:val="21"/>
                <w:szCs w:val="21"/>
                <w:highlight w:val="none"/>
                <w:vertAlign w:val="baseline"/>
                <w:lang w:val="en-US" w:eastAsia="zh-CN"/>
              </w:rPr>
            </w:pPr>
          </w:p>
        </w:tc>
        <w:tc>
          <w:tcPr>
            <w:tcW w:w="3578" w:type="dxa"/>
            <w:noWrap w:val="0"/>
            <w:vAlign w:val="center"/>
          </w:tcPr>
          <w:p w14:paraId="5A939604">
            <w:pPr>
              <w:spacing w:line="360" w:lineRule="auto"/>
              <w:jc w:val="center"/>
              <w:rPr>
                <w:rFonts w:hint="eastAsia" w:ascii="宋体" w:hAnsi="宋体" w:eastAsia="宋体" w:cs="宋体"/>
                <w:color w:val="auto"/>
                <w:sz w:val="21"/>
                <w:szCs w:val="21"/>
                <w:highlight w:val="none"/>
                <w:vertAlign w:val="baseline"/>
              </w:rPr>
            </w:pPr>
          </w:p>
        </w:tc>
        <w:tc>
          <w:tcPr>
            <w:tcW w:w="4713" w:type="dxa"/>
            <w:noWrap w:val="0"/>
            <w:vAlign w:val="center"/>
          </w:tcPr>
          <w:p w14:paraId="664AC9C5">
            <w:pPr>
              <w:spacing w:line="360" w:lineRule="auto"/>
              <w:jc w:val="center"/>
              <w:rPr>
                <w:rFonts w:hint="eastAsia" w:ascii="宋体" w:hAnsi="宋体" w:eastAsia="宋体" w:cs="宋体"/>
                <w:color w:val="auto"/>
                <w:sz w:val="21"/>
                <w:szCs w:val="21"/>
                <w:highlight w:val="none"/>
                <w:vertAlign w:val="baseline"/>
              </w:rPr>
            </w:pPr>
          </w:p>
        </w:tc>
      </w:tr>
    </w:tbl>
    <w:p w14:paraId="0A18F766">
      <w:pPr>
        <w:numPr>
          <w:ilvl w:val="0"/>
          <w:numId w:val="0"/>
        </w:numPr>
        <w:spacing w:line="360" w:lineRule="auto"/>
        <w:ind w:left="0" w:firstLine="0" w:firstLineChars="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备注：按招标文件第二章“投标人须知”第1.3.6项要求</w:t>
      </w:r>
      <w:r>
        <w:rPr>
          <w:rFonts w:hint="eastAsia" w:ascii="宋体" w:hAnsi="宋体" w:eastAsia="宋体" w:cs="宋体"/>
          <w:color w:val="auto"/>
          <w:szCs w:val="21"/>
          <w:highlight w:val="none"/>
        </w:rPr>
        <w:t>补充完善危大工程清单并明确相应的安全管理措施</w:t>
      </w:r>
      <w:r>
        <w:rPr>
          <w:rFonts w:hint="eastAsia" w:ascii="宋体" w:hAnsi="宋体" w:eastAsia="宋体" w:cs="宋体"/>
          <w:b w:val="0"/>
          <w:bCs w:val="0"/>
          <w:color w:val="auto"/>
          <w:kern w:val="2"/>
          <w:szCs w:val="21"/>
          <w:highlight w:val="none"/>
        </w:rPr>
        <w:t>。</w:t>
      </w:r>
    </w:p>
    <w:p w14:paraId="7BA54C73">
      <w:pPr>
        <w:spacing w:line="360" w:lineRule="auto"/>
        <w:ind w:firstLine="4200" w:firstLineChars="20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w:t>
      </w:r>
      <w:r>
        <w:rPr>
          <w:rFonts w:hint="eastAsia" w:ascii="宋体" w:hAnsi="宋体" w:cs="宋体"/>
          <w:color w:val="auto"/>
          <w:szCs w:val="21"/>
          <w:highlight w:val="none"/>
          <w:lang w:eastAsia="zh-CN"/>
        </w:rPr>
        <w:t>加盖电子印章</w:t>
      </w:r>
      <w:r>
        <w:rPr>
          <w:rFonts w:hint="eastAsia" w:ascii="宋体" w:hAnsi="宋体" w:eastAsia="宋体" w:cs="宋体"/>
          <w:color w:val="auto"/>
          <w:szCs w:val="21"/>
          <w:highlight w:val="none"/>
        </w:rPr>
        <w:t>）：</w:t>
      </w:r>
    </w:p>
    <w:p w14:paraId="3529D39C">
      <w:pPr>
        <w:pageBreakBefore w:val="0"/>
        <w:widowControl w:val="0"/>
        <w:kinsoku/>
        <w:wordWrap/>
        <w:overflowPunct/>
        <w:topLinePunct w:val="0"/>
        <w:bidi w:val="0"/>
        <w:snapToGrid w:val="0"/>
        <w:spacing w:line="360" w:lineRule="auto"/>
        <w:ind w:right="420" w:firstLine="4200" w:firstLineChars="20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lang w:val="en-US" w:eastAsia="zh-CN"/>
        </w:rPr>
        <w:t>或代理人</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eastAsia="zh-CN"/>
        </w:rPr>
        <w:t>电子签名</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4F526E4A">
      <w:pPr>
        <w:spacing w:line="360" w:lineRule="auto"/>
        <w:ind w:firstLine="4515" w:firstLineChars="2150"/>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2E912880">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br w:type="page"/>
      </w:r>
      <w:r>
        <w:rPr>
          <w:rFonts w:hint="eastAsia" w:ascii="宋体" w:hAnsi="宋体" w:eastAsia="宋体" w:cs="宋体"/>
          <w:b/>
          <w:color w:val="auto"/>
          <w:szCs w:val="21"/>
          <w:highlight w:val="none"/>
        </w:rPr>
        <w:t>二、施工组织设计</w:t>
      </w:r>
    </w:p>
    <w:p w14:paraId="64E79F12">
      <w:pPr>
        <w:spacing w:line="420" w:lineRule="exact"/>
        <w:ind w:firstLine="420" w:firstLineChars="200"/>
        <w:rPr>
          <w:rFonts w:hint="eastAsia" w:ascii="宋体" w:hAnsi="宋体" w:eastAsia="宋体" w:cs="宋体"/>
          <w:color w:val="auto"/>
          <w:szCs w:val="21"/>
          <w:highlight w:val="none"/>
        </w:rPr>
      </w:pPr>
    </w:p>
    <w:p w14:paraId="0389DD72">
      <w:pPr>
        <w:spacing w:line="420" w:lineRule="exact"/>
        <w:ind w:firstLine="420" w:firstLineChars="200"/>
        <w:rPr>
          <w:rFonts w:hint="eastAsia" w:ascii="宋体" w:hAnsi="宋体" w:eastAsia="宋体" w:cs="宋体"/>
          <w:color w:val="auto"/>
          <w:szCs w:val="21"/>
          <w:highlight w:val="none"/>
        </w:rPr>
      </w:pPr>
      <w:permStart w:id="196" w:edGrp="everyone"/>
      <w:r>
        <w:rPr>
          <w:rFonts w:hint="eastAsia" w:ascii="宋体" w:hAnsi="宋体" w:eastAsia="宋体" w:cs="宋体"/>
          <w:color w:val="auto"/>
          <w:szCs w:val="21"/>
          <w:highlight w:val="none"/>
        </w:rPr>
        <w:t>1．投标人编制施工组织设计的要求：编制时应采用文字并结合图表形式说明施工方法；拟投入本标段的主要施工设备情况、拟配备本标段的试验和检测仪器设备情况、劳动力计划等；结合工程特点提出切实可行的组织机构、施工方案</w:t>
      </w:r>
      <w:r>
        <w:rPr>
          <w:rFonts w:hint="eastAsia" w:ascii="宋体" w:hAnsi="宋体" w:eastAsia="宋体" w:cs="宋体"/>
          <w:color w:val="auto"/>
          <w:highlight w:val="none"/>
        </w:rPr>
        <w:t>、</w:t>
      </w:r>
      <w:r>
        <w:rPr>
          <w:rFonts w:hint="eastAsia" w:ascii="宋体" w:hAnsi="宋体" w:eastAsia="宋体" w:cs="宋体"/>
          <w:color w:val="auto"/>
          <w:szCs w:val="21"/>
          <w:highlight w:val="none"/>
        </w:rPr>
        <w:t>施工进度计划和各阶段进度的保证措施</w:t>
      </w:r>
      <w:r>
        <w:rPr>
          <w:rFonts w:hint="eastAsia" w:ascii="宋体" w:hAnsi="宋体" w:eastAsia="宋体" w:cs="宋体"/>
          <w:bCs/>
          <w:color w:val="auto"/>
          <w:highlight w:val="none"/>
        </w:rPr>
        <w:t>、</w:t>
      </w:r>
      <w:r>
        <w:rPr>
          <w:rFonts w:hint="eastAsia" w:ascii="宋体" w:hAnsi="宋体" w:eastAsia="宋体" w:cs="宋体"/>
          <w:color w:val="auto"/>
          <w:szCs w:val="21"/>
          <w:highlight w:val="none"/>
        </w:rPr>
        <w:t>机械设备、劳动力投入计划</w:t>
      </w:r>
      <w:r>
        <w:rPr>
          <w:rFonts w:hint="eastAsia" w:ascii="宋体" w:hAnsi="宋体" w:eastAsia="宋体" w:cs="宋体"/>
          <w:bCs/>
          <w:color w:val="auto"/>
          <w:szCs w:val="21"/>
          <w:highlight w:val="none"/>
        </w:rPr>
        <w:t>、</w:t>
      </w:r>
      <w:r>
        <w:rPr>
          <w:rFonts w:hint="eastAsia" w:ascii="宋体" w:hAnsi="宋体" w:eastAsia="宋体" w:cs="宋体"/>
          <w:color w:val="auto"/>
          <w:szCs w:val="21"/>
          <w:highlight w:val="none"/>
        </w:rPr>
        <w:t>施工平面布置和临时设施布置</w:t>
      </w:r>
      <w:r>
        <w:rPr>
          <w:rFonts w:hint="eastAsia" w:ascii="宋体" w:hAnsi="宋体" w:eastAsia="宋体" w:cs="宋体"/>
          <w:bCs/>
          <w:color w:val="auto"/>
          <w:szCs w:val="21"/>
          <w:highlight w:val="none"/>
        </w:rPr>
        <w:t>、</w:t>
      </w:r>
      <w:r>
        <w:rPr>
          <w:rFonts w:hint="eastAsia" w:ascii="宋体" w:hAnsi="宋体" w:eastAsia="宋体" w:cs="宋体"/>
          <w:color w:val="auto"/>
          <w:szCs w:val="21"/>
          <w:highlight w:val="none"/>
        </w:rPr>
        <w:t>安全、文明施工、环保措施</w:t>
      </w:r>
      <w:r>
        <w:rPr>
          <w:rFonts w:hint="eastAsia" w:ascii="宋体" w:hAnsi="宋体" w:eastAsia="宋体" w:cs="宋体"/>
          <w:bCs/>
          <w:color w:val="auto"/>
          <w:szCs w:val="21"/>
          <w:highlight w:val="none"/>
        </w:rPr>
        <w:t>、</w:t>
      </w:r>
      <w:r>
        <w:rPr>
          <w:rFonts w:hint="eastAsia" w:ascii="宋体" w:hAnsi="宋体" w:eastAsia="宋体" w:cs="宋体"/>
          <w:color w:val="auto"/>
          <w:szCs w:val="21"/>
          <w:highlight w:val="none"/>
        </w:rPr>
        <w:t>质量保证措施</w:t>
      </w:r>
      <w:r>
        <w:rPr>
          <w:rFonts w:hint="eastAsia" w:ascii="宋体" w:hAnsi="宋体" w:eastAsia="宋体" w:cs="宋体"/>
          <w:bCs/>
          <w:color w:val="auto"/>
          <w:szCs w:val="21"/>
          <w:highlight w:val="none"/>
        </w:rPr>
        <w:t>、新技术应用</w:t>
      </w:r>
      <w:r>
        <w:rPr>
          <w:rFonts w:hint="eastAsia" w:ascii="宋体" w:hAnsi="宋体" w:eastAsia="宋体" w:cs="宋体"/>
          <w:color w:val="auto"/>
          <w:szCs w:val="21"/>
          <w:highlight w:val="none"/>
        </w:rPr>
        <w:t>，同时应对关键工序、复杂环节重点提出相应技术措施，如冬雨季施工技术、减少噪音、降低环境污染、地下管线及其他地上地下设施的保护加固措施等</w:t>
      </w:r>
      <w:r>
        <w:rPr>
          <w:rFonts w:hint="eastAsia" w:ascii="宋体" w:hAnsi="宋体" w:cs="宋体"/>
          <w:color w:val="auto"/>
          <w:szCs w:val="21"/>
          <w:highlight w:val="none"/>
          <w:lang w:eastAsia="zh-CN"/>
        </w:rPr>
        <w:t>；按照招标人提出的施工现场建筑垃圾源头减量的具体要求以及建筑垃圾综合利用产品的使用要求提供相应措施</w:t>
      </w:r>
      <w:r>
        <w:rPr>
          <w:rFonts w:hint="eastAsia" w:ascii="宋体" w:hAnsi="宋体" w:eastAsia="宋体" w:cs="宋体"/>
          <w:color w:val="auto"/>
          <w:szCs w:val="21"/>
          <w:highlight w:val="none"/>
        </w:rPr>
        <w:t>。</w:t>
      </w:r>
    </w:p>
    <w:p w14:paraId="3843675A">
      <w:pPr>
        <w:spacing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2．施工组织设计除采用文字表述外可附下列图表，图表及格式要求附后。</w:t>
      </w:r>
    </w:p>
    <w:p w14:paraId="7671FB38">
      <w:pPr>
        <w:spacing w:line="420" w:lineRule="exact"/>
        <w:ind w:firstLine="420" w:firstLineChars="200"/>
        <w:rPr>
          <w:rFonts w:hint="eastAsia" w:ascii="宋体" w:hAnsi="宋体" w:eastAsia="宋体" w:cs="宋体"/>
          <w:color w:val="auto"/>
          <w:szCs w:val="21"/>
          <w:highlight w:val="none"/>
        </w:rPr>
      </w:pPr>
      <w:bookmarkStart w:id="2588" w:name="_Toc2048533540_WPSOffice_Level2"/>
      <w:r>
        <w:rPr>
          <w:rFonts w:hint="eastAsia" w:ascii="宋体" w:hAnsi="宋体" w:eastAsia="宋体" w:cs="宋体"/>
          <w:color w:val="auto"/>
          <w:szCs w:val="21"/>
          <w:highlight w:val="none"/>
        </w:rPr>
        <w:t>附表一 拟投入本标段的主要施工设备表</w:t>
      </w:r>
      <w:bookmarkEnd w:id="2588"/>
    </w:p>
    <w:p w14:paraId="46911FFE">
      <w:pPr>
        <w:spacing w:line="420" w:lineRule="exact"/>
        <w:ind w:firstLine="420" w:firstLineChars="200"/>
        <w:rPr>
          <w:rFonts w:hint="eastAsia" w:ascii="宋体" w:hAnsi="宋体" w:eastAsia="宋体" w:cs="宋体"/>
          <w:color w:val="auto"/>
          <w:szCs w:val="21"/>
          <w:highlight w:val="none"/>
        </w:rPr>
      </w:pPr>
      <w:bookmarkStart w:id="2589" w:name="_Toc1828234377_WPSOffice_Level2"/>
      <w:r>
        <w:rPr>
          <w:rFonts w:hint="eastAsia" w:ascii="宋体" w:hAnsi="宋体" w:eastAsia="宋体" w:cs="宋体"/>
          <w:color w:val="auto"/>
          <w:szCs w:val="21"/>
          <w:highlight w:val="none"/>
        </w:rPr>
        <w:t>附表二 拟配备本标段的试验和检测仪器设备表</w:t>
      </w:r>
      <w:bookmarkEnd w:id="2589"/>
    </w:p>
    <w:p w14:paraId="02CCAE2A">
      <w:pPr>
        <w:spacing w:line="420" w:lineRule="exact"/>
        <w:ind w:firstLine="420" w:firstLineChars="200"/>
        <w:rPr>
          <w:rFonts w:hint="eastAsia" w:ascii="宋体" w:hAnsi="宋体" w:eastAsia="宋体" w:cs="宋体"/>
          <w:color w:val="auto"/>
          <w:szCs w:val="21"/>
          <w:highlight w:val="none"/>
        </w:rPr>
      </w:pPr>
      <w:bookmarkStart w:id="2590" w:name="_Toc272052213_WPSOffice_Level2"/>
      <w:r>
        <w:rPr>
          <w:rFonts w:hint="eastAsia" w:ascii="宋体" w:hAnsi="宋体" w:eastAsia="宋体" w:cs="宋体"/>
          <w:color w:val="auto"/>
          <w:szCs w:val="21"/>
          <w:highlight w:val="none"/>
        </w:rPr>
        <w:t>附表三 劳动力计划表</w:t>
      </w:r>
      <w:bookmarkEnd w:id="2590"/>
    </w:p>
    <w:p w14:paraId="1D9F3CB1">
      <w:pPr>
        <w:spacing w:line="420" w:lineRule="exact"/>
        <w:ind w:firstLine="420" w:firstLineChars="200"/>
        <w:rPr>
          <w:rFonts w:hint="eastAsia" w:ascii="宋体" w:hAnsi="宋体" w:eastAsia="宋体" w:cs="宋体"/>
          <w:color w:val="auto"/>
          <w:szCs w:val="21"/>
          <w:highlight w:val="none"/>
        </w:rPr>
      </w:pPr>
      <w:bookmarkStart w:id="2591" w:name="_Toc624210645_WPSOffice_Level2"/>
      <w:r>
        <w:rPr>
          <w:rFonts w:hint="eastAsia" w:ascii="宋体" w:hAnsi="宋体" w:eastAsia="宋体" w:cs="宋体"/>
          <w:color w:val="auto"/>
          <w:szCs w:val="21"/>
          <w:highlight w:val="none"/>
        </w:rPr>
        <w:t>附表四 计划开、竣工日期和施工进度网络图</w:t>
      </w:r>
      <w:bookmarkEnd w:id="2591"/>
    </w:p>
    <w:p w14:paraId="62BB4A55">
      <w:pPr>
        <w:spacing w:line="420" w:lineRule="exact"/>
        <w:ind w:firstLine="420" w:firstLineChars="200"/>
        <w:rPr>
          <w:rFonts w:hint="eastAsia" w:ascii="宋体" w:hAnsi="宋体" w:eastAsia="宋体" w:cs="宋体"/>
          <w:color w:val="auto"/>
          <w:szCs w:val="21"/>
          <w:highlight w:val="none"/>
        </w:rPr>
      </w:pPr>
      <w:bookmarkStart w:id="2592" w:name="_Toc1496471645_WPSOffice_Level2"/>
      <w:r>
        <w:rPr>
          <w:rFonts w:hint="eastAsia" w:ascii="宋体" w:hAnsi="宋体" w:eastAsia="宋体" w:cs="宋体"/>
          <w:color w:val="auto"/>
          <w:szCs w:val="21"/>
          <w:highlight w:val="none"/>
        </w:rPr>
        <w:t>附表五 施工总平面图</w:t>
      </w:r>
      <w:bookmarkEnd w:id="2592"/>
    </w:p>
    <w:p w14:paraId="57B26617">
      <w:pPr>
        <w:spacing w:line="420" w:lineRule="exact"/>
        <w:ind w:firstLine="420" w:firstLineChars="200"/>
        <w:rPr>
          <w:rFonts w:hint="eastAsia" w:ascii="宋体" w:hAnsi="宋体" w:eastAsia="宋体" w:cs="宋体"/>
          <w:color w:val="auto"/>
          <w:szCs w:val="21"/>
          <w:highlight w:val="none"/>
        </w:rPr>
      </w:pPr>
      <w:bookmarkStart w:id="2593" w:name="_Toc665500656_WPSOffice_Level2"/>
      <w:r>
        <w:rPr>
          <w:rFonts w:hint="eastAsia" w:ascii="宋体" w:hAnsi="宋体" w:eastAsia="宋体" w:cs="宋体"/>
          <w:color w:val="auto"/>
          <w:szCs w:val="21"/>
          <w:highlight w:val="none"/>
        </w:rPr>
        <w:t>附表六 临时用地表</w:t>
      </w:r>
      <w:bookmarkEnd w:id="2593"/>
    </w:p>
    <w:p w14:paraId="1C756C10">
      <w:pPr>
        <w:spacing w:line="360" w:lineRule="auto"/>
        <w:ind w:firstLine="420" w:firstLineChars="200"/>
        <w:rPr>
          <w:rFonts w:hint="eastAsia" w:ascii="宋体" w:hAnsi="宋体" w:eastAsia="宋体" w:cs="宋体"/>
          <w:color w:val="auto"/>
          <w:szCs w:val="21"/>
          <w:highlight w:val="none"/>
        </w:rPr>
      </w:pPr>
    </w:p>
    <w:p w14:paraId="76F2A20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说明：施工组织设计内容仅供参考。</w:t>
      </w:r>
    </w:p>
    <w:p w14:paraId="010CC0A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br w:type="page"/>
      </w:r>
      <w:bookmarkStart w:id="2594" w:name="_Toc2064045692_WPSOffice_Level2"/>
      <w:r>
        <w:rPr>
          <w:rFonts w:hint="eastAsia" w:ascii="宋体" w:hAnsi="宋体" w:eastAsia="宋体" w:cs="宋体"/>
          <w:color w:val="auto"/>
          <w:highlight w:val="none"/>
        </w:rPr>
        <w:t>附表一：拟投入本标段的主要施工设备表</w:t>
      </w:r>
      <w:bookmarkEnd w:id="2594"/>
    </w:p>
    <w:p w14:paraId="57258A31">
      <w:pPr>
        <w:rPr>
          <w:rFonts w:hint="eastAsia"/>
          <w:color w:val="auto"/>
          <w:highlight w:val="none"/>
        </w:rPr>
      </w:pPr>
    </w:p>
    <w:tbl>
      <w:tblPr>
        <w:tblStyle w:val="26"/>
        <w:tblW w:w="98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1185"/>
        <w:gridCol w:w="795"/>
        <w:gridCol w:w="816"/>
        <w:gridCol w:w="816"/>
        <w:gridCol w:w="1080"/>
        <w:gridCol w:w="1260"/>
        <w:gridCol w:w="973"/>
        <w:gridCol w:w="1080"/>
        <w:gridCol w:w="1080"/>
      </w:tblGrid>
      <w:tr w14:paraId="3B631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720" w:type="dxa"/>
            <w:noWrap w:val="0"/>
            <w:vAlign w:val="center"/>
          </w:tcPr>
          <w:p w14:paraId="7E0074C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185" w:type="dxa"/>
            <w:noWrap w:val="0"/>
            <w:vAlign w:val="center"/>
          </w:tcPr>
          <w:p w14:paraId="61BB892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设备名称</w:t>
            </w:r>
          </w:p>
        </w:tc>
        <w:tc>
          <w:tcPr>
            <w:tcW w:w="795" w:type="dxa"/>
            <w:noWrap w:val="0"/>
            <w:vAlign w:val="center"/>
          </w:tcPr>
          <w:p w14:paraId="2592B32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型号</w:t>
            </w:r>
          </w:p>
          <w:p w14:paraId="71BEF68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规格</w:t>
            </w:r>
          </w:p>
        </w:tc>
        <w:tc>
          <w:tcPr>
            <w:tcW w:w="816" w:type="dxa"/>
            <w:noWrap w:val="0"/>
            <w:vAlign w:val="center"/>
          </w:tcPr>
          <w:p w14:paraId="7E0376A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816" w:type="dxa"/>
            <w:noWrap w:val="0"/>
            <w:vAlign w:val="center"/>
          </w:tcPr>
          <w:p w14:paraId="4FC4ED1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国别</w:t>
            </w:r>
          </w:p>
          <w:p w14:paraId="6F618EE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产地</w:t>
            </w:r>
          </w:p>
        </w:tc>
        <w:tc>
          <w:tcPr>
            <w:tcW w:w="1080" w:type="dxa"/>
            <w:noWrap w:val="0"/>
            <w:vAlign w:val="center"/>
          </w:tcPr>
          <w:p w14:paraId="0029354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制造</w:t>
            </w:r>
          </w:p>
          <w:p w14:paraId="3F65935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年份</w:t>
            </w:r>
          </w:p>
        </w:tc>
        <w:tc>
          <w:tcPr>
            <w:tcW w:w="1260" w:type="dxa"/>
            <w:noWrap w:val="0"/>
            <w:vAlign w:val="center"/>
          </w:tcPr>
          <w:p w14:paraId="0AF24EE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额定功率</w:t>
            </w:r>
          </w:p>
          <w:p w14:paraId="5A797CEA">
            <w:pPr>
              <w:spacing w:line="360" w:lineRule="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KW </w:t>
            </w:r>
            <w:r>
              <w:rPr>
                <w:rFonts w:hint="eastAsia" w:ascii="宋体" w:hAnsi="宋体" w:eastAsia="宋体" w:cs="宋体"/>
                <w:color w:val="auto"/>
                <w:szCs w:val="21"/>
                <w:highlight w:val="none"/>
                <w:lang w:eastAsia="zh-CN"/>
              </w:rPr>
              <w:t>）</w:t>
            </w:r>
          </w:p>
        </w:tc>
        <w:tc>
          <w:tcPr>
            <w:tcW w:w="973" w:type="dxa"/>
            <w:noWrap w:val="0"/>
            <w:vAlign w:val="center"/>
          </w:tcPr>
          <w:p w14:paraId="43817E5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生产</w:t>
            </w:r>
          </w:p>
          <w:p w14:paraId="6C201E2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能力</w:t>
            </w:r>
          </w:p>
        </w:tc>
        <w:tc>
          <w:tcPr>
            <w:tcW w:w="1080" w:type="dxa"/>
            <w:noWrap w:val="0"/>
            <w:vAlign w:val="center"/>
          </w:tcPr>
          <w:p w14:paraId="6259006B">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用于施</w:t>
            </w:r>
          </w:p>
          <w:p w14:paraId="39BC256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工部位</w:t>
            </w:r>
          </w:p>
        </w:tc>
        <w:tc>
          <w:tcPr>
            <w:tcW w:w="1080" w:type="dxa"/>
            <w:noWrap w:val="0"/>
            <w:vAlign w:val="center"/>
          </w:tcPr>
          <w:p w14:paraId="6895711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775AB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noWrap w:val="0"/>
            <w:vAlign w:val="top"/>
          </w:tcPr>
          <w:p w14:paraId="091AD97D">
            <w:pPr>
              <w:spacing w:line="360" w:lineRule="auto"/>
              <w:rPr>
                <w:rFonts w:hint="eastAsia" w:ascii="宋体" w:hAnsi="宋体" w:eastAsia="宋体" w:cs="宋体"/>
                <w:color w:val="auto"/>
                <w:szCs w:val="21"/>
                <w:highlight w:val="none"/>
              </w:rPr>
            </w:pPr>
          </w:p>
        </w:tc>
        <w:tc>
          <w:tcPr>
            <w:tcW w:w="1185" w:type="dxa"/>
            <w:noWrap w:val="0"/>
            <w:vAlign w:val="top"/>
          </w:tcPr>
          <w:p w14:paraId="2F8B3D04">
            <w:pPr>
              <w:spacing w:line="360" w:lineRule="auto"/>
              <w:ind w:firstLine="420" w:firstLineChars="200"/>
              <w:rPr>
                <w:rFonts w:hint="eastAsia" w:ascii="宋体" w:hAnsi="宋体" w:eastAsia="宋体" w:cs="宋体"/>
                <w:color w:val="auto"/>
                <w:szCs w:val="21"/>
                <w:highlight w:val="none"/>
              </w:rPr>
            </w:pPr>
          </w:p>
        </w:tc>
        <w:tc>
          <w:tcPr>
            <w:tcW w:w="795" w:type="dxa"/>
            <w:noWrap w:val="0"/>
            <w:vAlign w:val="top"/>
          </w:tcPr>
          <w:p w14:paraId="3D30FA1B">
            <w:pPr>
              <w:spacing w:line="360" w:lineRule="auto"/>
              <w:rPr>
                <w:rFonts w:hint="eastAsia" w:ascii="宋体" w:hAnsi="宋体" w:eastAsia="宋体" w:cs="宋体"/>
                <w:color w:val="auto"/>
                <w:szCs w:val="21"/>
                <w:highlight w:val="none"/>
              </w:rPr>
            </w:pPr>
          </w:p>
        </w:tc>
        <w:tc>
          <w:tcPr>
            <w:tcW w:w="816" w:type="dxa"/>
            <w:noWrap w:val="0"/>
            <w:vAlign w:val="top"/>
          </w:tcPr>
          <w:p w14:paraId="0462C714">
            <w:pPr>
              <w:spacing w:line="360" w:lineRule="auto"/>
              <w:rPr>
                <w:rFonts w:hint="eastAsia" w:ascii="宋体" w:hAnsi="宋体" w:eastAsia="宋体" w:cs="宋体"/>
                <w:color w:val="auto"/>
                <w:szCs w:val="21"/>
                <w:highlight w:val="none"/>
              </w:rPr>
            </w:pPr>
          </w:p>
        </w:tc>
        <w:tc>
          <w:tcPr>
            <w:tcW w:w="816" w:type="dxa"/>
            <w:noWrap w:val="0"/>
            <w:vAlign w:val="top"/>
          </w:tcPr>
          <w:p w14:paraId="46043099">
            <w:pPr>
              <w:spacing w:line="360" w:lineRule="auto"/>
              <w:rPr>
                <w:rFonts w:hint="eastAsia" w:ascii="宋体" w:hAnsi="宋体" w:eastAsia="宋体" w:cs="宋体"/>
                <w:color w:val="auto"/>
                <w:szCs w:val="21"/>
                <w:highlight w:val="none"/>
              </w:rPr>
            </w:pPr>
          </w:p>
        </w:tc>
        <w:tc>
          <w:tcPr>
            <w:tcW w:w="1080" w:type="dxa"/>
            <w:noWrap w:val="0"/>
            <w:vAlign w:val="top"/>
          </w:tcPr>
          <w:p w14:paraId="2972575C">
            <w:pPr>
              <w:spacing w:line="360" w:lineRule="auto"/>
              <w:rPr>
                <w:rFonts w:hint="eastAsia" w:ascii="宋体" w:hAnsi="宋体" w:eastAsia="宋体" w:cs="宋体"/>
                <w:color w:val="auto"/>
                <w:szCs w:val="21"/>
                <w:highlight w:val="none"/>
              </w:rPr>
            </w:pPr>
          </w:p>
        </w:tc>
        <w:tc>
          <w:tcPr>
            <w:tcW w:w="1260" w:type="dxa"/>
            <w:noWrap w:val="0"/>
            <w:vAlign w:val="top"/>
          </w:tcPr>
          <w:p w14:paraId="3DD17141">
            <w:pPr>
              <w:spacing w:line="360" w:lineRule="auto"/>
              <w:rPr>
                <w:rFonts w:hint="eastAsia" w:ascii="宋体" w:hAnsi="宋体" w:eastAsia="宋体" w:cs="宋体"/>
                <w:color w:val="auto"/>
                <w:szCs w:val="21"/>
                <w:highlight w:val="none"/>
              </w:rPr>
            </w:pPr>
          </w:p>
        </w:tc>
        <w:tc>
          <w:tcPr>
            <w:tcW w:w="973" w:type="dxa"/>
            <w:noWrap w:val="0"/>
            <w:vAlign w:val="top"/>
          </w:tcPr>
          <w:p w14:paraId="0CE8A388">
            <w:pPr>
              <w:spacing w:line="360" w:lineRule="auto"/>
              <w:rPr>
                <w:rFonts w:hint="eastAsia" w:ascii="宋体" w:hAnsi="宋体" w:eastAsia="宋体" w:cs="宋体"/>
                <w:color w:val="auto"/>
                <w:szCs w:val="21"/>
                <w:highlight w:val="none"/>
              </w:rPr>
            </w:pPr>
          </w:p>
        </w:tc>
        <w:tc>
          <w:tcPr>
            <w:tcW w:w="1080" w:type="dxa"/>
            <w:noWrap w:val="0"/>
            <w:vAlign w:val="top"/>
          </w:tcPr>
          <w:p w14:paraId="7294717C">
            <w:pPr>
              <w:spacing w:line="360" w:lineRule="auto"/>
              <w:rPr>
                <w:rFonts w:hint="eastAsia" w:ascii="宋体" w:hAnsi="宋体" w:eastAsia="宋体" w:cs="宋体"/>
                <w:color w:val="auto"/>
                <w:szCs w:val="21"/>
                <w:highlight w:val="none"/>
              </w:rPr>
            </w:pPr>
          </w:p>
        </w:tc>
        <w:tc>
          <w:tcPr>
            <w:tcW w:w="1080" w:type="dxa"/>
            <w:noWrap w:val="0"/>
            <w:vAlign w:val="top"/>
          </w:tcPr>
          <w:p w14:paraId="74907ABB">
            <w:pPr>
              <w:spacing w:line="360" w:lineRule="auto"/>
              <w:rPr>
                <w:rFonts w:hint="eastAsia" w:ascii="宋体" w:hAnsi="宋体" w:eastAsia="宋体" w:cs="宋体"/>
                <w:color w:val="auto"/>
                <w:szCs w:val="21"/>
                <w:highlight w:val="none"/>
              </w:rPr>
            </w:pPr>
          </w:p>
        </w:tc>
      </w:tr>
      <w:tr w14:paraId="78E6B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noWrap w:val="0"/>
            <w:vAlign w:val="top"/>
          </w:tcPr>
          <w:p w14:paraId="3417DDE6">
            <w:pPr>
              <w:spacing w:line="360" w:lineRule="auto"/>
              <w:rPr>
                <w:rFonts w:hint="eastAsia" w:ascii="宋体" w:hAnsi="宋体" w:eastAsia="宋体" w:cs="宋体"/>
                <w:color w:val="auto"/>
                <w:szCs w:val="21"/>
                <w:highlight w:val="none"/>
              </w:rPr>
            </w:pPr>
          </w:p>
        </w:tc>
        <w:tc>
          <w:tcPr>
            <w:tcW w:w="1185" w:type="dxa"/>
            <w:noWrap w:val="0"/>
            <w:vAlign w:val="top"/>
          </w:tcPr>
          <w:p w14:paraId="217A41CD">
            <w:pPr>
              <w:spacing w:line="360" w:lineRule="auto"/>
              <w:rPr>
                <w:rFonts w:hint="eastAsia" w:ascii="宋体" w:hAnsi="宋体" w:eastAsia="宋体" w:cs="宋体"/>
                <w:color w:val="auto"/>
                <w:szCs w:val="21"/>
                <w:highlight w:val="none"/>
              </w:rPr>
            </w:pPr>
          </w:p>
        </w:tc>
        <w:tc>
          <w:tcPr>
            <w:tcW w:w="795" w:type="dxa"/>
            <w:noWrap w:val="0"/>
            <w:vAlign w:val="top"/>
          </w:tcPr>
          <w:p w14:paraId="653F7B8E">
            <w:pPr>
              <w:spacing w:line="360" w:lineRule="auto"/>
              <w:rPr>
                <w:rFonts w:hint="eastAsia" w:ascii="宋体" w:hAnsi="宋体" w:eastAsia="宋体" w:cs="宋体"/>
                <w:color w:val="auto"/>
                <w:szCs w:val="21"/>
                <w:highlight w:val="none"/>
              </w:rPr>
            </w:pPr>
          </w:p>
        </w:tc>
        <w:tc>
          <w:tcPr>
            <w:tcW w:w="816" w:type="dxa"/>
            <w:noWrap w:val="0"/>
            <w:vAlign w:val="top"/>
          </w:tcPr>
          <w:p w14:paraId="1268481A">
            <w:pPr>
              <w:spacing w:line="360" w:lineRule="auto"/>
              <w:rPr>
                <w:rFonts w:hint="eastAsia" w:ascii="宋体" w:hAnsi="宋体" w:eastAsia="宋体" w:cs="宋体"/>
                <w:color w:val="auto"/>
                <w:szCs w:val="21"/>
                <w:highlight w:val="none"/>
              </w:rPr>
            </w:pPr>
          </w:p>
        </w:tc>
        <w:tc>
          <w:tcPr>
            <w:tcW w:w="816" w:type="dxa"/>
            <w:noWrap w:val="0"/>
            <w:vAlign w:val="top"/>
          </w:tcPr>
          <w:p w14:paraId="0C5F5CED">
            <w:pPr>
              <w:spacing w:line="360" w:lineRule="auto"/>
              <w:rPr>
                <w:rFonts w:hint="eastAsia" w:ascii="宋体" w:hAnsi="宋体" w:eastAsia="宋体" w:cs="宋体"/>
                <w:color w:val="auto"/>
                <w:szCs w:val="21"/>
                <w:highlight w:val="none"/>
              </w:rPr>
            </w:pPr>
          </w:p>
        </w:tc>
        <w:tc>
          <w:tcPr>
            <w:tcW w:w="1080" w:type="dxa"/>
            <w:noWrap w:val="0"/>
            <w:vAlign w:val="top"/>
          </w:tcPr>
          <w:p w14:paraId="49225FE6">
            <w:pPr>
              <w:spacing w:line="360" w:lineRule="auto"/>
              <w:rPr>
                <w:rFonts w:hint="eastAsia" w:ascii="宋体" w:hAnsi="宋体" w:eastAsia="宋体" w:cs="宋体"/>
                <w:color w:val="auto"/>
                <w:szCs w:val="21"/>
                <w:highlight w:val="none"/>
              </w:rPr>
            </w:pPr>
          </w:p>
        </w:tc>
        <w:tc>
          <w:tcPr>
            <w:tcW w:w="1260" w:type="dxa"/>
            <w:noWrap w:val="0"/>
            <w:vAlign w:val="top"/>
          </w:tcPr>
          <w:p w14:paraId="61EA62BE">
            <w:pPr>
              <w:spacing w:line="360" w:lineRule="auto"/>
              <w:rPr>
                <w:rFonts w:hint="eastAsia" w:ascii="宋体" w:hAnsi="宋体" w:eastAsia="宋体" w:cs="宋体"/>
                <w:color w:val="auto"/>
                <w:szCs w:val="21"/>
                <w:highlight w:val="none"/>
              </w:rPr>
            </w:pPr>
          </w:p>
        </w:tc>
        <w:tc>
          <w:tcPr>
            <w:tcW w:w="973" w:type="dxa"/>
            <w:noWrap w:val="0"/>
            <w:vAlign w:val="top"/>
          </w:tcPr>
          <w:p w14:paraId="7C192F0B">
            <w:pPr>
              <w:spacing w:line="360" w:lineRule="auto"/>
              <w:rPr>
                <w:rFonts w:hint="eastAsia" w:ascii="宋体" w:hAnsi="宋体" w:eastAsia="宋体" w:cs="宋体"/>
                <w:color w:val="auto"/>
                <w:szCs w:val="21"/>
                <w:highlight w:val="none"/>
              </w:rPr>
            </w:pPr>
          </w:p>
        </w:tc>
        <w:tc>
          <w:tcPr>
            <w:tcW w:w="1080" w:type="dxa"/>
            <w:noWrap w:val="0"/>
            <w:vAlign w:val="top"/>
          </w:tcPr>
          <w:p w14:paraId="114B1E80">
            <w:pPr>
              <w:spacing w:line="360" w:lineRule="auto"/>
              <w:rPr>
                <w:rFonts w:hint="eastAsia" w:ascii="宋体" w:hAnsi="宋体" w:eastAsia="宋体" w:cs="宋体"/>
                <w:color w:val="auto"/>
                <w:szCs w:val="21"/>
                <w:highlight w:val="none"/>
              </w:rPr>
            </w:pPr>
          </w:p>
        </w:tc>
        <w:tc>
          <w:tcPr>
            <w:tcW w:w="1080" w:type="dxa"/>
            <w:noWrap w:val="0"/>
            <w:vAlign w:val="top"/>
          </w:tcPr>
          <w:p w14:paraId="6D17A253">
            <w:pPr>
              <w:spacing w:line="360" w:lineRule="auto"/>
              <w:rPr>
                <w:rFonts w:hint="eastAsia" w:ascii="宋体" w:hAnsi="宋体" w:eastAsia="宋体" w:cs="宋体"/>
                <w:color w:val="auto"/>
                <w:szCs w:val="21"/>
                <w:highlight w:val="none"/>
              </w:rPr>
            </w:pPr>
          </w:p>
        </w:tc>
      </w:tr>
      <w:tr w14:paraId="40BC4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noWrap w:val="0"/>
            <w:vAlign w:val="top"/>
          </w:tcPr>
          <w:p w14:paraId="21E3901F">
            <w:pPr>
              <w:spacing w:line="360" w:lineRule="auto"/>
              <w:rPr>
                <w:rFonts w:hint="eastAsia" w:ascii="宋体" w:hAnsi="宋体" w:eastAsia="宋体" w:cs="宋体"/>
                <w:color w:val="auto"/>
                <w:szCs w:val="21"/>
                <w:highlight w:val="none"/>
              </w:rPr>
            </w:pPr>
          </w:p>
        </w:tc>
        <w:tc>
          <w:tcPr>
            <w:tcW w:w="1185" w:type="dxa"/>
            <w:noWrap w:val="0"/>
            <w:vAlign w:val="top"/>
          </w:tcPr>
          <w:p w14:paraId="3C80D457">
            <w:pPr>
              <w:spacing w:line="360" w:lineRule="auto"/>
              <w:rPr>
                <w:rFonts w:hint="eastAsia" w:ascii="宋体" w:hAnsi="宋体" w:eastAsia="宋体" w:cs="宋体"/>
                <w:color w:val="auto"/>
                <w:szCs w:val="21"/>
                <w:highlight w:val="none"/>
              </w:rPr>
            </w:pPr>
          </w:p>
        </w:tc>
        <w:tc>
          <w:tcPr>
            <w:tcW w:w="795" w:type="dxa"/>
            <w:noWrap w:val="0"/>
            <w:vAlign w:val="top"/>
          </w:tcPr>
          <w:p w14:paraId="1D4315E0">
            <w:pPr>
              <w:spacing w:line="360" w:lineRule="auto"/>
              <w:rPr>
                <w:rFonts w:hint="eastAsia" w:ascii="宋体" w:hAnsi="宋体" w:eastAsia="宋体" w:cs="宋体"/>
                <w:color w:val="auto"/>
                <w:szCs w:val="21"/>
                <w:highlight w:val="none"/>
              </w:rPr>
            </w:pPr>
          </w:p>
        </w:tc>
        <w:tc>
          <w:tcPr>
            <w:tcW w:w="816" w:type="dxa"/>
            <w:noWrap w:val="0"/>
            <w:vAlign w:val="top"/>
          </w:tcPr>
          <w:p w14:paraId="6A56D917">
            <w:pPr>
              <w:spacing w:line="360" w:lineRule="auto"/>
              <w:rPr>
                <w:rFonts w:hint="eastAsia" w:ascii="宋体" w:hAnsi="宋体" w:eastAsia="宋体" w:cs="宋体"/>
                <w:color w:val="auto"/>
                <w:szCs w:val="21"/>
                <w:highlight w:val="none"/>
              </w:rPr>
            </w:pPr>
          </w:p>
        </w:tc>
        <w:tc>
          <w:tcPr>
            <w:tcW w:w="816" w:type="dxa"/>
            <w:noWrap w:val="0"/>
            <w:vAlign w:val="top"/>
          </w:tcPr>
          <w:p w14:paraId="5137FCD2">
            <w:pPr>
              <w:spacing w:line="360" w:lineRule="auto"/>
              <w:rPr>
                <w:rFonts w:hint="eastAsia" w:ascii="宋体" w:hAnsi="宋体" w:eastAsia="宋体" w:cs="宋体"/>
                <w:color w:val="auto"/>
                <w:szCs w:val="21"/>
                <w:highlight w:val="none"/>
              </w:rPr>
            </w:pPr>
          </w:p>
        </w:tc>
        <w:tc>
          <w:tcPr>
            <w:tcW w:w="1080" w:type="dxa"/>
            <w:noWrap w:val="0"/>
            <w:vAlign w:val="top"/>
          </w:tcPr>
          <w:p w14:paraId="3FCFDE4C">
            <w:pPr>
              <w:spacing w:line="360" w:lineRule="auto"/>
              <w:rPr>
                <w:rFonts w:hint="eastAsia" w:ascii="宋体" w:hAnsi="宋体" w:eastAsia="宋体" w:cs="宋体"/>
                <w:color w:val="auto"/>
                <w:szCs w:val="21"/>
                <w:highlight w:val="none"/>
              </w:rPr>
            </w:pPr>
          </w:p>
        </w:tc>
        <w:tc>
          <w:tcPr>
            <w:tcW w:w="1260" w:type="dxa"/>
            <w:noWrap w:val="0"/>
            <w:vAlign w:val="top"/>
          </w:tcPr>
          <w:p w14:paraId="40071795">
            <w:pPr>
              <w:spacing w:line="360" w:lineRule="auto"/>
              <w:rPr>
                <w:rFonts w:hint="eastAsia" w:ascii="宋体" w:hAnsi="宋体" w:eastAsia="宋体" w:cs="宋体"/>
                <w:color w:val="auto"/>
                <w:szCs w:val="21"/>
                <w:highlight w:val="none"/>
              </w:rPr>
            </w:pPr>
          </w:p>
        </w:tc>
        <w:tc>
          <w:tcPr>
            <w:tcW w:w="973" w:type="dxa"/>
            <w:noWrap w:val="0"/>
            <w:vAlign w:val="top"/>
          </w:tcPr>
          <w:p w14:paraId="1C72AA0E">
            <w:pPr>
              <w:spacing w:line="360" w:lineRule="auto"/>
              <w:rPr>
                <w:rFonts w:hint="eastAsia" w:ascii="宋体" w:hAnsi="宋体" w:eastAsia="宋体" w:cs="宋体"/>
                <w:color w:val="auto"/>
                <w:szCs w:val="21"/>
                <w:highlight w:val="none"/>
              </w:rPr>
            </w:pPr>
          </w:p>
        </w:tc>
        <w:tc>
          <w:tcPr>
            <w:tcW w:w="1080" w:type="dxa"/>
            <w:noWrap w:val="0"/>
            <w:vAlign w:val="top"/>
          </w:tcPr>
          <w:p w14:paraId="3FECE62B">
            <w:pPr>
              <w:spacing w:line="360" w:lineRule="auto"/>
              <w:rPr>
                <w:rFonts w:hint="eastAsia" w:ascii="宋体" w:hAnsi="宋体" w:eastAsia="宋体" w:cs="宋体"/>
                <w:color w:val="auto"/>
                <w:szCs w:val="21"/>
                <w:highlight w:val="none"/>
              </w:rPr>
            </w:pPr>
          </w:p>
        </w:tc>
        <w:tc>
          <w:tcPr>
            <w:tcW w:w="1080" w:type="dxa"/>
            <w:noWrap w:val="0"/>
            <w:vAlign w:val="top"/>
          </w:tcPr>
          <w:p w14:paraId="467EDE4D">
            <w:pPr>
              <w:spacing w:line="360" w:lineRule="auto"/>
              <w:rPr>
                <w:rFonts w:hint="eastAsia" w:ascii="宋体" w:hAnsi="宋体" w:eastAsia="宋体" w:cs="宋体"/>
                <w:color w:val="auto"/>
                <w:szCs w:val="21"/>
                <w:highlight w:val="none"/>
              </w:rPr>
            </w:pPr>
          </w:p>
        </w:tc>
      </w:tr>
      <w:tr w14:paraId="3B557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noWrap w:val="0"/>
            <w:vAlign w:val="top"/>
          </w:tcPr>
          <w:p w14:paraId="51D06F49">
            <w:pPr>
              <w:spacing w:line="360" w:lineRule="auto"/>
              <w:rPr>
                <w:rFonts w:hint="eastAsia" w:ascii="宋体" w:hAnsi="宋体" w:eastAsia="宋体" w:cs="宋体"/>
                <w:color w:val="auto"/>
                <w:szCs w:val="21"/>
                <w:highlight w:val="none"/>
              </w:rPr>
            </w:pPr>
          </w:p>
        </w:tc>
        <w:tc>
          <w:tcPr>
            <w:tcW w:w="1185" w:type="dxa"/>
            <w:noWrap w:val="0"/>
            <w:vAlign w:val="top"/>
          </w:tcPr>
          <w:p w14:paraId="60FE9236">
            <w:pPr>
              <w:spacing w:line="360" w:lineRule="auto"/>
              <w:rPr>
                <w:rFonts w:hint="eastAsia" w:ascii="宋体" w:hAnsi="宋体" w:eastAsia="宋体" w:cs="宋体"/>
                <w:color w:val="auto"/>
                <w:szCs w:val="21"/>
                <w:highlight w:val="none"/>
              </w:rPr>
            </w:pPr>
          </w:p>
        </w:tc>
        <w:tc>
          <w:tcPr>
            <w:tcW w:w="795" w:type="dxa"/>
            <w:noWrap w:val="0"/>
            <w:vAlign w:val="top"/>
          </w:tcPr>
          <w:p w14:paraId="6C9952CD">
            <w:pPr>
              <w:spacing w:line="360" w:lineRule="auto"/>
              <w:rPr>
                <w:rFonts w:hint="eastAsia" w:ascii="宋体" w:hAnsi="宋体" w:eastAsia="宋体" w:cs="宋体"/>
                <w:color w:val="auto"/>
                <w:szCs w:val="21"/>
                <w:highlight w:val="none"/>
              </w:rPr>
            </w:pPr>
          </w:p>
        </w:tc>
        <w:tc>
          <w:tcPr>
            <w:tcW w:w="816" w:type="dxa"/>
            <w:noWrap w:val="0"/>
            <w:vAlign w:val="top"/>
          </w:tcPr>
          <w:p w14:paraId="157B8971">
            <w:pPr>
              <w:spacing w:line="360" w:lineRule="auto"/>
              <w:rPr>
                <w:rFonts w:hint="eastAsia" w:ascii="宋体" w:hAnsi="宋体" w:eastAsia="宋体" w:cs="宋体"/>
                <w:color w:val="auto"/>
                <w:szCs w:val="21"/>
                <w:highlight w:val="none"/>
              </w:rPr>
            </w:pPr>
          </w:p>
        </w:tc>
        <w:tc>
          <w:tcPr>
            <w:tcW w:w="816" w:type="dxa"/>
            <w:noWrap w:val="0"/>
            <w:vAlign w:val="top"/>
          </w:tcPr>
          <w:p w14:paraId="67165025">
            <w:pPr>
              <w:spacing w:line="360" w:lineRule="auto"/>
              <w:rPr>
                <w:rFonts w:hint="eastAsia" w:ascii="宋体" w:hAnsi="宋体" w:eastAsia="宋体" w:cs="宋体"/>
                <w:color w:val="auto"/>
                <w:szCs w:val="21"/>
                <w:highlight w:val="none"/>
              </w:rPr>
            </w:pPr>
          </w:p>
        </w:tc>
        <w:tc>
          <w:tcPr>
            <w:tcW w:w="1080" w:type="dxa"/>
            <w:noWrap w:val="0"/>
            <w:vAlign w:val="top"/>
          </w:tcPr>
          <w:p w14:paraId="19B62113">
            <w:pPr>
              <w:spacing w:line="360" w:lineRule="auto"/>
              <w:rPr>
                <w:rFonts w:hint="eastAsia" w:ascii="宋体" w:hAnsi="宋体" w:eastAsia="宋体" w:cs="宋体"/>
                <w:color w:val="auto"/>
                <w:szCs w:val="21"/>
                <w:highlight w:val="none"/>
              </w:rPr>
            </w:pPr>
          </w:p>
        </w:tc>
        <w:tc>
          <w:tcPr>
            <w:tcW w:w="1260" w:type="dxa"/>
            <w:noWrap w:val="0"/>
            <w:vAlign w:val="top"/>
          </w:tcPr>
          <w:p w14:paraId="33B3A77C">
            <w:pPr>
              <w:spacing w:line="360" w:lineRule="auto"/>
              <w:rPr>
                <w:rFonts w:hint="eastAsia" w:ascii="宋体" w:hAnsi="宋体" w:eastAsia="宋体" w:cs="宋体"/>
                <w:color w:val="auto"/>
                <w:szCs w:val="21"/>
                <w:highlight w:val="none"/>
              </w:rPr>
            </w:pPr>
          </w:p>
        </w:tc>
        <w:tc>
          <w:tcPr>
            <w:tcW w:w="973" w:type="dxa"/>
            <w:noWrap w:val="0"/>
            <w:vAlign w:val="top"/>
          </w:tcPr>
          <w:p w14:paraId="5B431DFD">
            <w:pPr>
              <w:spacing w:line="360" w:lineRule="auto"/>
              <w:rPr>
                <w:rFonts w:hint="eastAsia" w:ascii="宋体" w:hAnsi="宋体" w:eastAsia="宋体" w:cs="宋体"/>
                <w:color w:val="auto"/>
                <w:szCs w:val="21"/>
                <w:highlight w:val="none"/>
              </w:rPr>
            </w:pPr>
          </w:p>
        </w:tc>
        <w:tc>
          <w:tcPr>
            <w:tcW w:w="1080" w:type="dxa"/>
            <w:noWrap w:val="0"/>
            <w:vAlign w:val="top"/>
          </w:tcPr>
          <w:p w14:paraId="1C1108E4">
            <w:pPr>
              <w:spacing w:line="360" w:lineRule="auto"/>
              <w:rPr>
                <w:rFonts w:hint="eastAsia" w:ascii="宋体" w:hAnsi="宋体" w:eastAsia="宋体" w:cs="宋体"/>
                <w:color w:val="auto"/>
                <w:szCs w:val="21"/>
                <w:highlight w:val="none"/>
              </w:rPr>
            </w:pPr>
          </w:p>
        </w:tc>
        <w:tc>
          <w:tcPr>
            <w:tcW w:w="1080" w:type="dxa"/>
            <w:noWrap w:val="0"/>
            <w:vAlign w:val="top"/>
          </w:tcPr>
          <w:p w14:paraId="37A57739">
            <w:pPr>
              <w:spacing w:line="360" w:lineRule="auto"/>
              <w:rPr>
                <w:rFonts w:hint="eastAsia" w:ascii="宋体" w:hAnsi="宋体" w:eastAsia="宋体" w:cs="宋体"/>
                <w:color w:val="auto"/>
                <w:szCs w:val="21"/>
                <w:highlight w:val="none"/>
              </w:rPr>
            </w:pPr>
          </w:p>
        </w:tc>
      </w:tr>
      <w:tr w14:paraId="4864C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noWrap w:val="0"/>
            <w:vAlign w:val="top"/>
          </w:tcPr>
          <w:p w14:paraId="64378E52">
            <w:pPr>
              <w:spacing w:line="360" w:lineRule="auto"/>
              <w:rPr>
                <w:rFonts w:hint="eastAsia" w:ascii="宋体" w:hAnsi="宋体" w:eastAsia="宋体" w:cs="宋体"/>
                <w:color w:val="auto"/>
                <w:szCs w:val="21"/>
                <w:highlight w:val="none"/>
              </w:rPr>
            </w:pPr>
          </w:p>
        </w:tc>
        <w:tc>
          <w:tcPr>
            <w:tcW w:w="1185" w:type="dxa"/>
            <w:noWrap w:val="0"/>
            <w:vAlign w:val="top"/>
          </w:tcPr>
          <w:p w14:paraId="0580FF5C">
            <w:pPr>
              <w:spacing w:line="360" w:lineRule="auto"/>
              <w:rPr>
                <w:rFonts w:hint="eastAsia" w:ascii="宋体" w:hAnsi="宋体" w:eastAsia="宋体" w:cs="宋体"/>
                <w:color w:val="auto"/>
                <w:szCs w:val="21"/>
                <w:highlight w:val="none"/>
              </w:rPr>
            </w:pPr>
          </w:p>
        </w:tc>
        <w:tc>
          <w:tcPr>
            <w:tcW w:w="795" w:type="dxa"/>
            <w:noWrap w:val="0"/>
            <w:vAlign w:val="top"/>
          </w:tcPr>
          <w:p w14:paraId="31466215">
            <w:pPr>
              <w:spacing w:line="360" w:lineRule="auto"/>
              <w:rPr>
                <w:rFonts w:hint="eastAsia" w:ascii="宋体" w:hAnsi="宋体" w:eastAsia="宋体" w:cs="宋体"/>
                <w:color w:val="auto"/>
                <w:szCs w:val="21"/>
                <w:highlight w:val="none"/>
              </w:rPr>
            </w:pPr>
          </w:p>
        </w:tc>
        <w:tc>
          <w:tcPr>
            <w:tcW w:w="816" w:type="dxa"/>
            <w:noWrap w:val="0"/>
            <w:vAlign w:val="top"/>
          </w:tcPr>
          <w:p w14:paraId="4E2FAA88">
            <w:pPr>
              <w:spacing w:line="360" w:lineRule="auto"/>
              <w:rPr>
                <w:rFonts w:hint="eastAsia" w:ascii="宋体" w:hAnsi="宋体" w:eastAsia="宋体" w:cs="宋体"/>
                <w:color w:val="auto"/>
                <w:szCs w:val="21"/>
                <w:highlight w:val="none"/>
              </w:rPr>
            </w:pPr>
          </w:p>
        </w:tc>
        <w:tc>
          <w:tcPr>
            <w:tcW w:w="816" w:type="dxa"/>
            <w:noWrap w:val="0"/>
            <w:vAlign w:val="top"/>
          </w:tcPr>
          <w:p w14:paraId="4E7AAF5A">
            <w:pPr>
              <w:spacing w:line="360" w:lineRule="auto"/>
              <w:rPr>
                <w:rFonts w:hint="eastAsia" w:ascii="宋体" w:hAnsi="宋体" w:eastAsia="宋体" w:cs="宋体"/>
                <w:color w:val="auto"/>
                <w:szCs w:val="21"/>
                <w:highlight w:val="none"/>
              </w:rPr>
            </w:pPr>
          </w:p>
        </w:tc>
        <w:tc>
          <w:tcPr>
            <w:tcW w:w="1080" w:type="dxa"/>
            <w:noWrap w:val="0"/>
            <w:vAlign w:val="top"/>
          </w:tcPr>
          <w:p w14:paraId="0DADF215">
            <w:pPr>
              <w:spacing w:line="360" w:lineRule="auto"/>
              <w:rPr>
                <w:rFonts w:hint="eastAsia" w:ascii="宋体" w:hAnsi="宋体" w:eastAsia="宋体" w:cs="宋体"/>
                <w:color w:val="auto"/>
                <w:szCs w:val="21"/>
                <w:highlight w:val="none"/>
              </w:rPr>
            </w:pPr>
          </w:p>
        </w:tc>
        <w:tc>
          <w:tcPr>
            <w:tcW w:w="1260" w:type="dxa"/>
            <w:noWrap w:val="0"/>
            <w:vAlign w:val="top"/>
          </w:tcPr>
          <w:p w14:paraId="20B53664">
            <w:pPr>
              <w:spacing w:line="360" w:lineRule="auto"/>
              <w:rPr>
                <w:rFonts w:hint="eastAsia" w:ascii="宋体" w:hAnsi="宋体" w:eastAsia="宋体" w:cs="宋体"/>
                <w:color w:val="auto"/>
                <w:szCs w:val="21"/>
                <w:highlight w:val="none"/>
              </w:rPr>
            </w:pPr>
          </w:p>
        </w:tc>
        <w:tc>
          <w:tcPr>
            <w:tcW w:w="973" w:type="dxa"/>
            <w:noWrap w:val="0"/>
            <w:vAlign w:val="top"/>
          </w:tcPr>
          <w:p w14:paraId="3F5B897D">
            <w:pPr>
              <w:spacing w:line="360" w:lineRule="auto"/>
              <w:rPr>
                <w:rFonts w:hint="eastAsia" w:ascii="宋体" w:hAnsi="宋体" w:eastAsia="宋体" w:cs="宋体"/>
                <w:color w:val="auto"/>
                <w:szCs w:val="21"/>
                <w:highlight w:val="none"/>
              </w:rPr>
            </w:pPr>
          </w:p>
        </w:tc>
        <w:tc>
          <w:tcPr>
            <w:tcW w:w="1080" w:type="dxa"/>
            <w:noWrap w:val="0"/>
            <w:vAlign w:val="top"/>
          </w:tcPr>
          <w:p w14:paraId="57BDFDEF">
            <w:pPr>
              <w:spacing w:line="360" w:lineRule="auto"/>
              <w:rPr>
                <w:rFonts w:hint="eastAsia" w:ascii="宋体" w:hAnsi="宋体" w:eastAsia="宋体" w:cs="宋体"/>
                <w:color w:val="auto"/>
                <w:szCs w:val="21"/>
                <w:highlight w:val="none"/>
              </w:rPr>
            </w:pPr>
          </w:p>
        </w:tc>
        <w:tc>
          <w:tcPr>
            <w:tcW w:w="1080" w:type="dxa"/>
            <w:noWrap w:val="0"/>
            <w:vAlign w:val="top"/>
          </w:tcPr>
          <w:p w14:paraId="69909B45">
            <w:pPr>
              <w:spacing w:line="360" w:lineRule="auto"/>
              <w:rPr>
                <w:rFonts w:hint="eastAsia" w:ascii="宋体" w:hAnsi="宋体" w:eastAsia="宋体" w:cs="宋体"/>
                <w:color w:val="auto"/>
                <w:szCs w:val="21"/>
                <w:highlight w:val="none"/>
              </w:rPr>
            </w:pPr>
          </w:p>
        </w:tc>
      </w:tr>
      <w:tr w14:paraId="7B3BF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noWrap w:val="0"/>
            <w:vAlign w:val="top"/>
          </w:tcPr>
          <w:p w14:paraId="45D7BF2F">
            <w:pPr>
              <w:spacing w:line="360" w:lineRule="auto"/>
              <w:rPr>
                <w:rFonts w:hint="eastAsia" w:ascii="宋体" w:hAnsi="宋体" w:eastAsia="宋体" w:cs="宋体"/>
                <w:color w:val="auto"/>
                <w:szCs w:val="21"/>
                <w:highlight w:val="none"/>
              </w:rPr>
            </w:pPr>
          </w:p>
        </w:tc>
        <w:tc>
          <w:tcPr>
            <w:tcW w:w="1185" w:type="dxa"/>
            <w:noWrap w:val="0"/>
            <w:vAlign w:val="top"/>
          </w:tcPr>
          <w:p w14:paraId="2103544F">
            <w:pPr>
              <w:spacing w:line="360" w:lineRule="auto"/>
              <w:rPr>
                <w:rFonts w:hint="eastAsia" w:ascii="宋体" w:hAnsi="宋体" w:eastAsia="宋体" w:cs="宋体"/>
                <w:color w:val="auto"/>
                <w:szCs w:val="21"/>
                <w:highlight w:val="none"/>
              </w:rPr>
            </w:pPr>
          </w:p>
        </w:tc>
        <w:tc>
          <w:tcPr>
            <w:tcW w:w="795" w:type="dxa"/>
            <w:noWrap w:val="0"/>
            <w:vAlign w:val="top"/>
          </w:tcPr>
          <w:p w14:paraId="1BE4B4DA">
            <w:pPr>
              <w:spacing w:line="360" w:lineRule="auto"/>
              <w:rPr>
                <w:rFonts w:hint="eastAsia" w:ascii="宋体" w:hAnsi="宋体" w:eastAsia="宋体" w:cs="宋体"/>
                <w:color w:val="auto"/>
                <w:szCs w:val="21"/>
                <w:highlight w:val="none"/>
              </w:rPr>
            </w:pPr>
          </w:p>
        </w:tc>
        <w:tc>
          <w:tcPr>
            <w:tcW w:w="816" w:type="dxa"/>
            <w:noWrap w:val="0"/>
            <w:vAlign w:val="top"/>
          </w:tcPr>
          <w:p w14:paraId="5F18FEFD">
            <w:pPr>
              <w:spacing w:line="360" w:lineRule="auto"/>
              <w:rPr>
                <w:rFonts w:hint="eastAsia" w:ascii="宋体" w:hAnsi="宋体" w:eastAsia="宋体" w:cs="宋体"/>
                <w:color w:val="auto"/>
                <w:szCs w:val="21"/>
                <w:highlight w:val="none"/>
              </w:rPr>
            </w:pPr>
          </w:p>
        </w:tc>
        <w:tc>
          <w:tcPr>
            <w:tcW w:w="816" w:type="dxa"/>
            <w:noWrap w:val="0"/>
            <w:vAlign w:val="top"/>
          </w:tcPr>
          <w:p w14:paraId="4EB8B830">
            <w:pPr>
              <w:spacing w:line="360" w:lineRule="auto"/>
              <w:rPr>
                <w:rFonts w:hint="eastAsia" w:ascii="宋体" w:hAnsi="宋体" w:eastAsia="宋体" w:cs="宋体"/>
                <w:color w:val="auto"/>
                <w:szCs w:val="21"/>
                <w:highlight w:val="none"/>
              </w:rPr>
            </w:pPr>
          </w:p>
        </w:tc>
        <w:tc>
          <w:tcPr>
            <w:tcW w:w="1080" w:type="dxa"/>
            <w:noWrap w:val="0"/>
            <w:vAlign w:val="top"/>
          </w:tcPr>
          <w:p w14:paraId="54E956D1">
            <w:pPr>
              <w:spacing w:line="360" w:lineRule="auto"/>
              <w:rPr>
                <w:rFonts w:hint="eastAsia" w:ascii="宋体" w:hAnsi="宋体" w:eastAsia="宋体" w:cs="宋体"/>
                <w:color w:val="auto"/>
                <w:szCs w:val="21"/>
                <w:highlight w:val="none"/>
              </w:rPr>
            </w:pPr>
          </w:p>
        </w:tc>
        <w:tc>
          <w:tcPr>
            <w:tcW w:w="1260" w:type="dxa"/>
            <w:noWrap w:val="0"/>
            <w:vAlign w:val="top"/>
          </w:tcPr>
          <w:p w14:paraId="092C9E05">
            <w:pPr>
              <w:spacing w:line="360" w:lineRule="auto"/>
              <w:rPr>
                <w:rFonts w:hint="eastAsia" w:ascii="宋体" w:hAnsi="宋体" w:eastAsia="宋体" w:cs="宋体"/>
                <w:color w:val="auto"/>
                <w:szCs w:val="21"/>
                <w:highlight w:val="none"/>
              </w:rPr>
            </w:pPr>
          </w:p>
        </w:tc>
        <w:tc>
          <w:tcPr>
            <w:tcW w:w="973" w:type="dxa"/>
            <w:noWrap w:val="0"/>
            <w:vAlign w:val="top"/>
          </w:tcPr>
          <w:p w14:paraId="715BE1E8">
            <w:pPr>
              <w:spacing w:line="360" w:lineRule="auto"/>
              <w:rPr>
                <w:rFonts w:hint="eastAsia" w:ascii="宋体" w:hAnsi="宋体" w:eastAsia="宋体" w:cs="宋体"/>
                <w:color w:val="auto"/>
                <w:szCs w:val="21"/>
                <w:highlight w:val="none"/>
              </w:rPr>
            </w:pPr>
          </w:p>
        </w:tc>
        <w:tc>
          <w:tcPr>
            <w:tcW w:w="1080" w:type="dxa"/>
            <w:noWrap w:val="0"/>
            <w:vAlign w:val="top"/>
          </w:tcPr>
          <w:p w14:paraId="5DC57CA1">
            <w:pPr>
              <w:spacing w:line="360" w:lineRule="auto"/>
              <w:rPr>
                <w:rFonts w:hint="eastAsia" w:ascii="宋体" w:hAnsi="宋体" w:eastAsia="宋体" w:cs="宋体"/>
                <w:color w:val="auto"/>
                <w:szCs w:val="21"/>
                <w:highlight w:val="none"/>
              </w:rPr>
            </w:pPr>
          </w:p>
        </w:tc>
        <w:tc>
          <w:tcPr>
            <w:tcW w:w="1080" w:type="dxa"/>
            <w:noWrap w:val="0"/>
            <w:vAlign w:val="top"/>
          </w:tcPr>
          <w:p w14:paraId="019D9047">
            <w:pPr>
              <w:spacing w:line="360" w:lineRule="auto"/>
              <w:rPr>
                <w:rFonts w:hint="eastAsia" w:ascii="宋体" w:hAnsi="宋体" w:eastAsia="宋体" w:cs="宋体"/>
                <w:color w:val="auto"/>
                <w:szCs w:val="21"/>
                <w:highlight w:val="none"/>
              </w:rPr>
            </w:pPr>
          </w:p>
        </w:tc>
      </w:tr>
      <w:tr w14:paraId="67F2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noWrap w:val="0"/>
            <w:vAlign w:val="top"/>
          </w:tcPr>
          <w:p w14:paraId="269A9B06">
            <w:pPr>
              <w:spacing w:line="360" w:lineRule="auto"/>
              <w:rPr>
                <w:rFonts w:hint="eastAsia" w:ascii="宋体" w:hAnsi="宋体" w:eastAsia="宋体" w:cs="宋体"/>
                <w:color w:val="auto"/>
                <w:szCs w:val="21"/>
                <w:highlight w:val="none"/>
              </w:rPr>
            </w:pPr>
          </w:p>
        </w:tc>
        <w:tc>
          <w:tcPr>
            <w:tcW w:w="1185" w:type="dxa"/>
            <w:noWrap w:val="0"/>
            <w:vAlign w:val="top"/>
          </w:tcPr>
          <w:p w14:paraId="0195B7BC">
            <w:pPr>
              <w:spacing w:line="360" w:lineRule="auto"/>
              <w:rPr>
                <w:rFonts w:hint="eastAsia" w:ascii="宋体" w:hAnsi="宋体" w:eastAsia="宋体" w:cs="宋体"/>
                <w:color w:val="auto"/>
                <w:szCs w:val="21"/>
                <w:highlight w:val="none"/>
              </w:rPr>
            </w:pPr>
          </w:p>
        </w:tc>
        <w:tc>
          <w:tcPr>
            <w:tcW w:w="795" w:type="dxa"/>
            <w:noWrap w:val="0"/>
            <w:vAlign w:val="top"/>
          </w:tcPr>
          <w:p w14:paraId="19EA9B00">
            <w:pPr>
              <w:spacing w:line="360" w:lineRule="auto"/>
              <w:rPr>
                <w:rFonts w:hint="eastAsia" w:ascii="宋体" w:hAnsi="宋体" w:eastAsia="宋体" w:cs="宋体"/>
                <w:color w:val="auto"/>
                <w:szCs w:val="21"/>
                <w:highlight w:val="none"/>
              </w:rPr>
            </w:pPr>
          </w:p>
        </w:tc>
        <w:tc>
          <w:tcPr>
            <w:tcW w:w="816" w:type="dxa"/>
            <w:noWrap w:val="0"/>
            <w:vAlign w:val="top"/>
          </w:tcPr>
          <w:p w14:paraId="7CAA63EB">
            <w:pPr>
              <w:spacing w:line="360" w:lineRule="auto"/>
              <w:rPr>
                <w:rFonts w:hint="eastAsia" w:ascii="宋体" w:hAnsi="宋体" w:eastAsia="宋体" w:cs="宋体"/>
                <w:color w:val="auto"/>
                <w:szCs w:val="21"/>
                <w:highlight w:val="none"/>
              </w:rPr>
            </w:pPr>
          </w:p>
        </w:tc>
        <w:tc>
          <w:tcPr>
            <w:tcW w:w="816" w:type="dxa"/>
            <w:noWrap w:val="0"/>
            <w:vAlign w:val="top"/>
          </w:tcPr>
          <w:p w14:paraId="7057561C">
            <w:pPr>
              <w:spacing w:line="360" w:lineRule="auto"/>
              <w:rPr>
                <w:rFonts w:hint="eastAsia" w:ascii="宋体" w:hAnsi="宋体" w:eastAsia="宋体" w:cs="宋体"/>
                <w:color w:val="auto"/>
                <w:szCs w:val="21"/>
                <w:highlight w:val="none"/>
              </w:rPr>
            </w:pPr>
          </w:p>
        </w:tc>
        <w:tc>
          <w:tcPr>
            <w:tcW w:w="1080" w:type="dxa"/>
            <w:noWrap w:val="0"/>
            <w:vAlign w:val="top"/>
          </w:tcPr>
          <w:p w14:paraId="17BEBC3C">
            <w:pPr>
              <w:spacing w:line="360" w:lineRule="auto"/>
              <w:rPr>
                <w:rFonts w:hint="eastAsia" w:ascii="宋体" w:hAnsi="宋体" w:eastAsia="宋体" w:cs="宋体"/>
                <w:color w:val="auto"/>
                <w:szCs w:val="21"/>
                <w:highlight w:val="none"/>
              </w:rPr>
            </w:pPr>
          </w:p>
        </w:tc>
        <w:tc>
          <w:tcPr>
            <w:tcW w:w="1260" w:type="dxa"/>
            <w:noWrap w:val="0"/>
            <w:vAlign w:val="top"/>
          </w:tcPr>
          <w:p w14:paraId="63E68CDC">
            <w:pPr>
              <w:spacing w:line="360" w:lineRule="auto"/>
              <w:rPr>
                <w:rFonts w:hint="eastAsia" w:ascii="宋体" w:hAnsi="宋体" w:eastAsia="宋体" w:cs="宋体"/>
                <w:color w:val="auto"/>
                <w:szCs w:val="21"/>
                <w:highlight w:val="none"/>
              </w:rPr>
            </w:pPr>
          </w:p>
        </w:tc>
        <w:tc>
          <w:tcPr>
            <w:tcW w:w="973" w:type="dxa"/>
            <w:noWrap w:val="0"/>
            <w:vAlign w:val="top"/>
          </w:tcPr>
          <w:p w14:paraId="4DDF52DF">
            <w:pPr>
              <w:spacing w:line="360" w:lineRule="auto"/>
              <w:rPr>
                <w:rFonts w:hint="eastAsia" w:ascii="宋体" w:hAnsi="宋体" w:eastAsia="宋体" w:cs="宋体"/>
                <w:color w:val="auto"/>
                <w:szCs w:val="21"/>
                <w:highlight w:val="none"/>
              </w:rPr>
            </w:pPr>
          </w:p>
        </w:tc>
        <w:tc>
          <w:tcPr>
            <w:tcW w:w="1080" w:type="dxa"/>
            <w:noWrap w:val="0"/>
            <w:vAlign w:val="top"/>
          </w:tcPr>
          <w:p w14:paraId="3B6D9217">
            <w:pPr>
              <w:spacing w:line="360" w:lineRule="auto"/>
              <w:rPr>
                <w:rFonts w:hint="eastAsia" w:ascii="宋体" w:hAnsi="宋体" w:eastAsia="宋体" w:cs="宋体"/>
                <w:color w:val="auto"/>
                <w:szCs w:val="21"/>
                <w:highlight w:val="none"/>
              </w:rPr>
            </w:pPr>
          </w:p>
        </w:tc>
        <w:tc>
          <w:tcPr>
            <w:tcW w:w="1080" w:type="dxa"/>
            <w:noWrap w:val="0"/>
            <w:vAlign w:val="top"/>
          </w:tcPr>
          <w:p w14:paraId="2685D3F6">
            <w:pPr>
              <w:spacing w:line="360" w:lineRule="auto"/>
              <w:rPr>
                <w:rFonts w:hint="eastAsia" w:ascii="宋体" w:hAnsi="宋体" w:eastAsia="宋体" w:cs="宋体"/>
                <w:color w:val="auto"/>
                <w:szCs w:val="21"/>
                <w:highlight w:val="none"/>
              </w:rPr>
            </w:pPr>
          </w:p>
        </w:tc>
      </w:tr>
      <w:tr w14:paraId="532B9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noWrap w:val="0"/>
            <w:vAlign w:val="top"/>
          </w:tcPr>
          <w:p w14:paraId="48126975">
            <w:pPr>
              <w:spacing w:line="360" w:lineRule="auto"/>
              <w:rPr>
                <w:rFonts w:hint="eastAsia" w:ascii="宋体" w:hAnsi="宋体" w:eastAsia="宋体" w:cs="宋体"/>
                <w:color w:val="auto"/>
                <w:szCs w:val="21"/>
                <w:highlight w:val="none"/>
              </w:rPr>
            </w:pPr>
          </w:p>
        </w:tc>
        <w:tc>
          <w:tcPr>
            <w:tcW w:w="1185" w:type="dxa"/>
            <w:noWrap w:val="0"/>
            <w:vAlign w:val="top"/>
          </w:tcPr>
          <w:p w14:paraId="0811D82D">
            <w:pPr>
              <w:spacing w:line="360" w:lineRule="auto"/>
              <w:rPr>
                <w:rFonts w:hint="eastAsia" w:ascii="宋体" w:hAnsi="宋体" w:eastAsia="宋体" w:cs="宋体"/>
                <w:color w:val="auto"/>
                <w:szCs w:val="21"/>
                <w:highlight w:val="none"/>
              </w:rPr>
            </w:pPr>
          </w:p>
        </w:tc>
        <w:tc>
          <w:tcPr>
            <w:tcW w:w="795" w:type="dxa"/>
            <w:noWrap w:val="0"/>
            <w:vAlign w:val="top"/>
          </w:tcPr>
          <w:p w14:paraId="7C6D59C2">
            <w:pPr>
              <w:spacing w:line="360" w:lineRule="auto"/>
              <w:rPr>
                <w:rFonts w:hint="eastAsia" w:ascii="宋体" w:hAnsi="宋体" w:eastAsia="宋体" w:cs="宋体"/>
                <w:color w:val="auto"/>
                <w:szCs w:val="21"/>
                <w:highlight w:val="none"/>
              </w:rPr>
            </w:pPr>
          </w:p>
        </w:tc>
        <w:tc>
          <w:tcPr>
            <w:tcW w:w="816" w:type="dxa"/>
            <w:noWrap w:val="0"/>
            <w:vAlign w:val="top"/>
          </w:tcPr>
          <w:p w14:paraId="7CA6ABB3">
            <w:pPr>
              <w:spacing w:line="360" w:lineRule="auto"/>
              <w:rPr>
                <w:rFonts w:hint="eastAsia" w:ascii="宋体" w:hAnsi="宋体" w:eastAsia="宋体" w:cs="宋体"/>
                <w:color w:val="auto"/>
                <w:szCs w:val="21"/>
                <w:highlight w:val="none"/>
              </w:rPr>
            </w:pPr>
          </w:p>
        </w:tc>
        <w:tc>
          <w:tcPr>
            <w:tcW w:w="816" w:type="dxa"/>
            <w:noWrap w:val="0"/>
            <w:vAlign w:val="top"/>
          </w:tcPr>
          <w:p w14:paraId="2BC52731">
            <w:pPr>
              <w:spacing w:line="360" w:lineRule="auto"/>
              <w:rPr>
                <w:rFonts w:hint="eastAsia" w:ascii="宋体" w:hAnsi="宋体" w:eastAsia="宋体" w:cs="宋体"/>
                <w:color w:val="auto"/>
                <w:szCs w:val="21"/>
                <w:highlight w:val="none"/>
              </w:rPr>
            </w:pPr>
          </w:p>
        </w:tc>
        <w:tc>
          <w:tcPr>
            <w:tcW w:w="1080" w:type="dxa"/>
            <w:noWrap w:val="0"/>
            <w:vAlign w:val="top"/>
          </w:tcPr>
          <w:p w14:paraId="451D0C50">
            <w:pPr>
              <w:spacing w:line="360" w:lineRule="auto"/>
              <w:rPr>
                <w:rFonts w:hint="eastAsia" w:ascii="宋体" w:hAnsi="宋体" w:eastAsia="宋体" w:cs="宋体"/>
                <w:color w:val="auto"/>
                <w:szCs w:val="21"/>
                <w:highlight w:val="none"/>
              </w:rPr>
            </w:pPr>
          </w:p>
        </w:tc>
        <w:tc>
          <w:tcPr>
            <w:tcW w:w="1260" w:type="dxa"/>
            <w:noWrap w:val="0"/>
            <w:vAlign w:val="top"/>
          </w:tcPr>
          <w:p w14:paraId="3BFD4AEB">
            <w:pPr>
              <w:spacing w:line="360" w:lineRule="auto"/>
              <w:rPr>
                <w:rFonts w:hint="eastAsia" w:ascii="宋体" w:hAnsi="宋体" w:eastAsia="宋体" w:cs="宋体"/>
                <w:color w:val="auto"/>
                <w:szCs w:val="21"/>
                <w:highlight w:val="none"/>
              </w:rPr>
            </w:pPr>
          </w:p>
        </w:tc>
        <w:tc>
          <w:tcPr>
            <w:tcW w:w="973" w:type="dxa"/>
            <w:noWrap w:val="0"/>
            <w:vAlign w:val="top"/>
          </w:tcPr>
          <w:p w14:paraId="4569641B">
            <w:pPr>
              <w:spacing w:line="360" w:lineRule="auto"/>
              <w:rPr>
                <w:rFonts w:hint="eastAsia" w:ascii="宋体" w:hAnsi="宋体" w:eastAsia="宋体" w:cs="宋体"/>
                <w:color w:val="auto"/>
                <w:szCs w:val="21"/>
                <w:highlight w:val="none"/>
              </w:rPr>
            </w:pPr>
          </w:p>
        </w:tc>
        <w:tc>
          <w:tcPr>
            <w:tcW w:w="1080" w:type="dxa"/>
            <w:noWrap w:val="0"/>
            <w:vAlign w:val="top"/>
          </w:tcPr>
          <w:p w14:paraId="7B9564B0">
            <w:pPr>
              <w:spacing w:line="360" w:lineRule="auto"/>
              <w:rPr>
                <w:rFonts w:hint="eastAsia" w:ascii="宋体" w:hAnsi="宋体" w:eastAsia="宋体" w:cs="宋体"/>
                <w:color w:val="auto"/>
                <w:szCs w:val="21"/>
                <w:highlight w:val="none"/>
              </w:rPr>
            </w:pPr>
          </w:p>
        </w:tc>
        <w:tc>
          <w:tcPr>
            <w:tcW w:w="1080" w:type="dxa"/>
            <w:noWrap w:val="0"/>
            <w:vAlign w:val="top"/>
          </w:tcPr>
          <w:p w14:paraId="2C4AE599">
            <w:pPr>
              <w:spacing w:line="360" w:lineRule="auto"/>
              <w:rPr>
                <w:rFonts w:hint="eastAsia" w:ascii="宋体" w:hAnsi="宋体" w:eastAsia="宋体" w:cs="宋体"/>
                <w:color w:val="auto"/>
                <w:szCs w:val="21"/>
                <w:highlight w:val="none"/>
              </w:rPr>
            </w:pPr>
          </w:p>
        </w:tc>
      </w:tr>
      <w:tr w14:paraId="44406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noWrap w:val="0"/>
            <w:vAlign w:val="top"/>
          </w:tcPr>
          <w:p w14:paraId="1FDFA477">
            <w:pPr>
              <w:spacing w:line="360" w:lineRule="auto"/>
              <w:rPr>
                <w:rFonts w:hint="eastAsia" w:ascii="宋体" w:hAnsi="宋体" w:eastAsia="宋体" w:cs="宋体"/>
                <w:color w:val="auto"/>
                <w:szCs w:val="21"/>
                <w:highlight w:val="none"/>
              </w:rPr>
            </w:pPr>
          </w:p>
        </w:tc>
        <w:tc>
          <w:tcPr>
            <w:tcW w:w="1185" w:type="dxa"/>
            <w:noWrap w:val="0"/>
            <w:vAlign w:val="top"/>
          </w:tcPr>
          <w:p w14:paraId="29563F1D">
            <w:pPr>
              <w:spacing w:line="360" w:lineRule="auto"/>
              <w:rPr>
                <w:rFonts w:hint="eastAsia" w:ascii="宋体" w:hAnsi="宋体" w:eastAsia="宋体" w:cs="宋体"/>
                <w:color w:val="auto"/>
                <w:szCs w:val="21"/>
                <w:highlight w:val="none"/>
              </w:rPr>
            </w:pPr>
          </w:p>
        </w:tc>
        <w:tc>
          <w:tcPr>
            <w:tcW w:w="795" w:type="dxa"/>
            <w:noWrap w:val="0"/>
            <w:vAlign w:val="top"/>
          </w:tcPr>
          <w:p w14:paraId="719F5BC7">
            <w:pPr>
              <w:spacing w:line="360" w:lineRule="auto"/>
              <w:rPr>
                <w:rFonts w:hint="eastAsia" w:ascii="宋体" w:hAnsi="宋体" w:eastAsia="宋体" w:cs="宋体"/>
                <w:color w:val="auto"/>
                <w:szCs w:val="21"/>
                <w:highlight w:val="none"/>
              </w:rPr>
            </w:pPr>
          </w:p>
        </w:tc>
        <w:tc>
          <w:tcPr>
            <w:tcW w:w="816" w:type="dxa"/>
            <w:noWrap w:val="0"/>
            <w:vAlign w:val="top"/>
          </w:tcPr>
          <w:p w14:paraId="42137F33">
            <w:pPr>
              <w:spacing w:line="360" w:lineRule="auto"/>
              <w:rPr>
                <w:rFonts w:hint="eastAsia" w:ascii="宋体" w:hAnsi="宋体" w:eastAsia="宋体" w:cs="宋体"/>
                <w:color w:val="auto"/>
                <w:szCs w:val="21"/>
                <w:highlight w:val="none"/>
              </w:rPr>
            </w:pPr>
          </w:p>
        </w:tc>
        <w:tc>
          <w:tcPr>
            <w:tcW w:w="816" w:type="dxa"/>
            <w:noWrap w:val="0"/>
            <w:vAlign w:val="top"/>
          </w:tcPr>
          <w:p w14:paraId="0B460265">
            <w:pPr>
              <w:spacing w:line="360" w:lineRule="auto"/>
              <w:rPr>
                <w:rFonts w:hint="eastAsia" w:ascii="宋体" w:hAnsi="宋体" w:eastAsia="宋体" w:cs="宋体"/>
                <w:color w:val="auto"/>
                <w:szCs w:val="21"/>
                <w:highlight w:val="none"/>
              </w:rPr>
            </w:pPr>
          </w:p>
        </w:tc>
        <w:tc>
          <w:tcPr>
            <w:tcW w:w="1080" w:type="dxa"/>
            <w:noWrap w:val="0"/>
            <w:vAlign w:val="top"/>
          </w:tcPr>
          <w:p w14:paraId="5DF41AD9">
            <w:pPr>
              <w:spacing w:line="360" w:lineRule="auto"/>
              <w:rPr>
                <w:rFonts w:hint="eastAsia" w:ascii="宋体" w:hAnsi="宋体" w:eastAsia="宋体" w:cs="宋体"/>
                <w:color w:val="auto"/>
                <w:szCs w:val="21"/>
                <w:highlight w:val="none"/>
              </w:rPr>
            </w:pPr>
          </w:p>
        </w:tc>
        <w:tc>
          <w:tcPr>
            <w:tcW w:w="1260" w:type="dxa"/>
            <w:noWrap w:val="0"/>
            <w:vAlign w:val="top"/>
          </w:tcPr>
          <w:p w14:paraId="1504E81D">
            <w:pPr>
              <w:spacing w:line="360" w:lineRule="auto"/>
              <w:rPr>
                <w:rFonts w:hint="eastAsia" w:ascii="宋体" w:hAnsi="宋体" w:eastAsia="宋体" w:cs="宋体"/>
                <w:color w:val="auto"/>
                <w:szCs w:val="21"/>
                <w:highlight w:val="none"/>
              </w:rPr>
            </w:pPr>
          </w:p>
        </w:tc>
        <w:tc>
          <w:tcPr>
            <w:tcW w:w="973" w:type="dxa"/>
            <w:noWrap w:val="0"/>
            <w:vAlign w:val="top"/>
          </w:tcPr>
          <w:p w14:paraId="3A6BC284">
            <w:pPr>
              <w:spacing w:line="360" w:lineRule="auto"/>
              <w:rPr>
                <w:rFonts w:hint="eastAsia" w:ascii="宋体" w:hAnsi="宋体" w:eastAsia="宋体" w:cs="宋体"/>
                <w:color w:val="auto"/>
                <w:szCs w:val="21"/>
                <w:highlight w:val="none"/>
              </w:rPr>
            </w:pPr>
          </w:p>
        </w:tc>
        <w:tc>
          <w:tcPr>
            <w:tcW w:w="1080" w:type="dxa"/>
            <w:noWrap w:val="0"/>
            <w:vAlign w:val="top"/>
          </w:tcPr>
          <w:p w14:paraId="58121072">
            <w:pPr>
              <w:spacing w:line="360" w:lineRule="auto"/>
              <w:rPr>
                <w:rFonts w:hint="eastAsia" w:ascii="宋体" w:hAnsi="宋体" w:eastAsia="宋体" w:cs="宋体"/>
                <w:color w:val="auto"/>
                <w:szCs w:val="21"/>
                <w:highlight w:val="none"/>
              </w:rPr>
            </w:pPr>
          </w:p>
        </w:tc>
        <w:tc>
          <w:tcPr>
            <w:tcW w:w="1080" w:type="dxa"/>
            <w:noWrap w:val="0"/>
            <w:vAlign w:val="top"/>
          </w:tcPr>
          <w:p w14:paraId="6FA5845B">
            <w:pPr>
              <w:spacing w:line="360" w:lineRule="auto"/>
              <w:rPr>
                <w:rFonts w:hint="eastAsia" w:ascii="宋体" w:hAnsi="宋体" w:eastAsia="宋体" w:cs="宋体"/>
                <w:color w:val="auto"/>
                <w:szCs w:val="21"/>
                <w:highlight w:val="none"/>
              </w:rPr>
            </w:pPr>
          </w:p>
        </w:tc>
      </w:tr>
      <w:tr w14:paraId="18FB7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noWrap w:val="0"/>
            <w:vAlign w:val="top"/>
          </w:tcPr>
          <w:p w14:paraId="1D340350">
            <w:pPr>
              <w:spacing w:line="360" w:lineRule="auto"/>
              <w:rPr>
                <w:rFonts w:hint="eastAsia" w:ascii="宋体" w:hAnsi="宋体" w:eastAsia="宋体" w:cs="宋体"/>
                <w:color w:val="auto"/>
                <w:szCs w:val="21"/>
                <w:highlight w:val="none"/>
              </w:rPr>
            </w:pPr>
          </w:p>
        </w:tc>
        <w:tc>
          <w:tcPr>
            <w:tcW w:w="1185" w:type="dxa"/>
            <w:noWrap w:val="0"/>
            <w:vAlign w:val="top"/>
          </w:tcPr>
          <w:p w14:paraId="341FAADF">
            <w:pPr>
              <w:spacing w:line="360" w:lineRule="auto"/>
              <w:rPr>
                <w:rFonts w:hint="eastAsia" w:ascii="宋体" w:hAnsi="宋体" w:eastAsia="宋体" w:cs="宋体"/>
                <w:color w:val="auto"/>
                <w:szCs w:val="21"/>
                <w:highlight w:val="none"/>
              </w:rPr>
            </w:pPr>
          </w:p>
        </w:tc>
        <w:tc>
          <w:tcPr>
            <w:tcW w:w="795" w:type="dxa"/>
            <w:noWrap w:val="0"/>
            <w:vAlign w:val="top"/>
          </w:tcPr>
          <w:p w14:paraId="432E54C8">
            <w:pPr>
              <w:spacing w:line="360" w:lineRule="auto"/>
              <w:rPr>
                <w:rFonts w:hint="eastAsia" w:ascii="宋体" w:hAnsi="宋体" w:eastAsia="宋体" w:cs="宋体"/>
                <w:color w:val="auto"/>
                <w:szCs w:val="21"/>
                <w:highlight w:val="none"/>
              </w:rPr>
            </w:pPr>
          </w:p>
        </w:tc>
        <w:tc>
          <w:tcPr>
            <w:tcW w:w="816" w:type="dxa"/>
            <w:noWrap w:val="0"/>
            <w:vAlign w:val="top"/>
          </w:tcPr>
          <w:p w14:paraId="71CAC558">
            <w:pPr>
              <w:spacing w:line="360" w:lineRule="auto"/>
              <w:rPr>
                <w:rFonts w:hint="eastAsia" w:ascii="宋体" w:hAnsi="宋体" w:eastAsia="宋体" w:cs="宋体"/>
                <w:color w:val="auto"/>
                <w:szCs w:val="21"/>
                <w:highlight w:val="none"/>
              </w:rPr>
            </w:pPr>
          </w:p>
        </w:tc>
        <w:tc>
          <w:tcPr>
            <w:tcW w:w="816" w:type="dxa"/>
            <w:noWrap w:val="0"/>
            <w:vAlign w:val="top"/>
          </w:tcPr>
          <w:p w14:paraId="0C73466D">
            <w:pPr>
              <w:spacing w:line="360" w:lineRule="auto"/>
              <w:rPr>
                <w:rFonts w:hint="eastAsia" w:ascii="宋体" w:hAnsi="宋体" w:eastAsia="宋体" w:cs="宋体"/>
                <w:color w:val="auto"/>
                <w:szCs w:val="21"/>
                <w:highlight w:val="none"/>
              </w:rPr>
            </w:pPr>
          </w:p>
        </w:tc>
        <w:tc>
          <w:tcPr>
            <w:tcW w:w="1080" w:type="dxa"/>
            <w:noWrap w:val="0"/>
            <w:vAlign w:val="top"/>
          </w:tcPr>
          <w:p w14:paraId="0CEE7890">
            <w:pPr>
              <w:spacing w:line="360" w:lineRule="auto"/>
              <w:rPr>
                <w:rFonts w:hint="eastAsia" w:ascii="宋体" w:hAnsi="宋体" w:eastAsia="宋体" w:cs="宋体"/>
                <w:color w:val="auto"/>
                <w:szCs w:val="21"/>
                <w:highlight w:val="none"/>
              </w:rPr>
            </w:pPr>
          </w:p>
        </w:tc>
        <w:tc>
          <w:tcPr>
            <w:tcW w:w="1260" w:type="dxa"/>
            <w:noWrap w:val="0"/>
            <w:vAlign w:val="top"/>
          </w:tcPr>
          <w:p w14:paraId="5607C4CA">
            <w:pPr>
              <w:spacing w:line="360" w:lineRule="auto"/>
              <w:rPr>
                <w:rFonts w:hint="eastAsia" w:ascii="宋体" w:hAnsi="宋体" w:eastAsia="宋体" w:cs="宋体"/>
                <w:color w:val="auto"/>
                <w:szCs w:val="21"/>
                <w:highlight w:val="none"/>
              </w:rPr>
            </w:pPr>
          </w:p>
        </w:tc>
        <w:tc>
          <w:tcPr>
            <w:tcW w:w="973" w:type="dxa"/>
            <w:noWrap w:val="0"/>
            <w:vAlign w:val="top"/>
          </w:tcPr>
          <w:p w14:paraId="39A58135">
            <w:pPr>
              <w:spacing w:line="360" w:lineRule="auto"/>
              <w:rPr>
                <w:rFonts w:hint="eastAsia" w:ascii="宋体" w:hAnsi="宋体" w:eastAsia="宋体" w:cs="宋体"/>
                <w:color w:val="auto"/>
                <w:szCs w:val="21"/>
                <w:highlight w:val="none"/>
              </w:rPr>
            </w:pPr>
          </w:p>
        </w:tc>
        <w:tc>
          <w:tcPr>
            <w:tcW w:w="1080" w:type="dxa"/>
            <w:noWrap w:val="0"/>
            <w:vAlign w:val="top"/>
          </w:tcPr>
          <w:p w14:paraId="45977F8A">
            <w:pPr>
              <w:spacing w:line="360" w:lineRule="auto"/>
              <w:rPr>
                <w:rFonts w:hint="eastAsia" w:ascii="宋体" w:hAnsi="宋体" w:eastAsia="宋体" w:cs="宋体"/>
                <w:color w:val="auto"/>
                <w:szCs w:val="21"/>
                <w:highlight w:val="none"/>
              </w:rPr>
            </w:pPr>
          </w:p>
        </w:tc>
        <w:tc>
          <w:tcPr>
            <w:tcW w:w="1080" w:type="dxa"/>
            <w:noWrap w:val="0"/>
            <w:vAlign w:val="top"/>
          </w:tcPr>
          <w:p w14:paraId="674DBFAB">
            <w:pPr>
              <w:spacing w:line="360" w:lineRule="auto"/>
              <w:rPr>
                <w:rFonts w:hint="eastAsia" w:ascii="宋体" w:hAnsi="宋体" w:eastAsia="宋体" w:cs="宋体"/>
                <w:color w:val="auto"/>
                <w:szCs w:val="21"/>
                <w:highlight w:val="none"/>
              </w:rPr>
            </w:pPr>
          </w:p>
        </w:tc>
      </w:tr>
      <w:tr w14:paraId="32203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noWrap w:val="0"/>
            <w:vAlign w:val="top"/>
          </w:tcPr>
          <w:p w14:paraId="4B370963">
            <w:pPr>
              <w:spacing w:line="360" w:lineRule="auto"/>
              <w:rPr>
                <w:rFonts w:hint="eastAsia" w:ascii="宋体" w:hAnsi="宋体" w:eastAsia="宋体" w:cs="宋体"/>
                <w:color w:val="auto"/>
                <w:szCs w:val="21"/>
                <w:highlight w:val="none"/>
              </w:rPr>
            </w:pPr>
          </w:p>
        </w:tc>
        <w:tc>
          <w:tcPr>
            <w:tcW w:w="1185" w:type="dxa"/>
            <w:noWrap w:val="0"/>
            <w:vAlign w:val="top"/>
          </w:tcPr>
          <w:p w14:paraId="0495AFB7">
            <w:pPr>
              <w:spacing w:line="360" w:lineRule="auto"/>
              <w:rPr>
                <w:rFonts w:hint="eastAsia" w:ascii="宋体" w:hAnsi="宋体" w:eastAsia="宋体" w:cs="宋体"/>
                <w:color w:val="auto"/>
                <w:szCs w:val="21"/>
                <w:highlight w:val="none"/>
              </w:rPr>
            </w:pPr>
          </w:p>
        </w:tc>
        <w:tc>
          <w:tcPr>
            <w:tcW w:w="795" w:type="dxa"/>
            <w:noWrap w:val="0"/>
            <w:vAlign w:val="top"/>
          </w:tcPr>
          <w:p w14:paraId="4C7A5965">
            <w:pPr>
              <w:spacing w:line="360" w:lineRule="auto"/>
              <w:rPr>
                <w:rFonts w:hint="eastAsia" w:ascii="宋体" w:hAnsi="宋体" w:eastAsia="宋体" w:cs="宋体"/>
                <w:color w:val="auto"/>
                <w:szCs w:val="21"/>
                <w:highlight w:val="none"/>
              </w:rPr>
            </w:pPr>
          </w:p>
        </w:tc>
        <w:tc>
          <w:tcPr>
            <w:tcW w:w="816" w:type="dxa"/>
            <w:noWrap w:val="0"/>
            <w:vAlign w:val="top"/>
          </w:tcPr>
          <w:p w14:paraId="0E49A5CE">
            <w:pPr>
              <w:spacing w:line="360" w:lineRule="auto"/>
              <w:rPr>
                <w:rFonts w:hint="eastAsia" w:ascii="宋体" w:hAnsi="宋体" w:eastAsia="宋体" w:cs="宋体"/>
                <w:color w:val="auto"/>
                <w:szCs w:val="21"/>
                <w:highlight w:val="none"/>
              </w:rPr>
            </w:pPr>
          </w:p>
        </w:tc>
        <w:tc>
          <w:tcPr>
            <w:tcW w:w="816" w:type="dxa"/>
            <w:noWrap w:val="0"/>
            <w:vAlign w:val="top"/>
          </w:tcPr>
          <w:p w14:paraId="70A20987">
            <w:pPr>
              <w:spacing w:line="360" w:lineRule="auto"/>
              <w:rPr>
                <w:rFonts w:hint="eastAsia" w:ascii="宋体" w:hAnsi="宋体" w:eastAsia="宋体" w:cs="宋体"/>
                <w:color w:val="auto"/>
                <w:szCs w:val="21"/>
                <w:highlight w:val="none"/>
              </w:rPr>
            </w:pPr>
          </w:p>
        </w:tc>
        <w:tc>
          <w:tcPr>
            <w:tcW w:w="1080" w:type="dxa"/>
            <w:noWrap w:val="0"/>
            <w:vAlign w:val="top"/>
          </w:tcPr>
          <w:p w14:paraId="4C3EA463">
            <w:pPr>
              <w:spacing w:line="360" w:lineRule="auto"/>
              <w:rPr>
                <w:rFonts w:hint="eastAsia" w:ascii="宋体" w:hAnsi="宋体" w:eastAsia="宋体" w:cs="宋体"/>
                <w:color w:val="auto"/>
                <w:szCs w:val="21"/>
                <w:highlight w:val="none"/>
              </w:rPr>
            </w:pPr>
          </w:p>
        </w:tc>
        <w:tc>
          <w:tcPr>
            <w:tcW w:w="1260" w:type="dxa"/>
            <w:noWrap w:val="0"/>
            <w:vAlign w:val="top"/>
          </w:tcPr>
          <w:p w14:paraId="0D237AD3">
            <w:pPr>
              <w:spacing w:line="360" w:lineRule="auto"/>
              <w:rPr>
                <w:rFonts w:hint="eastAsia" w:ascii="宋体" w:hAnsi="宋体" w:eastAsia="宋体" w:cs="宋体"/>
                <w:color w:val="auto"/>
                <w:szCs w:val="21"/>
                <w:highlight w:val="none"/>
              </w:rPr>
            </w:pPr>
          </w:p>
        </w:tc>
        <w:tc>
          <w:tcPr>
            <w:tcW w:w="973" w:type="dxa"/>
            <w:noWrap w:val="0"/>
            <w:vAlign w:val="top"/>
          </w:tcPr>
          <w:p w14:paraId="305934CE">
            <w:pPr>
              <w:spacing w:line="360" w:lineRule="auto"/>
              <w:rPr>
                <w:rFonts w:hint="eastAsia" w:ascii="宋体" w:hAnsi="宋体" w:eastAsia="宋体" w:cs="宋体"/>
                <w:color w:val="auto"/>
                <w:szCs w:val="21"/>
                <w:highlight w:val="none"/>
              </w:rPr>
            </w:pPr>
          </w:p>
        </w:tc>
        <w:tc>
          <w:tcPr>
            <w:tcW w:w="1080" w:type="dxa"/>
            <w:noWrap w:val="0"/>
            <w:vAlign w:val="top"/>
          </w:tcPr>
          <w:p w14:paraId="0417F424">
            <w:pPr>
              <w:spacing w:line="360" w:lineRule="auto"/>
              <w:rPr>
                <w:rFonts w:hint="eastAsia" w:ascii="宋体" w:hAnsi="宋体" w:eastAsia="宋体" w:cs="宋体"/>
                <w:color w:val="auto"/>
                <w:szCs w:val="21"/>
                <w:highlight w:val="none"/>
              </w:rPr>
            </w:pPr>
          </w:p>
        </w:tc>
        <w:tc>
          <w:tcPr>
            <w:tcW w:w="1080" w:type="dxa"/>
            <w:noWrap w:val="0"/>
            <w:vAlign w:val="top"/>
          </w:tcPr>
          <w:p w14:paraId="4DC8C852">
            <w:pPr>
              <w:spacing w:line="360" w:lineRule="auto"/>
              <w:rPr>
                <w:rFonts w:hint="eastAsia" w:ascii="宋体" w:hAnsi="宋体" w:eastAsia="宋体" w:cs="宋体"/>
                <w:color w:val="auto"/>
                <w:szCs w:val="21"/>
                <w:highlight w:val="none"/>
              </w:rPr>
            </w:pPr>
          </w:p>
        </w:tc>
      </w:tr>
      <w:tr w14:paraId="7F653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noWrap w:val="0"/>
            <w:vAlign w:val="top"/>
          </w:tcPr>
          <w:p w14:paraId="4EBA8011">
            <w:pPr>
              <w:spacing w:line="360" w:lineRule="auto"/>
              <w:rPr>
                <w:rFonts w:hint="eastAsia" w:ascii="宋体" w:hAnsi="宋体" w:eastAsia="宋体" w:cs="宋体"/>
                <w:color w:val="auto"/>
                <w:szCs w:val="21"/>
                <w:highlight w:val="none"/>
              </w:rPr>
            </w:pPr>
          </w:p>
        </w:tc>
        <w:tc>
          <w:tcPr>
            <w:tcW w:w="1185" w:type="dxa"/>
            <w:noWrap w:val="0"/>
            <w:vAlign w:val="top"/>
          </w:tcPr>
          <w:p w14:paraId="2BD23664">
            <w:pPr>
              <w:spacing w:line="360" w:lineRule="auto"/>
              <w:rPr>
                <w:rFonts w:hint="eastAsia" w:ascii="宋体" w:hAnsi="宋体" w:eastAsia="宋体" w:cs="宋体"/>
                <w:color w:val="auto"/>
                <w:szCs w:val="21"/>
                <w:highlight w:val="none"/>
              </w:rPr>
            </w:pPr>
          </w:p>
        </w:tc>
        <w:tc>
          <w:tcPr>
            <w:tcW w:w="795" w:type="dxa"/>
            <w:noWrap w:val="0"/>
            <w:vAlign w:val="top"/>
          </w:tcPr>
          <w:p w14:paraId="4FF167B1">
            <w:pPr>
              <w:spacing w:line="360" w:lineRule="auto"/>
              <w:rPr>
                <w:rFonts w:hint="eastAsia" w:ascii="宋体" w:hAnsi="宋体" w:eastAsia="宋体" w:cs="宋体"/>
                <w:color w:val="auto"/>
                <w:szCs w:val="21"/>
                <w:highlight w:val="none"/>
              </w:rPr>
            </w:pPr>
          </w:p>
        </w:tc>
        <w:tc>
          <w:tcPr>
            <w:tcW w:w="816" w:type="dxa"/>
            <w:noWrap w:val="0"/>
            <w:vAlign w:val="top"/>
          </w:tcPr>
          <w:p w14:paraId="0EE557C9">
            <w:pPr>
              <w:spacing w:line="360" w:lineRule="auto"/>
              <w:rPr>
                <w:rFonts w:hint="eastAsia" w:ascii="宋体" w:hAnsi="宋体" w:eastAsia="宋体" w:cs="宋体"/>
                <w:color w:val="auto"/>
                <w:szCs w:val="21"/>
                <w:highlight w:val="none"/>
              </w:rPr>
            </w:pPr>
          </w:p>
        </w:tc>
        <w:tc>
          <w:tcPr>
            <w:tcW w:w="816" w:type="dxa"/>
            <w:noWrap w:val="0"/>
            <w:vAlign w:val="top"/>
          </w:tcPr>
          <w:p w14:paraId="5C2EB2F4">
            <w:pPr>
              <w:spacing w:line="360" w:lineRule="auto"/>
              <w:rPr>
                <w:rFonts w:hint="eastAsia" w:ascii="宋体" w:hAnsi="宋体" w:eastAsia="宋体" w:cs="宋体"/>
                <w:color w:val="auto"/>
                <w:szCs w:val="21"/>
                <w:highlight w:val="none"/>
              </w:rPr>
            </w:pPr>
          </w:p>
        </w:tc>
        <w:tc>
          <w:tcPr>
            <w:tcW w:w="1080" w:type="dxa"/>
            <w:noWrap w:val="0"/>
            <w:vAlign w:val="top"/>
          </w:tcPr>
          <w:p w14:paraId="36ECF8A5">
            <w:pPr>
              <w:spacing w:line="360" w:lineRule="auto"/>
              <w:rPr>
                <w:rFonts w:hint="eastAsia" w:ascii="宋体" w:hAnsi="宋体" w:eastAsia="宋体" w:cs="宋体"/>
                <w:color w:val="auto"/>
                <w:szCs w:val="21"/>
                <w:highlight w:val="none"/>
              </w:rPr>
            </w:pPr>
          </w:p>
        </w:tc>
        <w:tc>
          <w:tcPr>
            <w:tcW w:w="1260" w:type="dxa"/>
            <w:noWrap w:val="0"/>
            <w:vAlign w:val="top"/>
          </w:tcPr>
          <w:p w14:paraId="6DB9510B">
            <w:pPr>
              <w:spacing w:line="360" w:lineRule="auto"/>
              <w:rPr>
                <w:rFonts w:hint="eastAsia" w:ascii="宋体" w:hAnsi="宋体" w:eastAsia="宋体" w:cs="宋体"/>
                <w:color w:val="auto"/>
                <w:szCs w:val="21"/>
                <w:highlight w:val="none"/>
              </w:rPr>
            </w:pPr>
          </w:p>
        </w:tc>
        <w:tc>
          <w:tcPr>
            <w:tcW w:w="973" w:type="dxa"/>
            <w:noWrap w:val="0"/>
            <w:vAlign w:val="top"/>
          </w:tcPr>
          <w:p w14:paraId="06112DB4">
            <w:pPr>
              <w:spacing w:line="360" w:lineRule="auto"/>
              <w:rPr>
                <w:rFonts w:hint="eastAsia" w:ascii="宋体" w:hAnsi="宋体" w:eastAsia="宋体" w:cs="宋体"/>
                <w:color w:val="auto"/>
                <w:szCs w:val="21"/>
                <w:highlight w:val="none"/>
              </w:rPr>
            </w:pPr>
          </w:p>
        </w:tc>
        <w:tc>
          <w:tcPr>
            <w:tcW w:w="1080" w:type="dxa"/>
            <w:noWrap w:val="0"/>
            <w:vAlign w:val="top"/>
          </w:tcPr>
          <w:p w14:paraId="3E55CEE7">
            <w:pPr>
              <w:spacing w:line="360" w:lineRule="auto"/>
              <w:rPr>
                <w:rFonts w:hint="eastAsia" w:ascii="宋体" w:hAnsi="宋体" w:eastAsia="宋体" w:cs="宋体"/>
                <w:color w:val="auto"/>
                <w:szCs w:val="21"/>
                <w:highlight w:val="none"/>
              </w:rPr>
            </w:pPr>
          </w:p>
        </w:tc>
        <w:tc>
          <w:tcPr>
            <w:tcW w:w="1080" w:type="dxa"/>
            <w:noWrap w:val="0"/>
            <w:vAlign w:val="top"/>
          </w:tcPr>
          <w:p w14:paraId="1C631ED9">
            <w:pPr>
              <w:spacing w:line="360" w:lineRule="auto"/>
              <w:rPr>
                <w:rFonts w:hint="eastAsia" w:ascii="宋体" w:hAnsi="宋体" w:eastAsia="宋体" w:cs="宋体"/>
                <w:color w:val="auto"/>
                <w:szCs w:val="21"/>
                <w:highlight w:val="none"/>
              </w:rPr>
            </w:pPr>
          </w:p>
        </w:tc>
      </w:tr>
      <w:tr w14:paraId="2B94D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noWrap w:val="0"/>
            <w:vAlign w:val="top"/>
          </w:tcPr>
          <w:p w14:paraId="42622F53">
            <w:pPr>
              <w:spacing w:line="360" w:lineRule="auto"/>
              <w:rPr>
                <w:rFonts w:hint="eastAsia" w:ascii="宋体" w:hAnsi="宋体" w:eastAsia="宋体" w:cs="宋体"/>
                <w:color w:val="auto"/>
                <w:szCs w:val="21"/>
                <w:highlight w:val="none"/>
              </w:rPr>
            </w:pPr>
          </w:p>
        </w:tc>
        <w:tc>
          <w:tcPr>
            <w:tcW w:w="1185" w:type="dxa"/>
            <w:noWrap w:val="0"/>
            <w:vAlign w:val="top"/>
          </w:tcPr>
          <w:p w14:paraId="64961FAF">
            <w:pPr>
              <w:spacing w:line="360" w:lineRule="auto"/>
              <w:rPr>
                <w:rFonts w:hint="eastAsia" w:ascii="宋体" w:hAnsi="宋体" w:eastAsia="宋体" w:cs="宋体"/>
                <w:color w:val="auto"/>
                <w:szCs w:val="21"/>
                <w:highlight w:val="none"/>
              </w:rPr>
            </w:pPr>
          </w:p>
        </w:tc>
        <w:tc>
          <w:tcPr>
            <w:tcW w:w="795" w:type="dxa"/>
            <w:noWrap w:val="0"/>
            <w:vAlign w:val="top"/>
          </w:tcPr>
          <w:p w14:paraId="3F8861F4">
            <w:pPr>
              <w:spacing w:line="360" w:lineRule="auto"/>
              <w:rPr>
                <w:rFonts w:hint="eastAsia" w:ascii="宋体" w:hAnsi="宋体" w:eastAsia="宋体" w:cs="宋体"/>
                <w:color w:val="auto"/>
                <w:szCs w:val="21"/>
                <w:highlight w:val="none"/>
              </w:rPr>
            </w:pPr>
          </w:p>
        </w:tc>
        <w:tc>
          <w:tcPr>
            <w:tcW w:w="816" w:type="dxa"/>
            <w:noWrap w:val="0"/>
            <w:vAlign w:val="top"/>
          </w:tcPr>
          <w:p w14:paraId="5837883E">
            <w:pPr>
              <w:spacing w:line="360" w:lineRule="auto"/>
              <w:rPr>
                <w:rFonts w:hint="eastAsia" w:ascii="宋体" w:hAnsi="宋体" w:eastAsia="宋体" w:cs="宋体"/>
                <w:color w:val="auto"/>
                <w:szCs w:val="21"/>
                <w:highlight w:val="none"/>
              </w:rPr>
            </w:pPr>
          </w:p>
        </w:tc>
        <w:tc>
          <w:tcPr>
            <w:tcW w:w="816" w:type="dxa"/>
            <w:noWrap w:val="0"/>
            <w:vAlign w:val="top"/>
          </w:tcPr>
          <w:p w14:paraId="53C90941">
            <w:pPr>
              <w:spacing w:line="360" w:lineRule="auto"/>
              <w:rPr>
                <w:rFonts w:hint="eastAsia" w:ascii="宋体" w:hAnsi="宋体" w:eastAsia="宋体" w:cs="宋体"/>
                <w:color w:val="auto"/>
                <w:szCs w:val="21"/>
                <w:highlight w:val="none"/>
              </w:rPr>
            </w:pPr>
          </w:p>
        </w:tc>
        <w:tc>
          <w:tcPr>
            <w:tcW w:w="1080" w:type="dxa"/>
            <w:noWrap w:val="0"/>
            <w:vAlign w:val="top"/>
          </w:tcPr>
          <w:p w14:paraId="68DE9598">
            <w:pPr>
              <w:spacing w:line="360" w:lineRule="auto"/>
              <w:rPr>
                <w:rFonts w:hint="eastAsia" w:ascii="宋体" w:hAnsi="宋体" w:eastAsia="宋体" w:cs="宋体"/>
                <w:color w:val="auto"/>
                <w:szCs w:val="21"/>
                <w:highlight w:val="none"/>
              </w:rPr>
            </w:pPr>
          </w:p>
        </w:tc>
        <w:tc>
          <w:tcPr>
            <w:tcW w:w="1260" w:type="dxa"/>
            <w:noWrap w:val="0"/>
            <w:vAlign w:val="top"/>
          </w:tcPr>
          <w:p w14:paraId="5119BF76">
            <w:pPr>
              <w:spacing w:line="360" w:lineRule="auto"/>
              <w:rPr>
                <w:rFonts w:hint="eastAsia" w:ascii="宋体" w:hAnsi="宋体" w:eastAsia="宋体" w:cs="宋体"/>
                <w:color w:val="auto"/>
                <w:szCs w:val="21"/>
                <w:highlight w:val="none"/>
              </w:rPr>
            </w:pPr>
          </w:p>
        </w:tc>
        <w:tc>
          <w:tcPr>
            <w:tcW w:w="973" w:type="dxa"/>
            <w:noWrap w:val="0"/>
            <w:vAlign w:val="top"/>
          </w:tcPr>
          <w:p w14:paraId="5EEBBF87">
            <w:pPr>
              <w:spacing w:line="360" w:lineRule="auto"/>
              <w:rPr>
                <w:rFonts w:hint="eastAsia" w:ascii="宋体" w:hAnsi="宋体" w:eastAsia="宋体" w:cs="宋体"/>
                <w:color w:val="auto"/>
                <w:szCs w:val="21"/>
                <w:highlight w:val="none"/>
              </w:rPr>
            </w:pPr>
          </w:p>
        </w:tc>
        <w:tc>
          <w:tcPr>
            <w:tcW w:w="1080" w:type="dxa"/>
            <w:noWrap w:val="0"/>
            <w:vAlign w:val="top"/>
          </w:tcPr>
          <w:p w14:paraId="382760A5">
            <w:pPr>
              <w:spacing w:line="360" w:lineRule="auto"/>
              <w:rPr>
                <w:rFonts w:hint="eastAsia" w:ascii="宋体" w:hAnsi="宋体" w:eastAsia="宋体" w:cs="宋体"/>
                <w:color w:val="auto"/>
                <w:szCs w:val="21"/>
                <w:highlight w:val="none"/>
              </w:rPr>
            </w:pPr>
          </w:p>
        </w:tc>
        <w:tc>
          <w:tcPr>
            <w:tcW w:w="1080" w:type="dxa"/>
            <w:noWrap w:val="0"/>
            <w:vAlign w:val="top"/>
          </w:tcPr>
          <w:p w14:paraId="0907DE59">
            <w:pPr>
              <w:spacing w:line="360" w:lineRule="auto"/>
              <w:rPr>
                <w:rFonts w:hint="eastAsia" w:ascii="宋体" w:hAnsi="宋体" w:eastAsia="宋体" w:cs="宋体"/>
                <w:color w:val="auto"/>
                <w:szCs w:val="21"/>
                <w:highlight w:val="none"/>
              </w:rPr>
            </w:pPr>
          </w:p>
        </w:tc>
      </w:tr>
      <w:tr w14:paraId="6ED8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noWrap w:val="0"/>
            <w:vAlign w:val="top"/>
          </w:tcPr>
          <w:p w14:paraId="7AF186FE">
            <w:pPr>
              <w:spacing w:line="360" w:lineRule="auto"/>
              <w:rPr>
                <w:rFonts w:hint="eastAsia" w:ascii="宋体" w:hAnsi="宋体" w:eastAsia="宋体" w:cs="宋体"/>
                <w:color w:val="auto"/>
                <w:szCs w:val="21"/>
                <w:highlight w:val="none"/>
              </w:rPr>
            </w:pPr>
          </w:p>
        </w:tc>
        <w:tc>
          <w:tcPr>
            <w:tcW w:w="1185" w:type="dxa"/>
            <w:noWrap w:val="0"/>
            <w:vAlign w:val="top"/>
          </w:tcPr>
          <w:p w14:paraId="4D0DFB98">
            <w:pPr>
              <w:spacing w:line="360" w:lineRule="auto"/>
              <w:rPr>
                <w:rFonts w:hint="eastAsia" w:ascii="宋体" w:hAnsi="宋体" w:eastAsia="宋体" w:cs="宋体"/>
                <w:color w:val="auto"/>
                <w:szCs w:val="21"/>
                <w:highlight w:val="none"/>
              </w:rPr>
            </w:pPr>
          </w:p>
        </w:tc>
        <w:tc>
          <w:tcPr>
            <w:tcW w:w="795" w:type="dxa"/>
            <w:noWrap w:val="0"/>
            <w:vAlign w:val="top"/>
          </w:tcPr>
          <w:p w14:paraId="5B0BEF29">
            <w:pPr>
              <w:spacing w:line="360" w:lineRule="auto"/>
              <w:rPr>
                <w:rFonts w:hint="eastAsia" w:ascii="宋体" w:hAnsi="宋体" w:eastAsia="宋体" w:cs="宋体"/>
                <w:color w:val="auto"/>
                <w:szCs w:val="21"/>
                <w:highlight w:val="none"/>
              </w:rPr>
            </w:pPr>
          </w:p>
        </w:tc>
        <w:tc>
          <w:tcPr>
            <w:tcW w:w="816" w:type="dxa"/>
            <w:noWrap w:val="0"/>
            <w:vAlign w:val="top"/>
          </w:tcPr>
          <w:p w14:paraId="21B6E025">
            <w:pPr>
              <w:spacing w:line="360" w:lineRule="auto"/>
              <w:rPr>
                <w:rFonts w:hint="eastAsia" w:ascii="宋体" w:hAnsi="宋体" w:eastAsia="宋体" w:cs="宋体"/>
                <w:color w:val="auto"/>
                <w:szCs w:val="21"/>
                <w:highlight w:val="none"/>
              </w:rPr>
            </w:pPr>
          </w:p>
        </w:tc>
        <w:tc>
          <w:tcPr>
            <w:tcW w:w="816" w:type="dxa"/>
            <w:noWrap w:val="0"/>
            <w:vAlign w:val="top"/>
          </w:tcPr>
          <w:p w14:paraId="0F496072">
            <w:pPr>
              <w:spacing w:line="360" w:lineRule="auto"/>
              <w:rPr>
                <w:rFonts w:hint="eastAsia" w:ascii="宋体" w:hAnsi="宋体" w:eastAsia="宋体" w:cs="宋体"/>
                <w:color w:val="auto"/>
                <w:szCs w:val="21"/>
                <w:highlight w:val="none"/>
              </w:rPr>
            </w:pPr>
          </w:p>
        </w:tc>
        <w:tc>
          <w:tcPr>
            <w:tcW w:w="1080" w:type="dxa"/>
            <w:noWrap w:val="0"/>
            <w:vAlign w:val="top"/>
          </w:tcPr>
          <w:p w14:paraId="3054F62A">
            <w:pPr>
              <w:spacing w:line="360" w:lineRule="auto"/>
              <w:rPr>
                <w:rFonts w:hint="eastAsia" w:ascii="宋体" w:hAnsi="宋体" w:eastAsia="宋体" w:cs="宋体"/>
                <w:color w:val="auto"/>
                <w:szCs w:val="21"/>
                <w:highlight w:val="none"/>
              </w:rPr>
            </w:pPr>
          </w:p>
        </w:tc>
        <w:tc>
          <w:tcPr>
            <w:tcW w:w="1260" w:type="dxa"/>
            <w:noWrap w:val="0"/>
            <w:vAlign w:val="top"/>
          </w:tcPr>
          <w:p w14:paraId="7B10F64A">
            <w:pPr>
              <w:spacing w:line="360" w:lineRule="auto"/>
              <w:rPr>
                <w:rFonts w:hint="eastAsia" w:ascii="宋体" w:hAnsi="宋体" w:eastAsia="宋体" w:cs="宋体"/>
                <w:color w:val="auto"/>
                <w:szCs w:val="21"/>
                <w:highlight w:val="none"/>
              </w:rPr>
            </w:pPr>
          </w:p>
        </w:tc>
        <w:tc>
          <w:tcPr>
            <w:tcW w:w="973" w:type="dxa"/>
            <w:noWrap w:val="0"/>
            <w:vAlign w:val="top"/>
          </w:tcPr>
          <w:p w14:paraId="66B9C0D4">
            <w:pPr>
              <w:spacing w:line="360" w:lineRule="auto"/>
              <w:rPr>
                <w:rFonts w:hint="eastAsia" w:ascii="宋体" w:hAnsi="宋体" w:eastAsia="宋体" w:cs="宋体"/>
                <w:color w:val="auto"/>
                <w:szCs w:val="21"/>
                <w:highlight w:val="none"/>
              </w:rPr>
            </w:pPr>
          </w:p>
        </w:tc>
        <w:tc>
          <w:tcPr>
            <w:tcW w:w="1080" w:type="dxa"/>
            <w:noWrap w:val="0"/>
            <w:vAlign w:val="top"/>
          </w:tcPr>
          <w:p w14:paraId="1A588B7C">
            <w:pPr>
              <w:spacing w:line="360" w:lineRule="auto"/>
              <w:rPr>
                <w:rFonts w:hint="eastAsia" w:ascii="宋体" w:hAnsi="宋体" w:eastAsia="宋体" w:cs="宋体"/>
                <w:color w:val="auto"/>
                <w:szCs w:val="21"/>
                <w:highlight w:val="none"/>
              </w:rPr>
            </w:pPr>
          </w:p>
        </w:tc>
        <w:tc>
          <w:tcPr>
            <w:tcW w:w="1080" w:type="dxa"/>
            <w:noWrap w:val="0"/>
            <w:vAlign w:val="top"/>
          </w:tcPr>
          <w:p w14:paraId="0C01E27A">
            <w:pPr>
              <w:spacing w:line="360" w:lineRule="auto"/>
              <w:rPr>
                <w:rFonts w:hint="eastAsia" w:ascii="宋体" w:hAnsi="宋体" w:eastAsia="宋体" w:cs="宋体"/>
                <w:color w:val="auto"/>
                <w:szCs w:val="21"/>
                <w:highlight w:val="none"/>
              </w:rPr>
            </w:pPr>
          </w:p>
        </w:tc>
      </w:tr>
      <w:tr w14:paraId="73197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noWrap w:val="0"/>
            <w:vAlign w:val="top"/>
          </w:tcPr>
          <w:p w14:paraId="53FD0C00">
            <w:pPr>
              <w:spacing w:line="360" w:lineRule="auto"/>
              <w:rPr>
                <w:rFonts w:hint="eastAsia" w:ascii="宋体" w:hAnsi="宋体" w:eastAsia="宋体" w:cs="宋体"/>
                <w:color w:val="auto"/>
                <w:szCs w:val="21"/>
                <w:highlight w:val="none"/>
              </w:rPr>
            </w:pPr>
          </w:p>
        </w:tc>
        <w:tc>
          <w:tcPr>
            <w:tcW w:w="1185" w:type="dxa"/>
            <w:noWrap w:val="0"/>
            <w:vAlign w:val="top"/>
          </w:tcPr>
          <w:p w14:paraId="33AA4FF0">
            <w:pPr>
              <w:spacing w:line="360" w:lineRule="auto"/>
              <w:rPr>
                <w:rFonts w:hint="eastAsia" w:ascii="宋体" w:hAnsi="宋体" w:eastAsia="宋体" w:cs="宋体"/>
                <w:color w:val="auto"/>
                <w:szCs w:val="21"/>
                <w:highlight w:val="none"/>
              </w:rPr>
            </w:pPr>
          </w:p>
        </w:tc>
        <w:tc>
          <w:tcPr>
            <w:tcW w:w="795" w:type="dxa"/>
            <w:noWrap w:val="0"/>
            <w:vAlign w:val="top"/>
          </w:tcPr>
          <w:p w14:paraId="72F2E616">
            <w:pPr>
              <w:spacing w:line="360" w:lineRule="auto"/>
              <w:rPr>
                <w:rFonts w:hint="eastAsia" w:ascii="宋体" w:hAnsi="宋体" w:eastAsia="宋体" w:cs="宋体"/>
                <w:color w:val="auto"/>
                <w:szCs w:val="21"/>
                <w:highlight w:val="none"/>
              </w:rPr>
            </w:pPr>
          </w:p>
        </w:tc>
        <w:tc>
          <w:tcPr>
            <w:tcW w:w="816" w:type="dxa"/>
            <w:noWrap w:val="0"/>
            <w:vAlign w:val="top"/>
          </w:tcPr>
          <w:p w14:paraId="053241BD">
            <w:pPr>
              <w:spacing w:line="360" w:lineRule="auto"/>
              <w:rPr>
                <w:rFonts w:hint="eastAsia" w:ascii="宋体" w:hAnsi="宋体" w:eastAsia="宋体" w:cs="宋体"/>
                <w:color w:val="auto"/>
                <w:szCs w:val="21"/>
                <w:highlight w:val="none"/>
              </w:rPr>
            </w:pPr>
          </w:p>
        </w:tc>
        <w:tc>
          <w:tcPr>
            <w:tcW w:w="816" w:type="dxa"/>
            <w:noWrap w:val="0"/>
            <w:vAlign w:val="top"/>
          </w:tcPr>
          <w:p w14:paraId="35978443">
            <w:pPr>
              <w:spacing w:line="360" w:lineRule="auto"/>
              <w:rPr>
                <w:rFonts w:hint="eastAsia" w:ascii="宋体" w:hAnsi="宋体" w:eastAsia="宋体" w:cs="宋体"/>
                <w:color w:val="auto"/>
                <w:szCs w:val="21"/>
                <w:highlight w:val="none"/>
              </w:rPr>
            </w:pPr>
          </w:p>
        </w:tc>
        <w:tc>
          <w:tcPr>
            <w:tcW w:w="1080" w:type="dxa"/>
            <w:noWrap w:val="0"/>
            <w:vAlign w:val="top"/>
          </w:tcPr>
          <w:p w14:paraId="69215685">
            <w:pPr>
              <w:spacing w:line="360" w:lineRule="auto"/>
              <w:rPr>
                <w:rFonts w:hint="eastAsia" w:ascii="宋体" w:hAnsi="宋体" w:eastAsia="宋体" w:cs="宋体"/>
                <w:color w:val="auto"/>
                <w:szCs w:val="21"/>
                <w:highlight w:val="none"/>
              </w:rPr>
            </w:pPr>
          </w:p>
        </w:tc>
        <w:tc>
          <w:tcPr>
            <w:tcW w:w="1260" w:type="dxa"/>
            <w:noWrap w:val="0"/>
            <w:vAlign w:val="top"/>
          </w:tcPr>
          <w:p w14:paraId="7334C0E1">
            <w:pPr>
              <w:spacing w:line="360" w:lineRule="auto"/>
              <w:rPr>
                <w:rFonts w:hint="eastAsia" w:ascii="宋体" w:hAnsi="宋体" w:eastAsia="宋体" w:cs="宋体"/>
                <w:color w:val="auto"/>
                <w:szCs w:val="21"/>
                <w:highlight w:val="none"/>
              </w:rPr>
            </w:pPr>
          </w:p>
        </w:tc>
        <w:tc>
          <w:tcPr>
            <w:tcW w:w="973" w:type="dxa"/>
            <w:noWrap w:val="0"/>
            <w:vAlign w:val="top"/>
          </w:tcPr>
          <w:p w14:paraId="10DD321D">
            <w:pPr>
              <w:spacing w:line="360" w:lineRule="auto"/>
              <w:rPr>
                <w:rFonts w:hint="eastAsia" w:ascii="宋体" w:hAnsi="宋体" w:eastAsia="宋体" w:cs="宋体"/>
                <w:color w:val="auto"/>
                <w:szCs w:val="21"/>
                <w:highlight w:val="none"/>
              </w:rPr>
            </w:pPr>
          </w:p>
        </w:tc>
        <w:tc>
          <w:tcPr>
            <w:tcW w:w="1080" w:type="dxa"/>
            <w:noWrap w:val="0"/>
            <w:vAlign w:val="top"/>
          </w:tcPr>
          <w:p w14:paraId="6EE4C1EB">
            <w:pPr>
              <w:spacing w:line="360" w:lineRule="auto"/>
              <w:rPr>
                <w:rFonts w:hint="eastAsia" w:ascii="宋体" w:hAnsi="宋体" w:eastAsia="宋体" w:cs="宋体"/>
                <w:color w:val="auto"/>
                <w:szCs w:val="21"/>
                <w:highlight w:val="none"/>
              </w:rPr>
            </w:pPr>
          </w:p>
        </w:tc>
        <w:tc>
          <w:tcPr>
            <w:tcW w:w="1080" w:type="dxa"/>
            <w:noWrap w:val="0"/>
            <w:vAlign w:val="top"/>
          </w:tcPr>
          <w:p w14:paraId="788ADC23">
            <w:pPr>
              <w:spacing w:line="360" w:lineRule="auto"/>
              <w:rPr>
                <w:rFonts w:hint="eastAsia" w:ascii="宋体" w:hAnsi="宋体" w:eastAsia="宋体" w:cs="宋体"/>
                <w:color w:val="auto"/>
                <w:szCs w:val="21"/>
                <w:highlight w:val="none"/>
              </w:rPr>
            </w:pPr>
          </w:p>
        </w:tc>
      </w:tr>
    </w:tbl>
    <w:p w14:paraId="0D82BC97">
      <w:pPr>
        <w:rPr>
          <w:rFonts w:hint="eastAsia" w:ascii="宋体" w:hAnsi="宋体" w:eastAsia="宋体" w:cs="宋体"/>
          <w:color w:val="auto"/>
          <w:highlight w:val="none"/>
        </w:rPr>
      </w:pPr>
      <w:r>
        <w:rPr>
          <w:rFonts w:hint="eastAsia" w:ascii="宋体" w:hAnsi="宋体" w:eastAsia="宋体" w:cs="宋体"/>
          <w:color w:val="auto"/>
          <w:szCs w:val="21"/>
          <w:highlight w:val="none"/>
        </w:rPr>
        <w:br w:type="page"/>
      </w:r>
      <w:bookmarkStart w:id="2595" w:name="_Toc1464580670_WPSOffice_Level2"/>
      <w:r>
        <w:rPr>
          <w:rFonts w:hint="eastAsia" w:ascii="宋体" w:hAnsi="宋体" w:eastAsia="宋体" w:cs="宋体"/>
          <w:color w:val="auto"/>
          <w:highlight w:val="none"/>
        </w:rPr>
        <w:t>附表二：拟配备本标段的试验和检测仪器设备表</w:t>
      </w:r>
      <w:bookmarkEnd w:id="2595"/>
    </w:p>
    <w:p w14:paraId="435E8C38">
      <w:pPr>
        <w:spacing w:line="360" w:lineRule="auto"/>
        <w:ind w:firstLine="420" w:firstLineChars="200"/>
        <w:rPr>
          <w:rFonts w:hint="eastAsia" w:ascii="宋体" w:hAnsi="宋体" w:eastAsia="宋体" w:cs="宋体"/>
          <w:color w:val="auto"/>
          <w:szCs w:val="21"/>
          <w:highlight w:val="none"/>
        </w:rPr>
      </w:pPr>
    </w:p>
    <w:tbl>
      <w:tblPr>
        <w:tblStyle w:val="26"/>
        <w:tblW w:w="93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476"/>
        <w:gridCol w:w="1056"/>
        <w:gridCol w:w="636"/>
        <w:gridCol w:w="1056"/>
        <w:gridCol w:w="1056"/>
        <w:gridCol w:w="1656"/>
        <w:gridCol w:w="996"/>
        <w:gridCol w:w="816"/>
      </w:tblGrid>
      <w:tr w14:paraId="1076C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614D3039">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0" w:type="auto"/>
            <w:tcBorders>
              <w:top w:val="outset" w:color="auto" w:sz="6" w:space="0"/>
              <w:left w:val="outset" w:color="auto" w:sz="6" w:space="0"/>
              <w:bottom w:val="outset" w:color="auto" w:sz="6" w:space="0"/>
              <w:right w:val="outset" w:color="auto" w:sz="6" w:space="0"/>
            </w:tcBorders>
            <w:noWrap w:val="0"/>
            <w:vAlign w:val="center"/>
          </w:tcPr>
          <w:p w14:paraId="4A246111">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仪器设备名称</w:t>
            </w:r>
          </w:p>
        </w:tc>
        <w:tc>
          <w:tcPr>
            <w:tcW w:w="0" w:type="auto"/>
            <w:tcBorders>
              <w:top w:val="outset" w:color="auto" w:sz="6" w:space="0"/>
              <w:left w:val="outset" w:color="auto" w:sz="6" w:space="0"/>
              <w:bottom w:val="outset" w:color="auto" w:sz="6" w:space="0"/>
              <w:right w:val="outset" w:color="auto" w:sz="6" w:space="0"/>
            </w:tcBorders>
            <w:noWrap w:val="0"/>
            <w:vAlign w:val="center"/>
          </w:tcPr>
          <w:p w14:paraId="33CC22F0">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型号规格</w:t>
            </w:r>
          </w:p>
        </w:tc>
        <w:tc>
          <w:tcPr>
            <w:tcW w:w="0" w:type="auto"/>
            <w:tcBorders>
              <w:top w:val="outset" w:color="auto" w:sz="6" w:space="0"/>
              <w:left w:val="outset" w:color="auto" w:sz="6" w:space="0"/>
              <w:bottom w:val="outset" w:color="auto" w:sz="6" w:space="0"/>
              <w:right w:val="outset" w:color="auto" w:sz="6" w:space="0"/>
            </w:tcBorders>
            <w:noWrap w:val="0"/>
            <w:vAlign w:val="center"/>
          </w:tcPr>
          <w:p w14:paraId="3B46CAB3">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0" w:type="auto"/>
            <w:tcBorders>
              <w:top w:val="outset" w:color="auto" w:sz="6" w:space="0"/>
              <w:left w:val="outset" w:color="auto" w:sz="6" w:space="0"/>
              <w:bottom w:val="outset" w:color="auto" w:sz="6" w:space="0"/>
              <w:right w:val="outset" w:color="auto" w:sz="6" w:space="0"/>
            </w:tcBorders>
            <w:noWrap w:val="0"/>
            <w:vAlign w:val="center"/>
          </w:tcPr>
          <w:p w14:paraId="3F9F417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国别产地</w:t>
            </w:r>
          </w:p>
        </w:tc>
        <w:tc>
          <w:tcPr>
            <w:tcW w:w="0" w:type="auto"/>
            <w:tcBorders>
              <w:top w:val="outset" w:color="auto" w:sz="6" w:space="0"/>
              <w:left w:val="outset" w:color="auto" w:sz="6" w:space="0"/>
              <w:bottom w:val="outset" w:color="auto" w:sz="6" w:space="0"/>
              <w:right w:val="outset" w:color="auto" w:sz="6" w:space="0"/>
            </w:tcBorders>
            <w:noWrap w:val="0"/>
            <w:vAlign w:val="center"/>
          </w:tcPr>
          <w:p w14:paraId="0D84AA0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制造年份</w:t>
            </w:r>
          </w:p>
        </w:tc>
        <w:tc>
          <w:tcPr>
            <w:tcW w:w="1656" w:type="dxa"/>
            <w:tcBorders>
              <w:top w:val="outset" w:color="auto" w:sz="6" w:space="0"/>
              <w:left w:val="outset" w:color="auto" w:sz="6" w:space="0"/>
              <w:bottom w:val="outset" w:color="auto" w:sz="6" w:space="0"/>
              <w:right w:val="outset" w:color="auto" w:sz="6" w:space="0"/>
            </w:tcBorders>
            <w:noWrap w:val="0"/>
            <w:vAlign w:val="center"/>
          </w:tcPr>
          <w:p w14:paraId="704A22FD">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己使用台时数</w:t>
            </w:r>
          </w:p>
        </w:tc>
        <w:tc>
          <w:tcPr>
            <w:tcW w:w="996" w:type="dxa"/>
            <w:tcBorders>
              <w:top w:val="outset" w:color="auto" w:sz="6" w:space="0"/>
              <w:left w:val="outset" w:color="auto" w:sz="6" w:space="0"/>
              <w:bottom w:val="outset" w:color="auto" w:sz="6" w:space="0"/>
              <w:right w:val="outset" w:color="auto" w:sz="6" w:space="0"/>
            </w:tcBorders>
            <w:noWrap w:val="0"/>
            <w:vAlign w:val="center"/>
          </w:tcPr>
          <w:p w14:paraId="4EAA8490">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用途</w:t>
            </w:r>
          </w:p>
        </w:tc>
        <w:tc>
          <w:tcPr>
            <w:tcW w:w="816" w:type="dxa"/>
            <w:tcBorders>
              <w:top w:val="outset" w:color="auto" w:sz="6" w:space="0"/>
              <w:left w:val="outset" w:color="auto" w:sz="6" w:space="0"/>
              <w:bottom w:val="outset" w:color="auto" w:sz="6" w:space="0"/>
              <w:right w:val="outset" w:color="auto" w:sz="6" w:space="0"/>
            </w:tcBorders>
            <w:noWrap w:val="0"/>
            <w:vAlign w:val="center"/>
          </w:tcPr>
          <w:p w14:paraId="16DFA51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1BB97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6BE1556A">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269F8B0">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D951B74">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4EBB262">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09F66357">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47EFCE5">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0496C480">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32D873C2">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0BA4C6AD">
            <w:pPr>
              <w:spacing w:line="360" w:lineRule="auto"/>
              <w:ind w:firstLine="420" w:firstLineChars="200"/>
              <w:rPr>
                <w:rFonts w:hint="eastAsia" w:ascii="宋体" w:hAnsi="宋体" w:eastAsia="宋体" w:cs="宋体"/>
                <w:color w:val="auto"/>
                <w:szCs w:val="21"/>
                <w:highlight w:val="none"/>
              </w:rPr>
            </w:pPr>
          </w:p>
        </w:tc>
      </w:tr>
      <w:tr w14:paraId="657C6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0C832059">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18B822D">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0D5E9581">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16ED9CB">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0C2B46D4">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8E087CA">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602B313C">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3F1B9943">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54863846">
            <w:pPr>
              <w:spacing w:line="360" w:lineRule="auto"/>
              <w:ind w:firstLine="420" w:firstLineChars="200"/>
              <w:rPr>
                <w:rFonts w:hint="eastAsia" w:ascii="宋体" w:hAnsi="宋体" w:eastAsia="宋体" w:cs="宋体"/>
                <w:color w:val="auto"/>
                <w:szCs w:val="21"/>
                <w:highlight w:val="none"/>
              </w:rPr>
            </w:pPr>
          </w:p>
        </w:tc>
      </w:tr>
      <w:tr w14:paraId="7A611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4E61C06F">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59C2117">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2D02836">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B2AA0C2">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B0D6596">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1D932A0">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2FA67963">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2F893C40">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642F6416">
            <w:pPr>
              <w:spacing w:line="360" w:lineRule="auto"/>
              <w:ind w:firstLine="420" w:firstLineChars="200"/>
              <w:rPr>
                <w:rFonts w:hint="eastAsia" w:ascii="宋体" w:hAnsi="宋体" w:eastAsia="宋体" w:cs="宋体"/>
                <w:color w:val="auto"/>
                <w:szCs w:val="21"/>
                <w:highlight w:val="none"/>
              </w:rPr>
            </w:pPr>
          </w:p>
        </w:tc>
      </w:tr>
      <w:tr w14:paraId="03BD8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2232ABA2">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EAC03BA">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DECEF59">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BE1116D">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04A919DB">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72B2904">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7F9D57E8">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138F34F9">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040A85DB">
            <w:pPr>
              <w:spacing w:line="360" w:lineRule="auto"/>
              <w:ind w:firstLine="420" w:firstLineChars="200"/>
              <w:rPr>
                <w:rFonts w:hint="eastAsia" w:ascii="宋体" w:hAnsi="宋体" w:eastAsia="宋体" w:cs="宋体"/>
                <w:color w:val="auto"/>
                <w:szCs w:val="21"/>
                <w:highlight w:val="none"/>
              </w:rPr>
            </w:pPr>
          </w:p>
        </w:tc>
      </w:tr>
      <w:tr w14:paraId="786D6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25856CF1">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E54A300">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C96D55D">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E60DE3F">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0DD24201">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379339D">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5DBE643C">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05D4F5D6">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00A16425">
            <w:pPr>
              <w:spacing w:line="360" w:lineRule="auto"/>
              <w:ind w:firstLine="420" w:firstLineChars="200"/>
              <w:rPr>
                <w:rFonts w:hint="eastAsia" w:ascii="宋体" w:hAnsi="宋体" w:eastAsia="宋体" w:cs="宋体"/>
                <w:color w:val="auto"/>
                <w:szCs w:val="21"/>
                <w:highlight w:val="none"/>
              </w:rPr>
            </w:pPr>
          </w:p>
        </w:tc>
      </w:tr>
      <w:tr w14:paraId="46910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105F03A0">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F83B41B">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57046A5">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F754005">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695F8AE">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4CFAE61">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56BE8BB4">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4ED9E2E4">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039D55D9">
            <w:pPr>
              <w:spacing w:line="360" w:lineRule="auto"/>
              <w:ind w:firstLine="420" w:firstLineChars="200"/>
              <w:rPr>
                <w:rFonts w:hint="eastAsia" w:ascii="宋体" w:hAnsi="宋体" w:eastAsia="宋体" w:cs="宋体"/>
                <w:color w:val="auto"/>
                <w:szCs w:val="21"/>
                <w:highlight w:val="none"/>
              </w:rPr>
            </w:pPr>
          </w:p>
        </w:tc>
      </w:tr>
      <w:tr w14:paraId="06416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6D5C5DC1">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FC95D19">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F0DD928">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1DC9071">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B458FF5">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36052F3">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6C87AD73">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7E154400">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38253C01">
            <w:pPr>
              <w:spacing w:line="360" w:lineRule="auto"/>
              <w:ind w:firstLine="420" w:firstLineChars="200"/>
              <w:rPr>
                <w:rFonts w:hint="eastAsia" w:ascii="宋体" w:hAnsi="宋体" w:eastAsia="宋体" w:cs="宋体"/>
                <w:color w:val="auto"/>
                <w:szCs w:val="21"/>
                <w:highlight w:val="none"/>
              </w:rPr>
            </w:pPr>
          </w:p>
        </w:tc>
      </w:tr>
      <w:tr w14:paraId="7BEC8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58A09874">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22EC4B9">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EFA1570">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0710385">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CCB6F0F">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0929C72A">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489AA94E">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4B548CD7">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5ACC7D06">
            <w:pPr>
              <w:spacing w:line="360" w:lineRule="auto"/>
              <w:ind w:firstLine="420" w:firstLineChars="200"/>
              <w:rPr>
                <w:rFonts w:hint="eastAsia" w:ascii="宋体" w:hAnsi="宋体" w:eastAsia="宋体" w:cs="宋体"/>
                <w:color w:val="auto"/>
                <w:szCs w:val="21"/>
                <w:highlight w:val="none"/>
              </w:rPr>
            </w:pPr>
          </w:p>
        </w:tc>
      </w:tr>
      <w:tr w14:paraId="62C2C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4543F018">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FABDACA">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B8225E5">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20A2E33">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A085B52">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275A665">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0B04788F">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0179CA5D">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5333D6E2">
            <w:pPr>
              <w:spacing w:line="360" w:lineRule="auto"/>
              <w:ind w:firstLine="420" w:firstLineChars="200"/>
              <w:rPr>
                <w:rFonts w:hint="eastAsia" w:ascii="宋体" w:hAnsi="宋体" w:eastAsia="宋体" w:cs="宋体"/>
                <w:color w:val="auto"/>
                <w:szCs w:val="21"/>
                <w:highlight w:val="none"/>
              </w:rPr>
            </w:pPr>
          </w:p>
        </w:tc>
      </w:tr>
      <w:tr w14:paraId="74F0D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11A25963">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583B2C6">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BB317D3">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3507887">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B6F3966">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4446B05">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7E110551">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45F8DE40">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04099BB8">
            <w:pPr>
              <w:spacing w:line="360" w:lineRule="auto"/>
              <w:ind w:firstLine="420" w:firstLineChars="200"/>
              <w:rPr>
                <w:rFonts w:hint="eastAsia" w:ascii="宋体" w:hAnsi="宋体" w:eastAsia="宋体" w:cs="宋体"/>
                <w:color w:val="auto"/>
                <w:szCs w:val="21"/>
                <w:highlight w:val="none"/>
              </w:rPr>
            </w:pPr>
          </w:p>
        </w:tc>
      </w:tr>
      <w:tr w14:paraId="4ECE7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323A0103">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6FCDD4F">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D8B8B35">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B23864B">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5AA6759">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0398E662">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27DEEF32">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019055E0">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17F301A7">
            <w:pPr>
              <w:spacing w:line="360" w:lineRule="auto"/>
              <w:ind w:firstLine="420" w:firstLineChars="200"/>
              <w:rPr>
                <w:rFonts w:hint="eastAsia" w:ascii="宋体" w:hAnsi="宋体" w:eastAsia="宋体" w:cs="宋体"/>
                <w:color w:val="auto"/>
                <w:szCs w:val="21"/>
                <w:highlight w:val="none"/>
              </w:rPr>
            </w:pPr>
          </w:p>
        </w:tc>
      </w:tr>
      <w:tr w14:paraId="4D6E8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71D6DCB6">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CB39CA6">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B307CD5">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D6E4E1A">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7BC553A">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C34C9B9">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26018D5C">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0AF253BD">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4B79C157">
            <w:pPr>
              <w:spacing w:line="360" w:lineRule="auto"/>
              <w:ind w:firstLine="420" w:firstLineChars="200"/>
              <w:rPr>
                <w:rFonts w:hint="eastAsia" w:ascii="宋体" w:hAnsi="宋体" w:eastAsia="宋体" w:cs="宋体"/>
                <w:color w:val="auto"/>
                <w:szCs w:val="21"/>
                <w:highlight w:val="none"/>
              </w:rPr>
            </w:pPr>
          </w:p>
        </w:tc>
      </w:tr>
      <w:tr w14:paraId="333A8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01775E89">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2850764">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842AF60">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9B8CAF0">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96186A7">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8AA1A32">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2CFA19B8">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5A11D2CF">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5D485CD4">
            <w:pPr>
              <w:spacing w:line="360" w:lineRule="auto"/>
              <w:ind w:firstLine="420" w:firstLineChars="200"/>
              <w:rPr>
                <w:rFonts w:hint="eastAsia" w:ascii="宋体" w:hAnsi="宋体" w:eastAsia="宋体" w:cs="宋体"/>
                <w:color w:val="auto"/>
                <w:szCs w:val="21"/>
                <w:highlight w:val="none"/>
              </w:rPr>
            </w:pPr>
          </w:p>
        </w:tc>
      </w:tr>
      <w:tr w14:paraId="1B0BE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03B0DCD9">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4E4618C">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6DD98ED">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B8DDB1E">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CC97651">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022562D">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774D99FE">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485C57F4">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3A6E094E">
            <w:pPr>
              <w:spacing w:line="360" w:lineRule="auto"/>
              <w:ind w:firstLine="420" w:firstLineChars="200"/>
              <w:rPr>
                <w:rFonts w:hint="eastAsia" w:ascii="宋体" w:hAnsi="宋体" w:eastAsia="宋体" w:cs="宋体"/>
                <w:color w:val="auto"/>
                <w:szCs w:val="21"/>
                <w:highlight w:val="none"/>
              </w:rPr>
            </w:pPr>
          </w:p>
        </w:tc>
      </w:tr>
      <w:tr w14:paraId="56E4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7A66002E">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1A2CFE2">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D0FA02C">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F80E021">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6F40C86">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4B9C7DF">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1F8CB2CC">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5F984F11">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18DC242C">
            <w:pPr>
              <w:spacing w:line="360" w:lineRule="auto"/>
              <w:ind w:firstLine="420" w:firstLineChars="200"/>
              <w:rPr>
                <w:rFonts w:hint="eastAsia" w:ascii="宋体" w:hAnsi="宋体" w:eastAsia="宋体" w:cs="宋体"/>
                <w:color w:val="auto"/>
                <w:szCs w:val="21"/>
                <w:highlight w:val="none"/>
              </w:rPr>
            </w:pPr>
          </w:p>
        </w:tc>
      </w:tr>
      <w:tr w14:paraId="5E8DB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20744CEA">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2BB2964">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030EBDE">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31DE500">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DB0CC38">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0A738CC">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0AF86A9B">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0677E2F7">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66C00AA4">
            <w:pPr>
              <w:spacing w:line="360" w:lineRule="auto"/>
              <w:ind w:firstLine="420" w:firstLineChars="200"/>
              <w:rPr>
                <w:rFonts w:hint="eastAsia" w:ascii="宋体" w:hAnsi="宋体" w:eastAsia="宋体" w:cs="宋体"/>
                <w:color w:val="auto"/>
                <w:szCs w:val="21"/>
                <w:highlight w:val="none"/>
              </w:rPr>
            </w:pPr>
          </w:p>
        </w:tc>
      </w:tr>
      <w:tr w14:paraId="3D58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685846A6">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6ECFC02">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06DA09E">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A0B14E8">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A40D5E0">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442C2E8">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053B49ED">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0B4813E8">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678D2B36">
            <w:pPr>
              <w:spacing w:line="360" w:lineRule="auto"/>
              <w:ind w:firstLine="420" w:firstLineChars="200"/>
              <w:rPr>
                <w:rFonts w:hint="eastAsia" w:ascii="宋体" w:hAnsi="宋体" w:eastAsia="宋体" w:cs="宋体"/>
                <w:color w:val="auto"/>
                <w:szCs w:val="21"/>
                <w:highlight w:val="none"/>
              </w:rPr>
            </w:pPr>
          </w:p>
        </w:tc>
      </w:tr>
      <w:tr w14:paraId="4B4E9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009C61B8">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36E6946">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B016DFD">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FDA7BCC">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37A538B">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035F7F3">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6C704666">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660EB925">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2541B128">
            <w:pPr>
              <w:spacing w:line="360" w:lineRule="auto"/>
              <w:ind w:firstLine="420" w:firstLineChars="200"/>
              <w:rPr>
                <w:rFonts w:hint="eastAsia" w:ascii="宋体" w:hAnsi="宋体" w:eastAsia="宋体" w:cs="宋体"/>
                <w:color w:val="auto"/>
                <w:szCs w:val="21"/>
                <w:highlight w:val="none"/>
              </w:rPr>
            </w:pPr>
          </w:p>
        </w:tc>
      </w:tr>
      <w:tr w14:paraId="66FEF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7E0A54B5">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5A92D6A">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AB18FA1">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9D4E57B">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83FED8D">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28AFD2C2">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2028C315">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2CEA12A3">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14714834">
            <w:pPr>
              <w:spacing w:line="360" w:lineRule="auto"/>
              <w:ind w:firstLine="420" w:firstLineChars="200"/>
              <w:rPr>
                <w:rFonts w:hint="eastAsia" w:ascii="宋体" w:hAnsi="宋体" w:eastAsia="宋体" w:cs="宋体"/>
                <w:color w:val="auto"/>
                <w:szCs w:val="21"/>
                <w:highlight w:val="none"/>
              </w:rPr>
            </w:pPr>
          </w:p>
        </w:tc>
      </w:tr>
      <w:tr w14:paraId="1FBB1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23C13B24">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882D567">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6C748CD">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16A5EF4">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4DF95F6">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76338BF">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2556465D">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6F511C68">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335E965F">
            <w:pPr>
              <w:spacing w:line="360" w:lineRule="auto"/>
              <w:ind w:firstLine="420" w:firstLineChars="200"/>
              <w:rPr>
                <w:rFonts w:hint="eastAsia" w:ascii="宋体" w:hAnsi="宋体" w:eastAsia="宋体" w:cs="宋体"/>
                <w:color w:val="auto"/>
                <w:szCs w:val="21"/>
                <w:highlight w:val="none"/>
              </w:rPr>
            </w:pPr>
          </w:p>
        </w:tc>
      </w:tr>
      <w:tr w14:paraId="567F3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03E6B49C">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FD2CC84">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9561E0F">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36269EC1">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15E5544">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A658E43">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3B83FC24">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4F2D22DA">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77C91646">
            <w:pPr>
              <w:spacing w:line="360" w:lineRule="auto"/>
              <w:ind w:firstLine="420" w:firstLineChars="200"/>
              <w:rPr>
                <w:rFonts w:hint="eastAsia" w:ascii="宋体" w:hAnsi="宋体" w:eastAsia="宋体" w:cs="宋体"/>
                <w:color w:val="auto"/>
                <w:szCs w:val="21"/>
                <w:highlight w:val="none"/>
              </w:rPr>
            </w:pPr>
          </w:p>
        </w:tc>
      </w:tr>
      <w:tr w14:paraId="5E2DE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08C7CEE6">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525FFA2">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0B944EEF">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AFC8513">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662CB9B5">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0628E5ED">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2AD53B7E">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7B4D54BD">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43552686">
            <w:pPr>
              <w:spacing w:line="360" w:lineRule="auto"/>
              <w:ind w:firstLine="420" w:firstLineChars="200"/>
              <w:rPr>
                <w:rFonts w:hint="eastAsia" w:ascii="宋体" w:hAnsi="宋体" w:eastAsia="宋体" w:cs="宋体"/>
                <w:color w:val="auto"/>
                <w:szCs w:val="21"/>
                <w:highlight w:val="none"/>
              </w:rPr>
            </w:pPr>
          </w:p>
        </w:tc>
      </w:tr>
      <w:tr w14:paraId="39A3A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outset" w:color="auto" w:sz="6" w:space="0"/>
              <w:left w:val="outset" w:color="auto" w:sz="6" w:space="0"/>
              <w:bottom w:val="outset" w:color="auto" w:sz="6" w:space="0"/>
              <w:right w:val="outset" w:color="auto" w:sz="6" w:space="0"/>
            </w:tcBorders>
            <w:noWrap w:val="0"/>
            <w:vAlign w:val="center"/>
          </w:tcPr>
          <w:p w14:paraId="08E0CCEE">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4F9D51CF">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54A6EB6D">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192D7BA8">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FC374BF">
            <w:pPr>
              <w:spacing w:line="360" w:lineRule="auto"/>
              <w:ind w:firstLine="420" w:firstLineChars="200"/>
              <w:rPr>
                <w:rFonts w:hint="eastAsia" w:ascii="宋体" w:hAnsi="宋体" w:eastAsia="宋体" w:cs="宋体"/>
                <w:color w:val="auto"/>
                <w:szCs w:val="21"/>
                <w:highlight w:val="none"/>
              </w:rPr>
            </w:pPr>
          </w:p>
        </w:tc>
        <w:tc>
          <w:tcPr>
            <w:tcW w:w="0" w:type="auto"/>
            <w:tcBorders>
              <w:top w:val="outset" w:color="auto" w:sz="6" w:space="0"/>
              <w:left w:val="outset" w:color="auto" w:sz="6" w:space="0"/>
              <w:bottom w:val="outset" w:color="auto" w:sz="6" w:space="0"/>
              <w:right w:val="outset" w:color="auto" w:sz="6" w:space="0"/>
            </w:tcBorders>
            <w:noWrap w:val="0"/>
            <w:vAlign w:val="center"/>
          </w:tcPr>
          <w:p w14:paraId="779685BE">
            <w:pPr>
              <w:spacing w:line="360" w:lineRule="auto"/>
              <w:ind w:firstLine="420" w:firstLineChars="200"/>
              <w:rPr>
                <w:rFonts w:hint="eastAsia" w:ascii="宋体" w:hAnsi="宋体" w:eastAsia="宋体" w:cs="宋体"/>
                <w:color w:val="auto"/>
                <w:szCs w:val="21"/>
                <w:highlight w:val="none"/>
              </w:rPr>
            </w:pPr>
          </w:p>
        </w:tc>
        <w:tc>
          <w:tcPr>
            <w:tcW w:w="1656" w:type="dxa"/>
            <w:tcBorders>
              <w:top w:val="outset" w:color="auto" w:sz="6" w:space="0"/>
              <w:left w:val="outset" w:color="auto" w:sz="6" w:space="0"/>
              <w:bottom w:val="outset" w:color="auto" w:sz="6" w:space="0"/>
              <w:right w:val="outset" w:color="auto" w:sz="6" w:space="0"/>
            </w:tcBorders>
            <w:noWrap w:val="0"/>
            <w:vAlign w:val="center"/>
          </w:tcPr>
          <w:p w14:paraId="46A5E96C">
            <w:pPr>
              <w:spacing w:line="360" w:lineRule="auto"/>
              <w:ind w:firstLine="420" w:firstLineChars="200"/>
              <w:rPr>
                <w:rFonts w:hint="eastAsia" w:ascii="宋体" w:hAnsi="宋体" w:eastAsia="宋体" w:cs="宋体"/>
                <w:color w:val="auto"/>
                <w:szCs w:val="21"/>
                <w:highlight w:val="none"/>
              </w:rPr>
            </w:pPr>
          </w:p>
        </w:tc>
        <w:tc>
          <w:tcPr>
            <w:tcW w:w="996" w:type="dxa"/>
            <w:tcBorders>
              <w:top w:val="outset" w:color="auto" w:sz="6" w:space="0"/>
              <w:left w:val="outset" w:color="auto" w:sz="6" w:space="0"/>
              <w:bottom w:val="outset" w:color="auto" w:sz="6" w:space="0"/>
              <w:right w:val="outset" w:color="auto" w:sz="6" w:space="0"/>
            </w:tcBorders>
            <w:noWrap w:val="0"/>
            <w:vAlign w:val="center"/>
          </w:tcPr>
          <w:p w14:paraId="494B9757">
            <w:pPr>
              <w:spacing w:line="360" w:lineRule="auto"/>
              <w:ind w:firstLine="420" w:firstLineChars="200"/>
              <w:rPr>
                <w:rFonts w:hint="eastAsia" w:ascii="宋体" w:hAnsi="宋体" w:eastAsia="宋体" w:cs="宋体"/>
                <w:color w:val="auto"/>
                <w:szCs w:val="21"/>
                <w:highlight w:val="none"/>
              </w:rPr>
            </w:pPr>
          </w:p>
        </w:tc>
        <w:tc>
          <w:tcPr>
            <w:tcW w:w="816" w:type="dxa"/>
            <w:tcBorders>
              <w:top w:val="outset" w:color="auto" w:sz="6" w:space="0"/>
              <w:left w:val="outset" w:color="auto" w:sz="6" w:space="0"/>
              <w:bottom w:val="outset" w:color="auto" w:sz="6" w:space="0"/>
              <w:right w:val="outset" w:color="auto" w:sz="6" w:space="0"/>
            </w:tcBorders>
            <w:noWrap w:val="0"/>
            <w:vAlign w:val="center"/>
          </w:tcPr>
          <w:p w14:paraId="0C44CCC9">
            <w:pPr>
              <w:spacing w:line="360" w:lineRule="auto"/>
              <w:ind w:firstLine="420" w:firstLineChars="200"/>
              <w:rPr>
                <w:rFonts w:hint="eastAsia" w:ascii="宋体" w:hAnsi="宋体" w:eastAsia="宋体" w:cs="宋体"/>
                <w:color w:val="auto"/>
                <w:szCs w:val="21"/>
                <w:highlight w:val="none"/>
              </w:rPr>
            </w:pPr>
          </w:p>
        </w:tc>
      </w:tr>
    </w:tbl>
    <w:p w14:paraId="7442638C">
      <w:pPr>
        <w:rPr>
          <w:rFonts w:hint="eastAsia" w:ascii="宋体" w:hAnsi="宋体" w:eastAsia="宋体" w:cs="宋体"/>
          <w:color w:val="auto"/>
          <w:highlight w:val="none"/>
        </w:rPr>
      </w:pPr>
      <w:r>
        <w:rPr>
          <w:rFonts w:hint="eastAsia" w:ascii="宋体" w:hAnsi="宋体" w:eastAsia="宋体" w:cs="宋体"/>
          <w:color w:val="auto"/>
          <w:szCs w:val="21"/>
          <w:highlight w:val="none"/>
        </w:rPr>
        <w:br w:type="page"/>
      </w:r>
      <w:bookmarkStart w:id="2596" w:name="_Toc763419167_WPSOffice_Level2"/>
      <w:r>
        <w:rPr>
          <w:rFonts w:hint="eastAsia" w:ascii="宋体" w:hAnsi="宋体" w:eastAsia="宋体" w:cs="宋体"/>
          <w:color w:val="auto"/>
          <w:highlight w:val="none"/>
        </w:rPr>
        <w:t>附表三：劳动力计划表</w:t>
      </w:r>
      <w:bookmarkEnd w:id="2596"/>
    </w:p>
    <w:p w14:paraId="1F4DF670">
      <w:pPr>
        <w:spacing w:line="360" w:lineRule="auto"/>
        <w:ind w:firstLine="7560" w:firstLineChars="36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单位：人</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1246"/>
        <w:gridCol w:w="1246"/>
        <w:gridCol w:w="1248"/>
        <w:gridCol w:w="1247"/>
        <w:gridCol w:w="1248"/>
        <w:gridCol w:w="1247"/>
        <w:gridCol w:w="1248"/>
      </w:tblGrid>
      <w:tr w14:paraId="5CE3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0D4C9E5C">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工种</w:t>
            </w:r>
          </w:p>
        </w:tc>
        <w:tc>
          <w:tcPr>
            <w:tcW w:w="8802" w:type="dxa"/>
            <w:gridSpan w:val="7"/>
            <w:tcBorders>
              <w:top w:val="outset" w:color="auto" w:sz="6" w:space="0"/>
              <w:left w:val="outset" w:color="auto" w:sz="6" w:space="0"/>
              <w:bottom w:val="outset" w:color="auto" w:sz="6" w:space="0"/>
              <w:right w:val="outset" w:color="auto" w:sz="6" w:space="0"/>
            </w:tcBorders>
            <w:noWrap w:val="0"/>
            <w:vAlign w:val="center"/>
          </w:tcPr>
          <w:p w14:paraId="2BCFC0C8">
            <w:pPr>
              <w:spacing w:line="360" w:lineRule="auto"/>
              <w:ind w:firstLine="420" w:firstLineChars="20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按工程施工阶段投入劳动力情况</w:t>
            </w:r>
          </w:p>
        </w:tc>
      </w:tr>
      <w:tr w14:paraId="6579E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61CC41DD">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55772EAE">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1EF2A0B0">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7454ADE4">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71FC418A">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4AB9F3A5">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58F32D64">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A1E84DB">
            <w:pPr>
              <w:spacing w:line="360" w:lineRule="auto"/>
              <w:ind w:firstLine="420" w:firstLineChars="200"/>
              <w:rPr>
                <w:rFonts w:hint="eastAsia" w:ascii="宋体" w:hAnsi="宋体" w:eastAsia="宋体" w:cs="宋体"/>
                <w:color w:val="auto"/>
                <w:szCs w:val="21"/>
                <w:highlight w:val="none"/>
              </w:rPr>
            </w:pPr>
          </w:p>
        </w:tc>
      </w:tr>
      <w:tr w14:paraId="24093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6A43F48C">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66FF61EA">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715097FD">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086C07AA">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9CE8DB7">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1407D31F">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22CD6098">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DF52644">
            <w:pPr>
              <w:spacing w:line="360" w:lineRule="auto"/>
              <w:ind w:firstLine="420" w:firstLineChars="200"/>
              <w:rPr>
                <w:rFonts w:hint="eastAsia" w:ascii="宋体" w:hAnsi="宋体" w:eastAsia="宋体" w:cs="宋体"/>
                <w:color w:val="auto"/>
                <w:szCs w:val="21"/>
                <w:highlight w:val="none"/>
              </w:rPr>
            </w:pPr>
          </w:p>
        </w:tc>
      </w:tr>
      <w:tr w14:paraId="1899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2ADD36D4">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CEDD074">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7534FF4">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6EF957A4">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72EF67EB">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3242E93E">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F30FE8C">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4391A888">
            <w:pPr>
              <w:spacing w:line="360" w:lineRule="auto"/>
              <w:ind w:firstLine="420" w:firstLineChars="200"/>
              <w:rPr>
                <w:rFonts w:hint="eastAsia" w:ascii="宋体" w:hAnsi="宋体" w:eastAsia="宋体" w:cs="宋体"/>
                <w:color w:val="auto"/>
                <w:szCs w:val="21"/>
                <w:highlight w:val="none"/>
              </w:rPr>
            </w:pPr>
          </w:p>
        </w:tc>
      </w:tr>
      <w:tr w14:paraId="7E10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00CD1560">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EA671F7">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A53DC5E">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28F8E5BA">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1F823C70">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296E438F">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225F8D72">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158EB6D7">
            <w:pPr>
              <w:spacing w:line="360" w:lineRule="auto"/>
              <w:ind w:firstLine="420" w:firstLineChars="200"/>
              <w:rPr>
                <w:rFonts w:hint="eastAsia" w:ascii="宋体" w:hAnsi="宋体" w:eastAsia="宋体" w:cs="宋体"/>
                <w:color w:val="auto"/>
                <w:szCs w:val="21"/>
                <w:highlight w:val="none"/>
              </w:rPr>
            </w:pPr>
          </w:p>
        </w:tc>
      </w:tr>
      <w:tr w14:paraId="63A6F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7079B8D3">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C934D68">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6BB0B859">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28DB1412">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5D576426">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29466B95">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5E3254C3">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1C8E045E">
            <w:pPr>
              <w:spacing w:line="360" w:lineRule="auto"/>
              <w:ind w:firstLine="420" w:firstLineChars="200"/>
              <w:rPr>
                <w:rFonts w:hint="eastAsia" w:ascii="宋体" w:hAnsi="宋体" w:eastAsia="宋体" w:cs="宋体"/>
                <w:color w:val="auto"/>
                <w:szCs w:val="21"/>
                <w:highlight w:val="none"/>
              </w:rPr>
            </w:pPr>
          </w:p>
        </w:tc>
      </w:tr>
      <w:tr w14:paraId="41DCF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2B482D57">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80DE076">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2D8C4DF4">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2F53DA00">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E1E1340">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1AAA83A4">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1D1CDCA">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F6D52DD">
            <w:pPr>
              <w:spacing w:line="360" w:lineRule="auto"/>
              <w:ind w:firstLine="420" w:firstLineChars="200"/>
              <w:rPr>
                <w:rFonts w:hint="eastAsia" w:ascii="宋体" w:hAnsi="宋体" w:eastAsia="宋体" w:cs="宋体"/>
                <w:color w:val="auto"/>
                <w:szCs w:val="21"/>
                <w:highlight w:val="none"/>
              </w:rPr>
            </w:pPr>
          </w:p>
        </w:tc>
      </w:tr>
      <w:tr w14:paraId="438F8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219E0CBA">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25E2B113">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157B22E">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2B79975D">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F7F3900">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70420428">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620668C">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0EF902C3">
            <w:pPr>
              <w:spacing w:line="360" w:lineRule="auto"/>
              <w:ind w:firstLine="420" w:firstLineChars="200"/>
              <w:rPr>
                <w:rFonts w:hint="eastAsia" w:ascii="宋体" w:hAnsi="宋体" w:eastAsia="宋体" w:cs="宋体"/>
                <w:color w:val="auto"/>
                <w:szCs w:val="21"/>
                <w:highlight w:val="none"/>
              </w:rPr>
            </w:pPr>
          </w:p>
        </w:tc>
      </w:tr>
      <w:tr w14:paraId="42B18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7786217E">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583861BE">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117B0379">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21F1CC83">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9E4CD83">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CA9AB63">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2B4CF308">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36F247F3">
            <w:pPr>
              <w:spacing w:line="360" w:lineRule="auto"/>
              <w:ind w:firstLine="420" w:firstLineChars="200"/>
              <w:rPr>
                <w:rFonts w:hint="eastAsia" w:ascii="宋体" w:hAnsi="宋体" w:eastAsia="宋体" w:cs="宋体"/>
                <w:color w:val="auto"/>
                <w:szCs w:val="21"/>
                <w:highlight w:val="none"/>
              </w:rPr>
            </w:pPr>
          </w:p>
        </w:tc>
      </w:tr>
      <w:tr w14:paraId="0A705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5CBE16A6">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5D23035F">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697392DF">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4A7632C4">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263B7FEF">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0CBFD5BE">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8BB2C0A">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793A2EF6">
            <w:pPr>
              <w:spacing w:line="360" w:lineRule="auto"/>
              <w:ind w:firstLine="420" w:firstLineChars="200"/>
              <w:rPr>
                <w:rFonts w:hint="eastAsia" w:ascii="宋体" w:hAnsi="宋体" w:eastAsia="宋体" w:cs="宋体"/>
                <w:color w:val="auto"/>
                <w:szCs w:val="21"/>
                <w:highlight w:val="none"/>
              </w:rPr>
            </w:pPr>
          </w:p>
        </w:tc>
      </w:tr>
      <w:tr w14:paraId="7FA7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6CE4A2CA">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7E75F996">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6C96E3A6">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7B5641C2">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425EE18">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B10A3E2">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00D470A">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2827C521">
            <w:pPr>
              <w:spacing w:line="360" w:lineRule="auto"/>
              <w:ind w:firstLine="420" w:firstLineChars="200"/>
              <w:rPr>
                <w:rFonts w:hint="eastAsia" w:ascii="宋体" w:hAnsi="宋体" w:eastAsia="宋体" w:cs="宋体"/>
                <w:color w:val="auto"/>
                <w:szCs w:val="21"/>
                <w:highlight w:val="none"/>
              </w:rPr>
            </w:pPr>
          </w:p>
        </w:tc>
      </w:tr>
      <w:tr w14:paraId="67BC0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7A1C6BF7">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E229E86">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13E504C4">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DE73493">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2133F518">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25659BA5">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6365941E">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308F43A8">
            <w:pPr>
              <w:spacing w:line="360" w:lineRule="auto"/>
              <w:ind w:firstLine="420" w:firstLineChars="200"/>
              <w:rPr>
                <w:rFonts w:hint="eastAsia" w:ascii="宋体" w:hAnsi="宋体" w:eastAsia="宋体" w:cs="宋体"/>
                <w:color w:val="auto"/>
                <w:szCs w:val="21"/>
                <w:highlight w:val="none"/>
              </w:rPr>
            </w:pPr>
          </w:p>
        </w:tc>
      </w:tr>
      <w:tr w14:paraId="66F88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0CE38F85">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2391826A">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946CAEF">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7A1C4BC1">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61BB39BC">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457C10DC">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7563FB65">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41A9B1D">
            <w:pPr>
              <w:spacing w:line="360" w:lineRule="auto"/>
              <w:ind w:firstLine="420" w:firstLineChars="200"/>
              <w:rPr>
                <w:rFonts w:hint="eastAsia" w:ascii="宋体" w:hAnsi="宋体" w:eastAsia="宋体" w:cs="宋体"/>
                <w:color w:val="auto"/>
                <w:szCs w:val="21"/>
                <w:highlight w:val="none"/>
              </w:rPr>
            </w:pPr>
          </w:p>
        </w:tc>
      </w:tr>
      <w:tr w14:paraId="6D5DC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752BC026">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516D8126">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2CACC4F3">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73B0CF41">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71F496F">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CCF8FC4">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58FD7619">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26CE574C">
            <w:pPr>
              <w:spacing w:line="360" w:lineRule="auto"/>
              <w:ind w:firstLine="420" w:firstLineChars="200"/>
              <w:rPr>
                <w:rFonts w:hint="eastAsia" w:ascii="宋体" w:hAnsi="宋体" w:eastAsia="宋体" w:cs="宋体"/>
                <w:color w:val="auto"/>
                <w:szCs w:val="21"/>
                <w:highlight w:val="none"/>
              </w:rPr>
            </w:pPr>
          </w:p>
        </w:tc>
      </w:tr>
      <w:tr w14:paraId="35959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32B15BE0">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77D809E3">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55A0DA37">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39FAD353">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4378BB6">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4FCC9B17">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8A9EDC3">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0D0E4989">
            <w:pPr>
              <w:spacing w:line="360" w:lineRule="auto"/>
              <w:ind w:firstLine="420" w:firstLineChars="200"/>
              <w:rPr>
                <w:rFonts w:hint="eastAsia" w:ascii="宋体" w:hAnsi="宋体" w:eastAsia="宋体" w:cs="宋体"/>
                <w:color w:val="auto"/>
                <w:szCs w:val="21"/>
                <w:highlight w:val="none"/>
              </w:rPr>
            </w:pPr>
          </w:p>
        </w:tc>
      </w:tr>
      <w:tr w14:paraId="16427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7219186F">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3F3FE54">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03FF8E8">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64C8B108">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1E76778B">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47B74ABC">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EA0B573">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2E2815D2">
            <w:pPr>
              <w:spacing w:line="360" w:lineRule="auto"/>
              <w:ind w:firstLine="420" w:firstLineChars="200"/>
              <w:rPr>
                <w:rFonts w:hint="eastAsia" w:ascii="宋体" w:hAnsi="宋体" w:eastAsia="宋体" w:cs="宋体"/>
                <w:color w:val="auto"/>
                <w:szCs w:val="21"/>
                <w:highlight w:val="none"/>
              </w:rPr>
            </w:pPr>
          </w:p>
        </w:tc>
      </w:tr>
      <w:tr w14:paraId="499CF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78A809E2">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15EFF8B">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12D6B617">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460B2D5F">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66F28DAD">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7A571B86">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8013EE8">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077E93B5">
            <w:pPr>
              <w:spacing w:line="360" w:lineRule="auto"/>
              <w:ind w:firstLine="420" w:firstLineChars="200"/>
              <w:rPr>
                <w:rFonts w:hint="eastAsia" w:ascii="宋体" w:hAnsi="宋体" w:eastAsia="宋体" w:cs="宋体"/>
                <w:color w:val="auto"/>
                <w:szCs w:val="21"/>
                <w:highlight w:val="none"/>
              </w:rPr>
            </w:pPr>
          </w:p>
        </w:tc>
      </w:tr>
      <w:tr w14:paraId="2139A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176BBCC7">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50577490">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1DF0EB6">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2BF171B">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23E1B49">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8F5E043">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15D12502">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4A99CC68">
            <w:pPr>
              <w:spacing w:line="360" w:lineRule="auto"/>
              <w:ind w:firstLine="420" w:firstLineChars="200"/>
              <w:rPr>
                <w:rFonts w:hint="eastAsia" w:ascii="宋体" w:hAnsi="宋体" w:eastAsia="宋体" w:cs="宋体"/>
                <w:color w:val="auto"/>
                <w:szCs w:val="21"/>
                <w:highlight w:val="none"/>
              </w:rPr>
            </w:pPr>
          </w:p>
        </w:tc>
      </w:tr>
      <w:tr w14:paraId="06CB8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43B4F484">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5F082B8">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D73D5FA">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FBD3AA4">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114E2D22">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4721CA5C">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40C5C07">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6E4EFB1D">
            <w:pPr>
              <w:spacing w:line="360" w:lineRule="auto"/>
              <w:ind w:firstLine="420" w:firstLineChars="200"/>
              <w:rPr>
                <w:rFonts w:hint="eastAsia" w:ascii="宋体" w:hAnsi="宋体" w:eastAsia="宋体" w:cs="宋体"/>
                <w:color w:val="auto"/>
                <w:szCs w:val="21"/>
                <w:highlight w:val="none"/>
              </w:rPr>
            </w:pPr>
          </w:p>
        </w:tc>
      </w:tr>
      <w:tr w14:paraId="5A030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031D6508">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63B7B444">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2E5F9FC1">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03B4A531">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5BF5ABB6">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658AAB66">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662ADED4">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00A17940">
            <w:pPr>
              <w:spacing w:line="360" w:lineRule="auto"/>
              <w:ind w:firstLine="420" w:firstLineChars="200"/>
              <w:rPr>
                <w:rFonts w:hint="eastAsia" w:ascii="宋体" w:hAnsi="宋体" w:eastAsia="宋体" w:cs="宋体"/>
                <w:color w:val="auto"/>
                <w:szCs w:val="21"/>
                <w:highlight w:val="none"/>
              </w:rPr>
            </w:pPr>
          </w:p>
        </w:tc>
      </w:tr>
      <w:tr w14:paraId="621A0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6B657182">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1CBADFCF">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68642BFC">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18305FA7">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700C5B8">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3CB17B3A">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46E537E">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CEB18E0">
            <w:pPr>
              <w:spacing w:line="360" w:lineRule="auto"/>
              <w:ind w:firstLine="420" w:firstLineChars="200"/>
              <w:rPr>
                <w:rFonts w:hint="eastAsia" w:ascii="宋体" w:hAnsi="宋体" w:eastAsia="宋体" w:cs="宋体"/>
                <w:color w:val="auto"/>
                <w:szCs w:val="21"/>
                <w:highlight w:val="none"/>
              </w:rPr>
            </w:pPr>
          </w:p>
        </w:tc>
      </w:tr>
      <w:tr w14:paraId="2CBB1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738FEB32">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259451D">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3D108692">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409DCB9F">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4AC61B56">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30B37DF0">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667D775">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2D75308">
            <w:pPr>
              <w:spacing w:line="360" w:lineRule="auto"/>
              <w:ind w:firstLine="420" w:firstLineChars="200"/>
              <w:rPr>
                <w:rFonts w:hint="eastAsia" w:ascii="宋体" w:hAnsi="宋体" w:eastAsia="宋体" w:cs="宋体"/>
                <w:color w:val="auto"/>
                <w:szCs w:val="21"/>
                <w:highlight w:val="none"/>
              </w:rPr>
            </w:pPr>
          </w:p>
        </w:tc>
      </w:tr>
      <w:tr w14:paraId="11FF7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noWrap w:val="0"/>
            <w:vAlign w:val="center"/>
          </w:tcPr>
          <w:p w14:paraId="586D2AAE">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097DC692">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2E1BFAF5">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5341C262">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7A16D43E">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79A431C8">
            <w:pPr>
              <w:spacing w:line="360" w:lineRule="auto"/>
              <w:ind w:firstLine="420" w:firstLineChars="200"/>
              <w:rPr>
                <w:rFonts w:hint="eastAsia" w:ascii="宋体" w:hAnsi="宋体" w:eastAsia="宋体" w:cs="宋体"/>
                <w:color w:val="auto"/>
                <w:szCs w:val="21"/>
                <w:highlight w:val="none"/>
              </w:rPr>
            </w:pPr>
          </w:p>
        </w:tc>
        <w:tc>
          <w:tcPr>
            <w:tcW w:w="1257" w:type="dxa"/>
            <w:tcBorders>
              <w:top w:val="outset" w:color="auto" w:sz="6" w:space="0"/>
              <w:left w:val="outset" w:color="auto" w:sz="6" w:space="0"/>
              <w:bottom w:val="outset" w:color="auto" w:sz="6" w:space="0"/>
              <w:right w:val="outset" w:color="auto" w:sz="6" w:space="0"/>
            </w:tcBorders>
            <w:noWrap w:val="0"/>
            <w:vAlign w:val="center"/>
          </w:tcPr>
          <w:p w14:paraId="7864E6BE">
            <w:pPr>
              <w:spacing w:line="360" w:lineRule="auto"/>
              <w:ind w:firstLine="420" w:firstLineChars="200"/>
              <w:rPr>
                <w:rFonts w:hint="eastAsia" w:ascii="宋体" w:hAnsi="宋体" w:eastAsia="宋体" w:cs="宋体"/>
                <w:color w:val="auto"/>
                <w:szCs w:val="21"/>
                <w:highlight w:val="none"/>
              </w:rPr>
            </w:pPr>
          </w:p>
        </w:tc>
        <w:tc>
          <w:tcPr>
            <w:tcW w:w="1258" w:type="dxa"/>
            <w:tcBorders>
              <w:top w:val="outset" w:color="auto" w:sz="6" w:space="0"/>
              <w:left w:val="outset" w:color="auto" w:sz="6" w:space="0"/>
              <w:bottom w:val="outset" w:color="auto" w:sz="6" w:space="0"/>
              <w:right w:val="outset" w:color="auto" w:sz="6" w:space="0"/>
            </w:tcBorders>
            <w:noWrap w:val="0"/>
            <w:vAlign w:val="center"/>
          </w:tcPr>
          <w:p w14:paraId="1C4EE368">
            <w:pPr>
              <w:spacing w:line="360" w:lineRule="auto"/>
              <w:ind w:firstLine="420" w:firstLineChars="200"/>
              <w:rPr>
                <w:rFonts w:hint="eastAsia" w:ascii="宋体" w:hAnsi="宋体" w:eastAsia="宋体" w:cs="宋体"/>
                <w:color w:val="auto"/>
                <w:szCs w:val="21"/>
                <w:highlight w:val="none"/>
              </w:rPr>
            </w:pPr>
          </w:p>
        </w:tc>
      </w:tr>
    </w:tbl>
    <w:p w14:paraId="54D0076E">
      <w:pPr>
        <w:rPr>
          <w:rFonts w:hint="eastAsia" w:ascii="宋体" w:hAnsi="宋体" w:eastAsia="宋体" w:cs="宋体"/>
          <w:color w:val="auto"/>
          <w:highlight w:val="none"/>
        </w:rPr>
      </w:pPr>
      <w:r>
        <w:rPr>
          <w:rFonts w:hint="eastAsia" w:ascii="宋体" w:hAnsi="宋体" w:eastAsia="宋体" w:cs="宋体"/>
          <w:color w:val="auto"/>
          <w:szCs w:val="21"/>
          <w:highlight w:val="none"/>
        </w:rPr>
        <w:br w:type="page"/>
      </w:r>
      <w:bookmarkStart w:id="2597" w:name="_Toc1750927396_WPSOffice_Level2"/>
      <w:r>
        <w:rPr>
          <w:rFonts w:hint="eastAsia" w:ascii="宋体" w:hAnsi="宋体" w:eastAsia="宋体" w:cs="宋体"/>
          <w:color w:val="auto"/>
          <w:highlight w:val="none"/>
        </w:rPr>
        <w:t>附表四：计划开、竣工日期和施工进度网络图</w:t>
      </w:r>
      <w:bookmarkEnd w:id="2597"/>
    </w:p>
    <w:p w14:paraId="3C9159DC">
      <w:pPr>
        <w:spacing w:line="360" w:lineRule="auto"/>
        <w:ind w:firstLine="420" w:firstLineChars="200"/>
        <w:rPr>
          <w:rFonts w:hint="eastAsia" w:ascii="宋体" w:hAnsi="宋体" w:eastAsia="宋体" w:cs="宋体"/>
          <w:color w:val="auto"/>
          <w:szCs w:val="21"/>
          <w:highlight w:val="none"/>
        </w:rPr>
      </w:pPr>
    </w:p>
    <w:p w14:paraId="68693D5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1．投标人应递交施工进度网络图或施工进度表，说明按招标文件要求的计划工期进行施工的各个关键日期。</w:t>
      </w:r>
    </w:p>
    <w:p w14:paraId="2D26F64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2．施工进度表可采用网络图（或横道图）表示。</w:t>
      </w:r>
    </w:p>
    <w:p w14:paraId="49D474E4">
      <w:pPr>
        <w:spacing w:line="360" w:lineRule="auto"/>
        <w:rPr>
          <w:rFonts w:hint="eastAsia" w:ascii="宋体" w:hAnsi="宋体" w:eastAsia="宋体" w:cs="宋体"/>
          <w:color w:val="auto"/>
          <w:highlight w:val="none"/>
        </w:rPr>
      </w:pPr>
      <w:r>
        <w:rPr>
          <w:rFonts w:hint="eastAsia" w:ascii="宋体" w:hAnsi="宋体" w:eastAsia="宋体" w:cs="宋体"/>
          <w:color w:val="auto"/>
          <w:szCs w:val="21"/>
          <w:highlight w:val="none"/>
        </w:rPr>
        <w:br w:type="page"/>
      </w:r>
      <w:bookmarkStart w:id="2598" w:name="_Toc1879843017_WPSOffice_Level2"/>
      <w:r>
        <w:rPr>
          <w:rFonts w:hint="eastAsia" w:ascii="宋体" w:hAnsi="宋体" w:eastAsia="宋体" w:cs="宋体"/>
          <w:color w:val="auto"/>
          <w:highlight w:val="none"/>
        </w:rPr>
        <w:t>附表五：施工总平面图</w:t>
      </w:r>
      <w:bookmarkEnd w:id="2598"/>
    </w:p>
    <w:p w14:paraId="78FD76A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投标人应递交一份施工总平面图，绘出现场临时设施布置图表并附文字说明，说明临时设施、加工车间、现场办公、设备及仓储、供电、供水、卫生、生活、道路、消防等设施的情况和布置。</w:t>
      </w:r>
    </w:p>
    <w:permEnd w:id="196"/>
    <w:p w14:paraId="6594E88D">
      <w:pPr>
        <w:rPr>
          <w:rFonts w:hint="eastAsia" w:ascii="宋体" w:hAnsi="宋体" w:eastAsia="宋体" w:cs="宋体"/>
          <w:color w:val="auto"/>
          <w:highlight w:val="none"/>
        </w:rPr>
      </w:pPr>
      <w:bookmarkStart w:id="2599" w:name="_Toc556841138_WPSOffice_Level2"/>
      <w:r>
        <w:rPr>
          <w:rFonts w:hint="eastAsia" w:ascii="宋体" w:hAnsi="宋体" w:eastAsia="宋体" w:cs="宋体"/>
          <w:color w:val="auto"/>
          <w:highlight w:val="none"/>
        </w:rPr>
        <w:br w:type="page"/>
      </w:r>
      <w:permStart w:id="197" w:edGrp="everyone"/>
      <w:r>
        <w:rPr>
          <w:rFonts w:hint="eastAsia" w:ascii="宋体" w:hAnsi="宋体" w:eastAsia="宋体" w:cs="宋体"/>
          <w:color w:val="auto"/>
          <w:highlight w:val="none"/>
        </w:rPr>
        <w:t>附表六：临时用地表</w:t>
      </w:r>
      <w:bookmarkEnd w:id="2599"/>
    </w:p>
    <w:p w14:paraId="501328C3">
      <w:pPr>
        <w:rPr>
          <w:rFonts w:hint="eastAsia" w:ascii="宋体" w:hAnsi="宋体" w:eastAsia="宋体" w:cs="宋体"/>
          <w:color w:val="auto"/>
          <w:highlight w:val="none"/>
        </w:rPr>
      </w:pPr>
    </w:p>
    <w:tbl>
      <w:tblPr>
        <w:tblStyle w:val="2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9"/>
        <w:gridCol w:w="2326"/>
        <w:gridCol w:w="2499"/>
        <w:gridCol w:w="2499"/>
      </w:tblGrid>
      <w:tr w14:paraId="12B3D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154" w:type="dxa"/>
            <w:noWrap w:val="0"/>
            <w:vAlign w:val="center"/>
          </w:tcPr>
          <w:p w14:paraId="0F8DC25C">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用途</w:t>
            </w:r>
          </w:p>
        </w:tc>
        <w:tc>
          <w:tcPr>
            <w:tcW w:w="2341" w:type="dxa"/>
            <w:noWrap w:val="0"/>
            <w:vAlign w:val="center"/>
          </w:tcPr>
          <w:p w14:paraId="38DD4051">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面积（平方米）</w:t>
            </w:r>
          </w:p>
        </w:tc>
        <w:tc>
          <w:tcPr>
            <w:tcW w:w="2517" w:type="dxa"/>
            <w:noWrap w:val="0"/>
            <w:vAlign w:val="center"/>
          </w:tcPr>
          <w:p w14:paraId="46ED9F67">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位置</w:t>
            </w:r>
          </w:p>
        </w:tc>
        <w:tc>
          <w:tcPr>
            <w:tcW w:w="2517" w:type="dxa"/>
            <w:noWrap w:val="0"/>
            <w:vAlign w:val="center"/>
          </w:tcPr>
          <w:p w14:paraId="6A5FA1AF">
            <w:pPr>
              <w:jc w:val="center"/>
              <w:rPr>
                <w:rFonts w:hint="eastAsia" w:ascii="宋体" w:hAnsi="宋体" w:eastAsia="宋体" w:cs="宋体"/>
                <w:color w:val="auto"/>
                <w:highlight w:val="none"/>
              </w:rPr>
            </w:pPr>
            <w:r>
              <w:rPr>
                <w:rFonts w:hint="eastAsia" w:ascii="宋体" w:hAnsi="宋体" w:eastAsia="宋体" w:cs="宋体"/>
                <w:color w:val="auto"/>
                <w:szCs w:val="21"/>
                <w:highlight w:val="none"/>
              </w:rPr>
              <w:t>需用时间</w:t>
            </w:r>
          </w:p>
        </w:tc>
      </w:tr>
      <w:tr w14:paraId="45157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6CF66B91">
            <w:pPr>
              <w:rPr>
                <w:rFonts w:hint="eastAsia" w:ascii="宋体" w:hAnsi="宋体" w:eastAsia="宋体" w:cs="宋体"/>
                <w:color w:val="auto"/>
                <w:highlight w:val="none"/>
              </w:rPr>
            </w:pPr>
          </w:p>
        </w:tc>
        <w:tc>
          <w:tcPr>
            <w:tcW w:w="2341" w:type="dxa"/>
            <w:noWrap w:val="0"/>
            <w:vAlign w:val="top"/>
          </w:tcPr>
          <w:p w14:paraId="2671E758">
            <w:pPr>
              <w:rPr>
                <w:rFonts w:hint="eastAsia" w:ascii="宋体" w:hAnsi="宋体" w:eastAsia="宋体" w:cs="宋体"/>
                <w:color w:val="auto"/>
                <w:highlight w:val="none"/>
              </w:rPr>
            </w:pPr>
          </w:p>
        </w:tc>
        <w:tc>
          <w:tcPr>
            <w:tcW w:w="2517" w:type="dxa"/>
            <w:noWrap w:val="0"/>
            <w:vAlign w:val="top"/>
          </w:tcPr>
          <w:p w14:paraId="4C71C033">
            <w:pPr>
              <w:rPr>
                <w:rFonts w:hint="eastAsia" w:ascii="宋体" w:hAnsi="宋体" w:eastAsia="宋体" w:cs="宋体"/>
                <w:color w:val="auto"/>
                <w:highlight w:val="none"/>
              </w:rPr>
            </w:pPr>
          </w:p>
        </w:tc>
        <w:tc>
          <w:tcPr>
            <w:tcW w:w="2517" w:type="dxa"/>
            <w:noWrap w:val="0"/>
            <w:vAlign w:val="top"/>
          </w:tcPr>
          <w:p w14:paraId="688597B8">
            <w:pPr>
              <w:rPr>
                <w:rFonts w:hint="eastAsia" w:ascii="宋体" w:hAnsi="宋体" w:eastAsia="宋体" w:cs="宋体"/>
                <w:color w:val="auto"/>
                <w:highlight w:val="none"/>
              </w:rPr>
            </w:pPr>
          </w:p>
        </w:tc>
      </w:tr>
      <w:tr w14:paraId="2C9B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521A0CD8">
            <w:pPr>
              <w:rPr>
                <w:rFonts w:hint="eastAsia" w:ascii="宋体" w:hAnsi="宋体" w:eastAsia="宋体" w:cs="宋体"/>
                <w:color w:val="auto"/>
                <w:highlight w:val="none"/>
              </w:rPr>
            </w:pPr>
          </w:p>
        </w:tc>
        <w:tc>
          <w:tcPr>
            <w:tcW w:w="2341" w:type="dxa"/>
            <w:noWrap w:val="0"/>
            <w:vAlign w:val="top"/>
          </w:tcPr>
          <w:p w14:paraId="05A55B27">
            <w:pPr>
              <w:rPr>
                <w:rFonts w:hint="eastAsia" w:ascii="宋体" w:hAnsi="宋体" w:eastAsia="宋体" w:cs="宋体"/>
                <w:color w:val="auto"/>
                <w:highlight w:val="none"/>
              </w:rPr>
            </w:pPr>
          </w:p>
        </w:tc>
        <w:tc>
          <w:tcPr>
            <w:tcW w:w="2517" w:type="dxa"/>
            <w:noWrap w:val="0"/>
            <w:vAlign w:val="top"/>
          </w:tcPr>
          <w:p w14:paraId="38F593C1">
            <w:pPr>
              <w:rPr>
                <w:rFonts w:hint="eastAsia" w:ascii="宋体" w:hAnsi="宋体" w:eastAsia="宋体" w:cs="宋体"/>
                <w:color w:val="auto"/>
                <w:highlight w:val="none"/>
              </w:rPr>
            </w:pPr>
          </w:p>
        </w:tc>
        <w:tc>
          <w:tcPr>
            <w:tcW w:w="2517" w:type="dxa"/>
            <w:noWrap w:val="0"/>
            <w:vAlign w:val="top"/>
          </w:tcPr>
          <w:p w14:paraId="6E71FDFF">
            <w:pPr>
              <w:rPr>
                <w:rFonts w:hint="eastAsia" w:ascii="宋体" w:hAnsi="宋体" w:eastAsia="宋体" w:cs="宋体"/>
                <w:color w:val="auto"/>
                <w:highlight w:val="none"/>
              </w:rPr>
            </w:pPr>
          </w:p>
        </w:tc>
      </w:tr>
      <w:tr w14:paraId="08843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noWrap w:val="0"/>
            <w:vAlign w:val="top"/>
          </w:tcPr>
          <w:p w14:paraId="6FAE25C5">
            <w:pPr>
              <w:rPr>
                <w:rFonts w:hint="eastAsia" w:ascii="宋体" w:hAnsi="宋体" w:eastAsia="宋体" w:cs="宋体"/>
                <w:color w:val="auto"/>
                <w:highlight w:val="none"/>
              </w:rPr>
            </w:pPr>
          </w:p>
        </w:tc>
        <w:tc>
          <w:tcPr>
            <w:tcW w:w="2341" w:type="dxa"/>
            <w:noWrap w:val="0"/>
            <w:vAlign w:val="top"/>
          </w:tcPr>
          <w:p w14:paraId="3A02701A">
            <w:pPr>
              <w:rPr>
                <w:rFonts w:hint="eastAsia" w:ascii="宋体" w:hAnsi="宋体" w:eastAsia="宋体" w:cs="宋体"/>
                <w:color w:val="auto"/>
                <w:highlight w:val="none"/>
              </w:rPr>
            </w:pPr>
          </w:p>
        </w:tc>
        <w:tc>
          <w:tcPr>
            <w:tcW w:w="2517" w:type="dxa"/>
            <w:noWrap w:val="0"/>
            <w:vAlign w:val="top"/>
          </w:tcPr>
          <w:p w14:paraId="0DF13FBB">
            <w:pPr>
              <w:rPr>
                <w:rFonts w:hint="eastAsia" w:ascii="宋体" w:hAnsi="宋体" w:eastAsia="宋体" w:cs="宋体"/>
                <w:color w:val="auto"/>
                <w:highlight w:val="none"/>
              </w:rPr>
            </w:pPr>
          </w:p>
        </w:tc>
        <w:tc>
          <w:tcPr>
            <w:tcW w:w="2517" w:type="dxa"/>
            <w:noWrap w:val="0"/>
            <w:vAlign w:val="top"/>
          </w:tcPr>
          <w:p w14:paraId="0F360F51">
            <w:pPr>
              <w:rPr>
                <w:rFonts w:hint="eastAsia" w:ascii="宋体" w:hAnsi="宋体" w:eastAsia="宋体" w:cs="宋体"/>
                <w:color w:val="auto"/>
                <w:highlight w:val="none"/>
              </w:rPr>
            </w:pPr>
          </w:p>
        </w:tc>
      </w:tr>
      <w:tr w14:paraId="070DD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594E48D4">
            <w:pPr>
              <w:rPr>
                <w:rFonts w:hint="eastAsia" w:ascii="宋体" w:hAnsi="宋体" w:eastAsia="宋体" w:cs="宋体"/>
                <w:color w:val="auto"/>
                <w:highlight w:val="none"/>
              </w:rPr>
            </w:pPr>
          </w:p>
        </w:tc>
        <w:tc>
          <w:tcPr>
            <w:tcW w:w="2341" w:type="dxa"/>
            <w:noWrap w:val="0"/>
            <w:vAlign w:val="top"/>
          </w:tcPr>
          <w:p w14:paraId="533F2E14">
            <w:pPr>
              <w:rPr>
                <w:rFonts w:hint="eastAsia" w:ascii="宋体" w:hAnsi="宋体" w:eastAsia="宋体" w:cs="宋体"/>
                <w:color w:val="auto"/>
                <w:highlight w:val="none"/>
              </w:rPr>
            </w:pPr>
          </w:p>
        </w:tc>
        <w:tc>
          <w:tcPr>
            <w:tcW w:w="2517" w:type="dxa"/>
            <w:noWrap w:val="0"/>
            <w:vAlign w:val="top"/>
          </w:tcPr>
          <w:p w14:paraId="79A30B92">
            <w:pPr>
              <w:rPr>
                <w:rFonts w:hint="eastAsia" w:ascii="宋体" w:hAnsi="宋体" w:eastAsia="宋体" w:cs="宋体"/>
                <w:color w:val="auto"/>
                <w:highlight w:val="none"/>
              </w:rPr>
            </w:pPr>
          </w:p>
        </w:tc>
        <w:tc>
          <w:tcPr>
            <w:tcW w:w="2517" w:type="dxa"/>
            <w:noWrap w:val="0"/>
            <w:vAlign w:val="top"/>
          </w:tcPr>
          <w:p w14:paraId="0B815174">
            <w:pPr>
              <w:rPr>
                <w:rFonts w:hint="eastAsia" w:ascii="宋体" w:hAnsi="宋体" w:eastAsia="宋体" w:cs="宋体"/>
                <w:color w:val="auto"/>
                <w:highlight w:val="none"/>
              </w:rPr>
            </w:pPr>
          </w:p>
        </w:tc>
      </w:tr>
      <w:tr w14:paraId="18EF8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noWrap w:val="0"/>
            <w:vAlign w:val="top"/>
          </w:tcPr>
          <w:p w14:paraId="40ADC603">
            <w:pPr>
              <w:rPr>
                <w:rFonts w:hint="eastAsia" w:ascii="宋体" w:hAnsi="宋体" w:eastAsia="宋体" w:cs="宋体"/>
                <w:color w:val="auto"/>
                <w:highlight w:val="none"/>
              </w:rPr>
            </w:pPr>
          </w:p>
        </w:tc>
        <w:tc>
          <w:tcPr>
            <w:tcW w:w="2341" w:type="dxa"/>
            <w:noWrap w:val="0"/>
            <w:vAlign w:val="top"/>
          </w:tcPr>
          <w:p w14:paraId="6749532C">
            <w:pPr>
              <w:rPr>
                <w:rFonts w:hint="eastAsia" w:ascii="宋体" w:hAnsi="宋体" w:eastAsia="宋体" w:cs="宋体"/>
                <w:color w:val="auto"/>
                <w:highlight w:val="none"/>
              </w:rPr>
            </w:pPr>
          </w:p>
        </w:tc>
        <w:tc>
          <w:tcPr>
            <w:tcW w:w="2517" w:type="dxa"/>
            <w:noWrap w:val="0"/>
            <w:vAlign w:val="top"/>
          </w:tcPr>
          <w:p w14:paraId="3929D612">
            <w:pPr>
              <w:rPr>
                <w:rFonts w:hint="eastAsia" w:ascii="宋体" w:hAnsi="宋体" w:eastAsia="宋体" w:cs="宋体"/>
                <w:color w:val="auto"/>
                <w:highlight w:val="none"/>
              </w:rPr>
            </w:pPr>
          </w:p>
        </w:tc>
        <w:tc>
          <w:tcPr>
            <w:tcW w:w="2517" w:type="dxa"/>
            <w:noWrap w:val="0"/>
            <w:vAlign w:val="top"/>
          </w:tcPr>
          <w:p w14:paraId="39EEAFFC">
            <w:pPr>
              <w:rPr>
                <w:rFonts w:hint="eastAsia" w:ascii="宋体" w:hAnsi="宋体" w:eastAsia="宋体" w:cs="宋体"/>
                <w:color w:val="auto"/>
                <w:highlight w:val="none"/>
              </w:rPr>
            </w:pPr>
          </w:p>
        </w:tc>
      </w:tr>
      <w:tr w14:paraId="3F150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55E1D8E0">
            <w:pPr>
              <w:rPr>
                <w:rFonts w:hint="eastAsia" w:ascii="宋体" w:hAnsi="宋体" w:eastAsia="宋体" w:cs="宋体"/>
                <w:color w:val="auto"/>
                <w:highlight w:val="none"/>
              </w:rPr>
            </w:pPr>
          </w:p>
        </w:tc>
        <w:tc>
          <w:tcPr>
            <w:tcW w:w="2341" w:type="dxa"/>
            <w:noWrap w:val="0"/>
            <w:vAlign w:val="top"/>
          </w:tcPr>
          <w:p w14:paraId="6C0D2FBD">
            <w:pPr>
              <w:rPr>
                <w:rFonts w:hint="eastAsia" w:ascii="宋体" w:hAnsi="宋体" w:eastAsia="宋体" w:cs="宋体"/>
                <w:color w:val="auto"/>
                <w:highlight w:val="none"/>
              </w:rPr>
            </w:pPr>
          </w:p>
        </w:tc>
        <w:tc>
          <w:tcPr>
            <w:tcW w:w="2517" w:type="dxa"/>
            <w:noWrap w:val="0"/>
            <w:vAlign w:val="top"/>
          </w:tcPr>
          <w:p w14:paraId="55C2EB82">
            <w:pPr>
              <w:rPr>
                <w:rFonts w:hint="eastAsia" w:ascii="宋体" w:hAnsi="宋体" w:eastAsia="宋体" w:cs="宋体"/>
                <w:color w:val="auto"/>
                <w:highlight w:val="none"/>
              </w:rPr>
            </w:pPr>
          </w:p>
        </w:tc>
        <w:tc>
          <w:tcPr>
            <w:tcW w:w="2517" w:type="dxa"/>
            <w:noWrap w:val="0"/>
            <w:vAlign w:val="top"/>
          </w:tcPr>
          <w:p w14:paraId="01FA200B">
            <w:pPr>
              <w:rPr>
                <w:rFonts w:hint="eastAsia" w:ascii="宋体" w:hAnsi="宋体" w:eastAsia="宋体" w:cs="宋体"/>
                <w:color w:val="auto"/>
                <w:highlight w:val="none"/>
              </w:rPr>
            </w:pPr>
          </w:p>
        </w:tc>
      </w:tr>
      <w:tr w14:paraId="17C8F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1A57BF80">
            <w:pPr>
              <w:rPr>
                <w:rFonts w:hint="eastAsia" w:ascii="宋体" w:hAnsi="宋体" w:eastAsia="宋体" w:cs="宋体"/>
                <w:color w:val="auto"/>
                <w:highlight w:val="none"/>
              </w:rPr>
            </w:pPr>
          </w:p>
        </w:tc>
        <w:tc>
          <w:tcPr>
            <w:tcW w:w="2341" w:type="dxa"/>
            <w:noWrap w:val="0"/>
            <w:vAlign w:val="top"/>
          </w:tcPr>
          <w:p w14:paraId="67ECCEC3">
            <w:pPr>
              <w:rPr>
                <w:rFonts w:hint="eastAsia" w:ascii="宋体" w:hAnsi="宋体" w:eastAsia="宋体" w:cs="宋体"/>
                <w:color w:val="auto"/>
                <w:highlight w:val="none"/>
              </w:rPr>
            </w:pPr>
          </w:p>
        </w:tc>
        <w:tc>
          <w:tcPr>
            <w:tcW w:w="2517" w:type="dxa"/>
            <w:noWrap w:val="0"/>
            <w:vAlign w:val="top"/>
          </w:tcPr>
          <w:p w14:paraId="24E91007">
            <w:pPr>
              <w:rPr>
                <w:rFonts w:hint="eastAsia" w:ascii="宋体" w:hAnsi="宋体" w:eastAsia="宋体" w:cs="宋体"/>
                <w:color w:val="auto"/>
                <w:highlight w:val="none"/>
              </w:rPr>
            </w:pPr>
          </w:p>
        </w:tc>
        <w:tc>
          <w:tcPr>
            <w:tcW w:w="2517" w:type="dxa"/>
            <w:noWrap w:val="0"/>
            <w:vAlign w:val="top"/>
          </w:tcPr>
          <w:p w14:paraId="07A4DC14">
            <w:pPr>
              <w:rPr>
                <w:rFonts w:hint="eastAsia" w:ascii="宋体" w:hAnsi="宋体" w:eastAsia="宋体" w:cs="宋体"/>
                <w:color w:val="auto"/>
                <w:highlight w:val="none"/>
              </w:rPr>
            </w:pPr>
          </w:p>
        </w:tc>
      </w:tr>
      <w:tr w14:paraId="3CD36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noWrap w:val="0"/>
            <w:vAlign w:val="top"/>
          </w:tcPr>
          <w:p w14:paraId="4661E35D">
            <w:pPr>
              <w:rPr>
                <w:rFonts w:hint="eastAsia" w:ascii="宋体" w:hAnsi="宋体" w:eastAsia="宋体" w:cs="宋体"/>
                <w:color w:val="auto"/>
                <w:highlight w:val="none"/>
              </w:rPr>
            </w:pPr>
          </w:p>
        </w:tc>
        <w:tc>
          <w:tcPr>
            <w:tcW w:w="2341" w:type="dxa"/>
            <w:noWrap w:val="0"/>
            <w:vAlign w:val="top"/>
          </w:tcPr>
          <w:p w14:paraId="4BE6B394">
            <w:pPr>
              <w:rPr>
                <w:rFonts w:hint="eastAsia" w:ascii="宋体" w:hAnsi="宋体" w:eastAsia="宋体" w:cs="宋体"/>
                <w:color w:val="auto"/>
                <w:highlight w:val="none"/>
              </w:rPr>
            </w:pPr>
          </w:p>
        </w:tc>
        <w:tc>
          <w:tcPr>
            <w:tcW w:w="2517" w:type="dxa"/>
            <w:noWrap w:val="0"/>
            <w:vAlign w:val="top"/>
          </w:tcPr>
          <w:p w14:paraId="7E3B0ED5">
            <w:pPr>
              <w:rPr>
                <w:rFonts w:hint="eastAsia" w:ascii="宋体" w:hAnsi="宋体" w:eastAsia="宋体" w:cs="宋体"/>
                <w:color w:val="auto"/>
                <w:highlight w:val="none"/>
              </w:rPr>
            </w:pPr>
          </w:p>
        </w:tc>
        <w:tc>
          <w:tcPr>
            <w:tcW w:w="2517" w:type="dxa"/>
            <w:noWrap w:val="0"/>
            <w:vAlign w:val="top"/>
          </w:tcPr>
          <w:p w14:paraId="27D6E485">
            <w:pPr>
              <w:rPr>
                <w:rFonts w:hint="eastAsia" w:ascii="宋体" w:hAnsi="宋体" w:eastAsia="宋体" w:cs="宋体"/>
                <w:color w:val="auto"/>
                <w:highlight w:val="none"/>
              </w:rPr>
            </w:pPr>
          </w:p>
        </w:tc>
      </w:tr>
      <w:tr w14:paraId="545C2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44B76EA7">
            <w:pPr>
              <w:rPr>
                <w:rFonts w:hint="eastAsia" w:ascii="宋体" w:hAnsi="宋体" w:eastAsia="宋体" w:cs="宋体"/>
                <w:color w:val="auto"/>
                <w:highlight w:val="none"/>
              </w:rPr>
            </w:pPr>
          </w:p>
        </w:tc>
        <w:tc>
          <w:tcPr>
            <w:tcW w:w="2341" w:type="dxa"/>
            <w:noWrap w:val="0"/>
            <w:vAlign w:val="top"/>
          </w:tcPr>
          <w:p w14:paraId="50986AEA">
            <w:pPr>
              <w:rPr>
                <w:rFonts w:hint="eastAsia" w:ascii="宋体" w:hAnsi="宋体" w:eastAsia="宋体" w:cs="宋体"/>
                <w:color w:val="auto"/>
                <w:highlight w:val="none"/>
              </w:rPr>
            </w:pPr>
          </w:p>
        </w:tc>
        <w:tc>
          <w:tcPr>
            <w:tcW w:w="2517" w:type="dxa"/>
            <w:noWrap w:val="0"/>
            <w:vAlign w:val="top"/>
          </w:tcPr>
          <w:p w14:paraId="6F86AE73">
            <w:pPr>
              <w:rPr>
                <w:rFonts w:hint="eastAsia" w:ascii="宋体" w:hAnsi="宋体" w:eastAsia="宋体" w:cs="宋体"/>
                <w:color w:val="auto"/>
                <w:highlight w:val="none"/>
              </w:rPr>
            </w:pPr>
          </w:p>
        </w:tc>
        <w:tc>
          <w:tcPr>
            <w:tcW w:w="2517" w:type="dxa"/>
            <w:noWrap w:val="0"/>
            <w:vAlign w:val="top"/>
          </w:tcPr>
          <w:p w14:paraId="638FB0B6">
            <w:pPr>
              <w:rPr>
                <w:rFonts w:hint="eastAsia" w:ascii="宋体" w:hAnsi="宋体" w:eastAsia="宋体" w:cs="宋体"/>
                <w:color w:val="auto"/>
                <w:highlight w:val="none"/>
              </w:rPr>
            </w:pPr>
          </w:p>
        </w:tc>
      </w:tr>
      <w:tr w14:paraId="62804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noWrap w:val="0"/>
            <w:vAlign w:val="top"/>
          </w:tcPr>
          <w:p w14:paraId="373A037C">
            <w:pPr>
              <w:rPr>
                <w:rFonts w:hint="eastAsia" w:ascii="宋体" w:hAnsi="宋体" w:eastAsia="宋体" w:cs="宋体"/>
                <w:color w:val="auto"/>
                <w:highlight w:val="none"/>
              </w:rPr>
            </w:pPr>
          </w:p>
        </w:tc>
        <w:tc>
          <w:tcPr>
            <w:tcW w:w="2341" w:type="dxa"/>
            <w:noWrap w:val="0"/>
            <w:vAlign w:val="top"/>
          </w:tcPr>
          <w:p w14:paraId="6E1CDC8A">
            <w:pPr>
              <w:rPr>
                <w:rFonts w:hint="eastAsia" w:ascii="宋体" w:hAnsi="宋体" w:eastAsia="宋体" w:cs="宋体"/>
                <w:color w:val="auto"/>
                <w:highlight w:val="none"/>
              </w:rPr>
            </w:pPr>
          </w:p>
        </w:tc>
        <w:tc>
          <w:tcPr>
            <w:tcW w:w="2517" w:type="dxa"/>
            <w:noWrap w:val="0"/>
            <w:vAlign w:val="top"/>
          </w:tcPr>
          <w:p w14:paraId="733B73CF">
            <w:pPr>
              <w:rPr>
                <w:rFonts w:hint="eastAsia" w:ascii="宋体" w:hAnsi="宋体" w:eastAsia="宋体" w:cs="宋体"/>
                <w:color w:val="auto"/>
                <w:highlight w:val="none"/>
              </w:rPr>
            </w:pPr>
          </w:p>
        </w:tc>
        <w:tc>
          <w:tcPr>
            <w:tcW w:w="2517" w:type="dxa"/>
            <w:noWrap w:val="0"/>
            <w:vAlign w:val="top"/>
          </w:tcPr>
          <w:p w14:paraId="5604C238">
            <w:pPr>
              <w:rPr>
                <w:rFonts w:hint="eastAsia" w:ascii="宋体" w:hAnsi="宋体" w:eastAsia="宋体" w:cs="宋体"/>
                <w:color w:val="auto"/>
                <w:highlight w:val="none"/>
              </w:rPr>
            </w:pPr>
          </w:p>
        </w:tc>
      </w:tr>
      <w:tr w14:paraId="75D4B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31E51E22">
            <w:pPr>
              <w:rPr>
                <w:rFonts w:hint="eastAsia" w:ascii="宋体" w:hAnsi="宋体" w:eastAsia="宋体" w:cs="宋体"/>
                <w:color w:val="auto"/>
                <w:highlight w:val="none"/>
              </w:rPr>
            </w:pPr>
          </w:p>
        </w:tc>
        <w:tc>
          <w:tcPr>
            <w:tcW w:w="2341" w:type="dxa"/>
            <w:noWrap w:val="0"/>
            <w:vAlign w:val="top"/>
          </w:tcPr>
          <w:p w14:paraId="3AC528AB">
            <w:pPr>
              <w:rPr>
                <w:rFonts w:hint="eastAsia" w:ascii="宋体" w:hAnsi="宋体" w:eastAsia="宋体" w:cs="宋体"/>
                <w:color w:val="auto"/>
                <w:highlight w:val="none"/>
              </w:rPr>
            </w:pPr>
          </w:p>
        </w:tc>
        <w:tc>
          <w:tcPr>
            <w:tcW w:w="2517" w:type="dxa"/>
            <w:noWrap w:val="0"/>
            <w:vAlign w:val="top"/>
          </w:tcPr>
          <w:p w14:paraId="59F50425">
            <w:pPr>
              <w:rPr>
                <w:rFonts w:hint="eastAsia" w:ascii="宋体" w:hAnsi="宋体" w:eastAsia="宋体" w:cs="宋体"/>
                <w:color w:val="auto"/>
                <w:highlight w:val="none"/>
              </w:rPr>
            </w:pPr>
          </w:p>
        </w:tc>
        <w:tc>
          <w:tcPr>
            <w:tcW w:w="2517" w:type="dxa"/>
            <w:noWrap w:val="0"/>
            <w:vAlign w:val="top"/>
          </w:tcPr>
          <w:p w14:paraId="3F00785F">
            <w:pPr>
              <w:rPr>
                <w:rFonts w:hint="eastAsia" w:ascii="宋体" w:hAnsi="宋体" w:eastAsia="宋体" w:cs="宋体"/>
                <w:color w:val="auto"/>
                <w:highlight w:val="none"/>
              </w:rPr>
            </w:pPr>
          </w:p>
        </w:tc>
      </w:tr>
      <w:tr w14:paraId="68879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2361E034">
            <w:pPr>
              <w:rPr>
                <w:rFonts w:hint="eastAsia" w:ascii="宋体" w:hAnsi="宋体" w:eastAsia="宋体" w:cs="宋体"/>
                <w:color w:val="auto"/>
                <w:highlight w:val="none"/>
              </w:rPr>
            </w:pPr>
          </w:p>
        </w:tc>
        <w:tc>
          <w:tcPr>
            <w:tcW w:w="2341" w:type="dxa"/>
            <w:noWrap w:val="0"/>
            <w:vAlign w:val="top"/>
          </w:tcPr>
          <w:p w14:paraId="634EDE08">
            <w:pPr>
              <w:rPr>
                <w:rFonts w:hint="eastAsia" w:ascii="宋体" w:hAnsi="宋体" w:eastAsia="宋体" w:cs="宋体"/>
                <w:color w:val="auto"/>
                <w:highlight w:val="none"/>
              </w:rPr>
            </w:pPr>
          </w:p>
        </w:tc>
        <w:tc>
          <w:tcPr>
            <w:tcW w:w="2517" w:type="dxa"/>
            <w:noWrap w:val="0"/>
            <w:vAlign w:val="top"/>
          </w:tcPr>
          <w:p w14:paraId="4BCF369C">
            <w:pPr>
              <w:rPr>
                <w:rFonts w:hint="eastAsia" w:ascii="宋体" w:hAnsi="宋体" w:eastAsia="宋体" w:cs="宋体"/>
                <w:color w:val="auto"/>
                <w:highlight w:val="none"/>
              </w:rPr>
            </w:pPr>
          </w:p>
        </w:tc>
        <w:tc>
          <w:tcPr>
            <w:tcW w:w="2517" w:type="dxa"/>
            <w:noWrap w:val="0"/>
            <w:vAlign w:val="top"/>
          </w:tcPr>
          <w:p w14:paraId="1D018C53">
            <w:pPr>
              <w:rPr>
                <w:rFonts w:hint="eastAsia" w:ascii="宋体" w:hAnsi="宋体" w:eastAsia="宋体" w:cs="宋体"/>
                <w:color w:val="auto"/>
                <w:highlight w:val="none"/>
              </w:rPr>
            </w:pPr>
          </w:p>
        </w:tc>
      </w:tr>
      <w:tr w14:paraId="5ACA2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noWrap w:val="0"/>
            <w:vAlign w:val="top"/>
          </w:tcPr>
          <w:p w14:paraId="1F82E53B">
            <w:pPr>
              <w:rPr>
                <w:rFonts w:hint="eastAsia" w:ascii="宋体" w:hAnsi="宋体" w:eastAsia="宋体" w:cs="宋体"/>
                <w:color w:val="auto"/>
                <w:highlight w:val="none"/>
              </w:rPr>
            </w:pPr>
          </w:p>
        </w:tc>
        <w:tc>
          <w:tcPr>
            <w:tcW w:w="2341" w:type="dxa"/>
            <w:noWrap w:val="0"/>
            <w:vAlign w:val="top"/>
          </w:tcPr>
          <w:p w14:paraId="06C64611">
            <w:pPr>
              <w:rPr>
                <w:rFonts w:hint="eastAsia" w:ascii="宋体" w:hAnsi="宋体" w:eastAsia="宋体" w:cs="宋体"/>
                <w:color w:val="auto"/>
                <w:highlight w:val="none"/>
              </w:rPr>
            </w:pPr>
          </w:p>
        </w:tc>
        <w:tc>
          <w:tcPr>
            <w:tcW w:w="2517" w:type="dxa"/>
            <w:noWrap w:val="0"/>
            <w:vAlign w:val="top"/>
          </w:tcPr>
          <w:p w14:paraId="603CC7FA">
            <w:pPr>
              <w:rPr>
                <w:rFonts w:hint="eastAsia" w:ascii="宋体" w:hAnsi="宋体" w:eastAsia="宋体" w:cs="宋体"/>
                <w:color w:val="auto"/>
                <w:highlight w:val="none"/>
              </w:rPr>
            </w:pPr>
          </w:p>
        </w:tc>
        <w:tc>
          <w:tcPr>
            <w:tcW w:w="2517" w:type="dxa"/>
            <w:noWrap w:val="0"/>
            <w:vAlign w:val="top"/>
          </w:tcPr>
          <w:p w14:paraId="20D8A2A7">
            <w:pPr>
              <w:rPr>
                <w:rFonts w:hint="eastAsia" w:ascii="宋体" w:hAnsi="宋体" w:eastAsia="宋体" w:cs="宋体"/>
                <w:color w:val="auto"/>
                <w:highlight w:val="none"/>
              </w:rPr>
            </w:pPr>
          </w:p>
        </w:tc>
      </w:tr>
      <w:tr w14:paraId="601FB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460B4CEF">
            <w:pPr>
              <w:rPr>
                <w:rFonts w:hint="eastAsia" w:ascii="宋体" w:hAnsi="宋体" w:eastAsia="宋体" w:cs="宋体"/>
                <w:color w:val="auto"/>
                <w:highlight w:val="none"/>
              </w:rPr>
            </w:pPr>
          </w:p>
        </w:tc>
        <w:tc>
          <w:tcPr>
            <w:tcW w:w="2341" w:type="dxa"/>
            <w:noWrap w:val="0"/>
            <w:vAlign w:val="top"/>
          </w:tcPr>
          <w:p w14:paraId="5C82B56B">
            <w:pPr>
              <w:rPr>
                <w:rFonts w:hint="eastAsia" w:ascii="宋体" w:hAnsi="宋体" w:eastAsia="宋体" w:cs="宋体"/>
                <w:color w:val="auto"/>
                <w:highlight w:val="none"/>
              </w:rPr>
            </w:pPr>
          </w:p>
        </w:tc>
        <w:tc>
          <w:tcPr>
            <w:tcW w:w="2517" w:type="dxa"/>
            <w:noWrap w:val="0"/>
            <w:vAlign w:val="top"/>
          </w:tcPr>
          <w:p w14:paraId="21DA08A3">
            <w:pPr>
              <w:rPr>
                <w:rFonts w:hint="eastAsia" w:ascii="宋体" w:hAnsi="宋体" w:eastAsia="宋体" w:cs="宋体"/>
                <w:color w:val="auto"/>
                <w:highlight w:val="none"/>
              </w:rPr>
            </w:pPr>
          </w:p>
        </w:tc>
        <w:tc>
          <w:tcPr>
            <w:tcW w:w="2517" w:type="dxa"/>
            <w:noWrap w:val="0"/>
            <w:vAlign w:val="top"/>
          </w:tcPr>
          <w:p w14:paraId="37C53B82">
            <w:pPr>
              <w:rPr>
                <w:rFonts w:hint="eastAsia" w:ascii="宋体" w:hAnsi="宋体" w:eastAsia="宋体" w:cs="宋体"/>
                <w:color w:val="auto"/>
                <w:highlight w:val="none"/>
              </w:rPr>
            </w:pPr>
          </w:p>
        </w:tc>
      </w:tr>
      <w:tr w14:paraId="01E8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noWrap w:val="0"/>
            <w:vAlign w:val="top"/>
          </w:tcPr>
          <w:p w14:paraId="0D483B1F">
            <w:pPr>
              <w:rPr>
                <w:rFonts w:hint="eastAsia" w:ascii="宋体" w:hAnsi="宋体" w:eastAsia="宋体" w:cs="宋体"/>
                <w:color w:val="auto"/>
                <w:highlight w:val="none"/>
              </w:rPr>
            </w:pPr>
          </w:p>
        </w:tc>
        <w:tc>
          <w:tcPr>
            <w:tcW w:w="2341" w:type="dxa"/>
            <w:noWrap w:val="0"/>
            <w:vAlign w:val="top"/>
          </w:tcPr>
          <w:p w14:paraId="15AC96C7">
            <w:pPr>
              <w:rPr>
                <w:rFonts w:hint="eastAsia" w:ascii="宋体" w:hAnsi="宋体" w:eastAsia="宋体" w:cs="宋体"/>
                <w:color w:val="auto"/>
                <w:highlight w:val="none"/>
              </w:rPr>
            </w:pPr>
          </w:p>
        </w:tc>
        <w:tc>
          <w:tcPr>
            <w:tcW w:w="2517" w:type="dxa"/>
            <w:noWrap w:val="0"/>
            <w:vAlign w:val="top"/>
          </w:tcPr>
          <w:p w14:paraId="546C3A24">
            <w:pPr>
              <w:rPr>
                <w:rFonts w:hint="eastAsia" w:ascii="宋体" w:hAnsi="宋体" w:eastAsia="宋体" w:cs="宋体"/>
                <w:color w:val="auto"/>
                <w:highlight w:val="none"/>
              </w:rPr>
            </w:pPr>
          </w:p>
        </w:tc>
        <w:tc>
          <w:tcPr>
            <w:tcW w:w="2517" w:type="dxa"/>
            <w:noWrap w:val="0"/>
            <w:vAlign w:val="top"/>
          </w:tcPr>
          <w:p w14:paraId="72B4F400">
            <w:pPr>
              <w:rPr>
                <w:rFonts w:hint="eastAsia" w:ascii="宋体" w:hAnsi="宋体" w:eastAsia="宋体" w:cs="宋体"/>
                <w:color w:val="auto"/>
                <w:highlight w:val="none"/>
              </w:rPr>
            </w:pPr>
          </w:p>
        </w:tc>
      </w:tr>
      <w:tr w14:paraId="18888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6596E99C">
            <w:pPr>
              <w:rPr>
                <w:rFonts w:hint="eastAsia" w:ascii="宋体" w:hAnsi="宋体" w:eastAsia="宋体" w:cs="宋体"/>
                <w:color w:val="auto"/>
                <w:highlight w:val="none"/>
              </w:rPr>
            </w:pPr>
          </w:p>
        </w:tc>
        <w:tc>
          <w:tcPr>
            <w:tcW w:w="2341" w:type="dxa"/>
            <w:noWrap w:val="0"/>
            <w:vAlign w:val="top"/>
          </w:tcPr>
          <w:p w14:paraId="32F57886">
            <w:pPr>
              <w:rPr>
                <w:rFonts w:hint="eastAsia" w:ascii="宋体" w:hAnsi="宋体" w:eastAsia="宋体" w:cs="宋体"/>
                <w:color w:val="auto"/>
                <w:highlight w:val="none"/>
              </w:rPr>
            </w:pPr>
          </w:p>
        </w:tc>
        <w:tc>
          <w:tcPr>
            <w:tcW w:w="2517" w:type="dxa"/>
            <w:noWrap w:val="0"/>
            <w:vAlign w:val="top"/>
          </w:tcPr>
          <w:p w14:paraId="2D23BD4B">
            <w:pPr>
              <w:rPr>
                <w:rFonts w:hint="eastAsia" w:ascii="宋体" w:hAnsi="宋体" w:eastAsia="宋体" w:cs="宋体"/>
                <w:color w:val="auto"/>
                <w:highlight w:val="none"/>
              </w:rPr>
            </w:pPr>
          </w:p>
        </w:tc>
        <w:tc>
          <w:tcPr>
            <w:tcW w:w="2517" w:type="dxa"/>
            <w:noWrap w:val="0"/>
            <w:vAlign w:val="top"/>
          </w:tcPr>
          <w:p w14:paraId="55ADAC8B">
            <w:pPr>
              <w:rPr>
                <w:rFonts w:hint="eastAsia" w:ascii="宋体" w:hAnsi="宋体" w:eastAsia="宋体" w:cs="宋体"/>
                <w:color w:val="auto"/>
                <w:highlight w:val="none"/>
              </w:rPr>
            </w:pPr>
          </w:p>
        </w:tc>
      </w:tr>
      <w:tr w14:paraId="4D1F4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739B988C">
            <w:pPr>
              <w:rPr>
                <w:rFonts w:hint="eastAsia" w:ascii="宋体" w:hAnsi="宋体" w:eastAsia="宋体" w:cs="宋体"/>
                <w:color w:val="auto"/>
                <w:highlight w:val="none"/>
              </w:rPr>
            </w:pPr>
          </w:p>
        </w:tc>
        <w:tc>
          <w:tcPr>
            <w:tcW w:w="2341" w:type="dxa"/>
            <w:noWrap w:val="0"/>
            <w:vAlign w:val="top"/>
          </w:tcPr>
          <w:p w14:paraId="45C163FA">
            <w:pPr>
              <w:rPr>
                <w:rFonts w:hint="eastAsia" w:ascii="宋体" w:hAnsi="宋体" w:eastAsia="宋体" w:cs="宋体"/>
                <w:color w:val="auto"/>
                <w:highlight w:val="none"/>
              </w:rPr>
            </w:pPr>
          </w:p>
        </w:tc>
        <w:tc>
          <w:tcPr>
            <w:tcW w:w="2517" w:type="dxa"/>
            <w:noWrap w:val="0"/>
            <w:vAlign w:val="top"/>
          </w:tcPr>
          <w:p w14:paraId="039B98FB">
            <w:pPr>
              <w:rPr>
                <w:rFonts w:hint="eastAsia" w:ascii="宋体" w:hAnsi="宋体" w:eastAsia="宋体" w:cs="宋体"/>
                <w:color w:val="auto"/>
                <w:highlight w:val="none"/>
              </w:rPr>
            </w:pPr>
          </w:p>
        </w:tc>
        <w:tc>
          <w:tcPr>
            <w:tcW w:w="2517" w:type="dxa"/>
            <w:noWrap w:val="0"/>
            <w:vAlign w:val="top"/>
          </w:tcPr>
          <w:p w14:paraId="11608755">
            <w:pPr>
              <w:rPr>
                <w:rFonts w:hint="eastAsia" w:ascii="宋体" w:hAnsi="宋体" w:eastAsia="宋体" w:cs="宋体"/>
                <w:color w:val="auto"/>
                <w:highlight w:val="none"/>
              </w:rPr>
            </w:pPr>
          </w:p>
        </w:tc>
      </w:tr>
      <w:tr w14:paraId="59CFA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noWrap w:val="0"/>
            <w:vAlign w:val="top"/>
          </w:tcPr>
          <w:p w14:paraId="4ABDED85">
            <w:pPr>
              <w:rPr>
                <w:rFonts w:hint="eastAsia" w:ascii="宋体" w:hAnsi="宋体" w:eastAsia="宋体" w:cs="宋体"/>
                <w:color w:val="auto"/>
                <w:highlight w:val="none"/>
              </w:rPr>
            </w:pPr>
          </w:p>
        </w:tc>
        <w:tc>
          <w:tcPr>
            <w:tcW w:w="2341" w:type="dxa"/>
            <w:noWrap w:val="0"/>
            <w:vAlign w:val="top"/>
          </w:tcPr>
          <w:p w14:paraId="703DD170">
            <w:pPr>
              <w:rPr>
                <w:rFonts w:hint="eastAsia" w:ascii="宋体" w:hAnsi="宋体" w:eastAsia="宋体" w:cs="宋体"/>
                <w:color w:val="auto"/>
                <w:highlight w:val="none"/>
              </w:rPr>
            </w:pPr>
          </w:p>
        </w:tc>
        <w:tc>
          <w:tcPr>
            <w:tcW w:w="2517" w:type="dxa"/>
            <w:noWrap w:val="0"/>
            <w:vAlign w:val="top"/>
          </w:tcPr>
          <w:p w14:paraId="4E643860">
            <w:pPr>
              <w:rPr>
                <w:rFonts w:hint="eastAsia" w:ascii="宋体" w:hAnsi="宋体" w:eastAsia="宋体" w:cs="宋体"/>
                <w:color w:val="auto"/>
                <w:highlight w:val="none"/>
              </w:rPr>
            </w:pPr>
          </w:p>
        </w:tc>
        <w:tc>
          <w:tcPr>
            <w:tcW w:w="2517" w:type="dxa"/>
            <w:noWrap w:val="0"/>
            <w:vAlign w:val="top"/>
          </w:tcPr>
          <w:p w14:paraId="637A79D0">
            <w:pPr>
              <w:rPr>
                <w:rFonts w:hint="eastAsia" w:ascii="宋体" w:hAnsi="宋体" w:eastAsia="宋体" w:cs="宋体"/>
                <w:color w:val="auto"/>
                <w:highlight w:val="none"/>
              </w:rPr>
            </w:pPr>
          </w:p>
        </w:tc>
      </w:tr>
      <w:tr w14:paraId="5FBB4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7DF93B0E">
            <w:pPr>
              <w:rPr>
                <w:rFonts w:hint="eastAsia" w:ascii="宋体" w:hAnsi="宋体" w:eastAsia="宋体" w:cs="宋体"/>
                <w:color w:val="auto"/>
                <w:highlight w:val="none"/>
              </w:rPr>
            </w:pPr>
          </w:p>
        </w:tc>
        <w:tc>
          <w:tcPr>
            <w:tcW w:w="2341" w:type="dxa"/>
            <w:noWrap w:val="0"/>
            <w:vAlign w:val="top"/>
          </w:tcPr>
          <w:p w14:paraId="1B3C19BE">
            <w:pPr>
              <w:rPr>
                <w:rFonts w:hint="eastAsia" w:ascii="宋体" w:hAnsi="宋体" w:eastAsia="宋体" w:cs="宋体"/>
                <w:color w:val="auto"/>
                <w:highlight w:val="none"/>
              </w:rPr>
            </w:pPr>
          </w:p>
        </w:tc>
        <w:tc>
          <w:tcPr>
            <w:tcW w:w="2517" w:type="dxa"/>
            <w:noWrap w:val="0"/>
            <w:vAlign w:val="top"/>
          </w:tcPr>
          <w:p w14:paraId="417C4C3D">
            <w:pPr>
              <w:rPr>
                <w:rFonts w:hint="eastAsia" w:ascii="宋体" w:hAnsi="宋体" w:eastAsia="宋体" w:cs="宋体"/>
                <w:color w:val="auto"/>
                <w:highlight w:val="none"/>
              </w:rPr>
            </w:pPr>
          </w:p>
        </w:tc>
        <w:tc>
          <w:tcPr>
            <w:tcW w:w="2517" w:type="dxa"/>
            <w:noWrap w:val="0"/>
            <w:vAlign w:val="top"/>
          </w:tcPr>
          <w:p w14:paraId="33538F18">
            <w:pPr>
              <w:rPr>
                <w:rFonts w:hint="eastAsia" w:ascii="宋体" w:hAnsi="宋体" w:eastAsia="宋体" w:cs="宋体"/>
                <w:color w:val="auto"/>
                <w:highlight w:val="none"/>
              </w:rPr>
            </w:pPr>
          </w:p>
        </w:tc>
      </w:tr>
      <w:tr w14:paraId="1C14E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noWrap w:val="0"/>
            <w:vAlign w:val="top"/>
          </w:tcPr>
          <w:p w14:paraId="6ABB9A34">
            <w:pPr>
              <w:rPr>
                <w:rFonts w:hint="eastAsia" w:ascii="宋体" w:hAnsi="宋体" w:eastAsia="宋体" w:cs="宋体"/>
                <w:color w:val="auto"/>
                <w:highlight w:val="none"/>
              </w:rPr>
            </w:pPr>
          </w:p>
        </w:tc>
        <w:tc>
          <w:tcPr>
            <w:tcW w:w="2341" w:type="dxa"/>
            <w:noWrap w:val="0"/>
            <w:vAlign w:val="top"/>
          </w:tcPr>
          <w:p w14:paraId="11F99EEF">
            <w:pPr>
              <w:rPr>
                <w:rFonts w:hint="eastAsia" w:ascii="宋体" w:hAnsi="宋体" w:eastAsia="宋体" w:cs="宋体"/>
                <w:color w:val="auto"/>
                <w:highlight w:val="none"/>
              </w:rPr>
            </w:pPr>
          </w:p>
        </w:tc>
        <w:tc>
          <w:tcPr>
            <w:tcW w:w="2517" w:type="dxa"/>
            <w:noWrap w:val="0"/>
            <w:vAlign w:val="top"/>
          </w:tcPr>
          <w:p w14:paraId="073E6126">
            <w:pPr>
              <w:rPr>
                <w:rFonts w:hint="eastAsia" w:ascii="宋体" w:hAnsi="宋体" w:eastAsia="宋体" w:cs="宋体"/>
                <w:color w:val="auto"/>
                <w:highlight w:val="none"/>
              </w:rPr>
            </w:pPr>
          </w:p>
        </w:tc>
        <w:tc>
          <w:tcPr>
            <w:tcW w:w="2517" w:type="dxa"/>
            <w:noWrap w:val="0"/>
            <w:vAlign w:val="top"/>
          </w:tcPr>
          <w:p w14:paraId="64D2CE6D">
            <w:pPr>
              <w:rPr>
                <w:rFonts w:hint="eastAsia" w:ascii="宋体" w:hAnsi="宋体" w:eastAsia="宋体" w:cs="宋体"/>
                <w:color w:val="auto"/>
                <w:highlight w:val="none"/>
              </w:rPr>
            </w:pPr>
          </w:p>
        </w:tc>
      </w:tr>
      <w:tr w14:paraId="3B394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noWrap w:val="0"/>
            <w:vAlign w:val="top"/>
          </w:tcPr>
          <w:p w14:paraId="49588492">
            <w:pPr>
              <w:rPr>
                <w:rFonts w:hint="eastAsia" w:ascii="宋体" w:hAnsi="宋体" w:eastAsia="宋体" w:cs="宋体"/>
                <w:color w:val="auto"/>
                <w:highlight w:val="none"/>
              </w:rPr>
            </w:pPr>
          </w:p>
        </w:tc>
        <w:tc>
          <w:tcPr>
            <w:tcW w:w="2341" w:type="dxa"/>
            <w:noWrap w:val="0"/>
            <w:vAlign w:val="top"/>
          </w:tcPr>
          <w:p w14:paraId="30C01F70">
            <w:pPr>
              <w:rPr>
                <w:rFonts w:hint="eastAsia" w:ascii="宋体" w:hAnsi="宋体" w:eastAsia="宋体" w:cs="宋体"/>
                <w:color w:val="auto"/>
                <w:highlight w:val="none"/>
              </w:rPr>
            </w:pPr>
          </w:p>
        </w:tc>
        <w:tc>
          <w:tcPr>
            <w:tcW w:w="2517" w:type="dxa"/>
            <w:noWrap w:val="0"/>
            <w:vAlign w:val="top"/>
          </w:tcPr>
          <w:p w14:paraId="5C1B1F7D">
            <w:pPr>
              <w:rPr>
                <w:rFonts w:hint="eastAsia" w:ascii="宋体" w:hAnsi="宋体" w:eastAsia="宋体" w:cs="宋体"/>
                <w:color w:val="auto"/>
                <w:highlight w:val="none"/>
              </w:rPr>
            </w:pPr>
          </w:p>
        </w:tc>
        <w:tc>
          <w:tcPr>
            <w:tcW w:w="2517" w:type="dxa"/>
            <w:noWrap w:val="0"/>
            <w:vAlign w:val="top"/>
          </w:tcPr>
          <w:p w14:paraId="110F4C1F">
            <w:pPr>
              <w:rPr>
                <w:rFonts w:hint="eastAsia" w:ascii="宋体" w:hAnsi="宋体" w:eastAsia="宋体" w:cs="宋体"/>
                <w:color w:val="auto"/>
                <w:highlight w:val="none"/>
              </w:rPr>
            </w:pPr>
          </w:p>
        </w:tc>
      </w:tr>
      <w:tr w14:paraId="5D303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noWrap w:val="0"/>
            <w:vAlign w:val="top"/>
          </w:tcPr>
          <w:p w14:paraId="3570225C">
            <w:pPr>
              <w:rPr>
                <w:rFonts w:hint="eastAsia" w:ascii="宋体" w:hAnsi="宋体" w:eastAsia="宋体" w:cs="宋体"/>
                <w:color w:val="auto"/>
                <w:highlight w:val="none"/>
              </w:rPr>
            </w:pPr>
          </w:p>
        </w:tc>
        <w:tc>
          <w:tcPr>
            <w:tcW w:w="2341" w:type="dxa"/>
            <w:noWrap w:val="0"/>
            <w:vAlign w:val="top"/>
          </w:tcPr>
          <w:p w14:paraId="13A4EE16">
            <w:pPr>
              <w:rPr>
                <w:rFonts w:hint="eastAsia" w:ascii="宋体" w:hAnsi="宋体" w:eastAsia="宋体" w:cs="宋体"/>
                <w:color w:val="auto"/>
                <w:highlight w:val="none"/>
              </w:rPr>
            </w:pPr>
          </w:p>
        </w:tc>
        <w:tc>
          <w:tcPr>
            <w:tcW w:w="2517" w:type="dxa"/>
            <w:noWrap w:val="0"/>
            <w:vAlign w:val="top"/>
          </w:tcPr>
          <w:p w14:paraId="3FB44B5E">
            <w:pPr>
              <w:rPr>
                <w:rFonts w:hint="eastAsia" w:ascii="宋体" w:hAnsi="宋体" w:eastAsia="宋体" w:cs="宋体"/>
                <w:color w:val="auto"/>
                <w:highlight w:val="none"/>
              </w:rPr>
            </w:pPr>
          </w:p>
        </w:tc>
        <w:tc>
          <w:tcPr>
            <w:tcW w:w="2517" w:type="dxa"/>
            <w:noWrap w:val="0"/>
            <w:vAlign w:val="top"/>
          </w:tcPr>
          <w:p w14:paraId="09888559">
            <w:pPr>
              <w:rPr>
                <w:rFonts w:hint="eastAsia" w:ascii="宋体" w:hAnsi="宋体" w:eastAsia="宋体" w:cs="宋体"/>
                <w:color w:val="auto"/>
                <w:highlight w:val="none"/>
              </w:rPr>
            </w:pPr>
          </w:p>
        </w:tc>
      </w:tr>
    </w:tbl>
    <w:p w14:paraId="759AA32C">
      <w:pPr>
        <w:rPr>
          <w:rFonts w:hint="eastAsia" w:ascii="宋体" w:hAnsi="宋体" w:eastAsia="宋体" w:cs="宋体"/>
          <w:color w:val="auto"/>
          <w:highlight w:val="none"/>
        </w:rPr>
      </w:pPr>
    </w:p>
    <w:permEnd w:id="197"/>
    <w:p w14:paraId="3C3FC522">
      <w:pPr>
        <w:spacing w:line="360" w:lineRule="auto"/>
        <w:rPr>
          <w:rFonts w:hint="eastAsia" w:ascii="宋体" w:hAnsi="宋体" w:eastAsia="宋体" w:cs="宋体"/>
          <w:bCs/>
          <w:color w:val="auto"/>
          <w:szCs w:val="21"/>
          <w:highlight w:val="none"/>
        </w:rPr>
      </w:pPr>
      <w:r>
        <w:rPr>
          <w:rFonts w:hint="eastAsia" w:ascii="宋体" w:hAnsi="宋体" w:eastAsia="宋体" w:cs="宋体"/>
          <w:color w:val="auto"/>
          <w:sz w:val="28"/>
          <w:szCs w:val="28"/>
          <w:highlight w:val="none"/>
        </w:rPr>
        <w:br w:type="page"/>
      </w:r>
    </w:p>
    <w:p w14:paraId="159837D3">
      <w:pPr>
        <w:spacing w:line="360" w:lineRule="auto"/>
        <w:jc w:val="right"/>
        <w:rPr>
          <w:rFonts w:hint="eastAsia" w:ascii="宋体" w:hAnsi="宋体" w:eastAsia="宋体" w:cs="宋体"/>
          <w:color w:val="auto"/>
          <w:sz w:val="28"/>
          <w:szCs w:val="28"/>
          <w:highlight w:val="none"/>
        </w:rPr>
      </w:pPr>
      <w:bookmarkStart w:id="2600" w:name="_Toc418064095"/>
      <w:bookmarkStart w:id="2601" w:name="_Toc421878273"/>
      <w:bookmarkStart w:id="2602" w:name="_Toc24568"/>
      <w:bookmarkStart w:id="2603" w:name="_Toc14314"/>
      <w:bookmarkStart w:id="2604" w:name="_Toc8882"/>
      <w:bookmarkStart w:id="2605" w:name="_Toc2134"/>
      <w:bookmarkStart w:id="2606" w:name="_Toc25780"/>
      <w:bookmarkStart w:id="2607" w:name="_Toc22388"/>
      <w:bookmarkStart w:id="2608" w:name="_Toc23951"/>
      <w:bookmarkStart w:id="2609" w:name="_Toc27101"/>
    </w:p>
    <w:p w14:paraId="027C7F4F">
      <w:pPr>
        <w:spacing w:line="360" w:lineRule="auto"/>
        <w:rPr>
          <w:rFonts w:hint="eastAsia" w:ascii="宋体" w:hAnsi="宋体" w:eastAsia="宋体" w:cs="宋体"/>
          <w:color w:val="auto"/>
          <w:szCs w:val="21"/>
          <w:highlight w:val="none"/>
        </w:rPr>
      </w:pPr>
    </w:p>
    <w:p w14:paraId="486B033C">
      <w:pPr>
        <w:spacing w:line="360" w:lineRule="auto"/>
        <w:rPr>
          <w:rFonts w:hint="eastAsia" w:ascii="宋体" w:hAnsi="宋体" w:eastAsia="宋体" w:cs="宋体"/>
          <w:color w:val="auto"/>
          <w:szCs w:val="21"/>
          <w:highlight w:val="none"/>
        </w:rPr>
      </w:pPr>
    </w:p>
    <w:p w14:paraId="5EF1E6FC">
      <w:pPr>
        <w:pStyle w:val="10"/>
        <w:spacing w:line="360" w:lineRule="auto"/>
        <w:jc w:val="center"/>
        <w:rPr>
          <w:rFonts w:hint="eastAsia" w:ascii="宋体" w:hAnsi="宋体" w:eastAsia="宋体" w:cs="宋体"/>
          <w:b/>
          <w:bCs/>
          <w:color w:val="auto"/>
          <w:sz w:val="40"/>
          <w:szCs w:val="40"/>
          <w:highlight w:val="none"/>
          <w:lang w:eastAsia="zh-CN"/>
        </w:rPr>
      </w:pPr>
      <w:r>
        <w:rPr>
          <w:rFonts w:hint="eastAsia" w:ascii="宋体" w:hAnsi="宋体" w:eastAsia="宋体" w:cs="宋体"/>
          <w:b/>
          <w:bCs/>
          <w:color w:val="auto"/>
          <w:sz w:val="40"/>
          <w:szCs w:val="40"/>
          <w:highlight w:val="none"/>
          <w:lang w:eastAsia="zh-CN"/>
        </w:rPr>
        <w:t>项目名称</w:t>
      </w:r>
    </w:p>
    <w:p w14:paraId="0BD08CF6">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20397BAD">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70E96C37">
      <w:pPr>
        <w:tabs>
          <w:tab w:val="left" w:pos="-951"/>
          <w:tab w:val="left" w:pos="4267"/>
          <w:tab w:val="left" w:pos="7925"/>
        </w:tabs>
        <w:adjustRightInd w:val="0"/>
        <w:snapToGrid w:val="0"/>
        <w:spacing w:line="360" w:lineRule="auto"/>
        <w:ind w:right="-6"/>
        <w:jc w:val="center"/>
        <w:rPr>
          <w:rFonts w:hint="eastAsia" w:ascii="宋体" w:hAnsi="宋体" w:eastAsia="宋体" w:cs="宋体"/>
          <w:bCs/>
          <w:color w:val="auto"/>
          <w:sz w:val="84"/>
          <w:szCs w:val="84"/>
          <w:highlight w:val="none"/>
        </w:rPr>
      </w:pPr>
      <w:r>
        <w:rPr>
          <w:rFonts w:hint="eastAsia" w:ascii="宋体" w:hAnsi="宋体" w:eastAsia="宋体" w:cs="宋体"/>
          <w:bCs/>
          <w:color w:val="auto"/>
          <w:sz w:val="84"/>
          <w:szCs w:val="84"/>
          <w:highlight w:val="none"/>
          <w:lang w:val="en-US" w:eastAsia="zh-CN"/>
        </w:rPr>
        <w:t>资信</w:t>
      </w:r>
      <w:r>
        <w:rPr>
          <w:rFonts w:hint="eastAsia" w:ascii="宋体" w:hAnsi="宋体" w:eastAsia="宋体" w:cs="宋体"/>
          <w:bCs/>
          <w:color w:val="auto"/>
          <w:sz w:val="84"/>
          <w:szCs w:val="84"/>
          <w:highlight w:val="none"/>
        </w:rPr>
        <w:t>标函</w:t>
      </w:r>
    </w:p>
    <w:p w14:paraId="5A395D8F">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3F8BADF8">
      <w:pPr>
        <w:tabs>
          <w:tab w:val="left" w:pos="-951"/>
          <w:tab w:val="left" w:pos="4267"/>
          <w:tab w:val="left" w:pos="7925"/>
        </w:tabs>
        <w:adjustRightInd w:val="0"/>
        <w:snapToGrid w:val="0"/>
        <w:spacing w:line="360" w:lineRule="auto"/>
        <w:ind w:right="-6"/>
        <w:rPr>
          <w:rFonts w:hint="eastAsia" w:ascii="宋体" w:hAnsi="宋体" w:eastAsia="宋体" w:cs="宋体"/>
          <w:b/>
          <w:bCs/>
          <w:color w:val="auto"/>
          <w:szCs w:val="21"/>
          <w:highlight w:val="none"/>
        </w:rPr>
      </w:pPr>
    </w:p>
    <w:p w14:paraId="4A1690E4">
      <w:pPr>
        <w:tabs>
          <w:tab w:val="left" w:pos="-951"/>
          <w:tab w:val="left" w:pos="4267"/>
          <w:tab w:val="left" w:pos="7925"/>
        </w:tabs>
        <w:adjustRightInd w:val="0"/>
        <w:snapToGrid w:val="0"/>
        <w:spacing w:line="360" w:lineRule="auto"/>
        <w:ind w:right="-6"/>
        <w:rPr>
          <w:rFonts w:hint="eastAsia" w:ascii="宋体" w:hAnsi="宋体" w:eastAsia="宋体" w:cs="宋体"/>
          <w:bCs/>
          <w:color w:val="auto"/>
          <w:sz w:val="28"/>
          <w:szCs w:val="28"/>
          <w:highlight w:val="none"/>
        </w:rPr>
      </w:pPr>
    </w:p>
    <w:p w14:paraId="7533595E">
      <w:pPr>
        <w:tabs>
          <w:tab w:val="left" w:pos="-951"/>
          <w:tab w:val="left" w:pos="4267"/>
          <w:tab w:val="left" w:pos="7925"/>
        </w:tabs>
        <w:adjustRightInd w:val="0"/>
        <w:snapToGrid w:val="0"/>
        <w:spacing w:line="360" w:lineRule="auto"/>
        <w:ind w:right="-6"/>
        <w:rPr>
          <w:rFonts w:hint="eastAsia" w:ascii="宋体" w:hAnsi="宋体" w:eastAsia="宋体" w:cs="宋体"/>
          <w:bCs/>
          <w:color w:val="auto"/>
          <w:sz w:val="28"/>
          <w:szCs w:val="28"/>
          <w:highlight w:val="none"/>
        </w:rPr>
      </w:pPr>
    </w:p>
    <w:p w14:paraId="5F8E895E">
      <w:pPr>
        <w:tabs>
          <w:tab w:val="left" w:pos="-951"/>
          <w:tab w:val="left" w:pos="4267"/>
          <w:tab w:val="left" w:pos="7925"/>
        </w:tabs>
        <w:adjustRightInd w:val="0"/>
        <w:snapToGrid w:val="0"/>
        <w:spacing w:line="360" w:lineRule="auto"/>
        <w:ind w:right="-6" w:firstLine="0" w:firstLineChars="0"/>
        <w:jc w:val="center"/>
        <w:rPr>
          <w:rFonts w:hint="default" w:ascii="宋体" w:hAnsi="宋体" w:eastAsia="宋体"/>
          <w:bCs/>
          <w:color w:val="auto"/>
          <w:sz w:val="28"/>
          <w:szCs w:val="28"/>
          <w:highlight w:val="none"/>
          <w:u w:val="single"/>
          <w:lang w:val="en-US" w:eastAsia="zh-CN"/>
        </w:rPr>
      </w:pPr>
      <w:r>
        <w:rPr>
          <w:rFonts w:hint="eastAsia" w:ascii="宋体" w:hAnsi="宋体"/>
          <w:bCs/>
          <w:color w:val="auto"/>
          <w:sz w:val="28"/>
          <w:szCs w:val="28"/>
          <w:highlight w:val="none"/>
        </w:rPr>
        <w:t>投标人全称：</w:t>
      </w:r>
      <w:r>
        <w:rPr>
          <w:rFonts w:hint="eastAsia" w:ascii="宋体" w:hAnsi="宋体"/>
          <w:bCs/>
          <w:color w:val="auto"/>
          <w:sz w:val="28"/>
          <w:szCs w:val="28"/>
          <w:highlight w:val="none"/>
          <w:u w:val="single"/>
        </w:rPr>
        <w:t xml:space="preserve">                     </w:t>
      </w:r>
      <w:r>
        <w:rPr>
          <w:rFonts w:hint="eastAsia" w:ascii="宋体" w:hAnsi="宋体"/>
          <w:bCs/>
          <w:color w:val="auto"/>
          <w:sz w:val="28"/>
          <w:szCs w:val="28"/>
          <w:highlight w:val="none"/>
          <w:u w:val="single"/>
          <w:lang w:val="en-US" w:eastAsia="zh-CN"/>
        </w:rPr>
        <w:t xml:space="preserve">  </w:t>
      </w:r>
      <w:r>
        <w:rPr>
          <w:rFonts w:hint="eastAsia" w:ascii="宋体" w:hAnsi="宋体"/>
          <w:bCs/>
          <w:color w:val="auto"/>
          <w:sz w:val="28"/>
          <w:szCs w:val="28"/>
          <w:highlight w:val="none"/>
          <w:u w:val="none"/>
          <w:lang w:val="en-US" w:eastAsia="zh-CN"/>
        </w:rPr>
        <w:t>（加盖电子印章）</w:t>
      </w:r>
    </w:p>
    <w:p w14:paraId="1CD34F26">
      <w:pPr>
        <w:tabs>
          <w:tab w:val="left" w:pos="-951"/>
          <w:tab w:val="left" w:pos="4267"/>
          <w:tab w:val="left" w:pos="7925"/>
        </w:tabs>
        <w:adjustRightInd w:val="0"/>
        <w:snapToGrid w:val="0"/>
        <w:spacing w:line="360" w:lineRule="auto"/>
        <w:ind w:right="-6"/>
        <w:rPr>
          <w:rFonts w:hint="eastAsia" w:ascii="宋体" w:hAnsi="宋体"/>
          <w:bCs/>
          <w:color w:val="auto"/>
          <w:sz w:val="28"/>
          <w:szCs w:val="28"/>
          <w:highlight w:val="none"/>
          <w:u w:val="single"/>
        </w:rPr>
      </w:pPr>
    </w:p>
    <w:p w14:paraId="19E92B1C">
      <w:pPr>
        <w:tabs>
          <w:tab w:val="left" w:pos="-951"/>
          <w:tab w:val="left" w:pos="4267"/>
          <w:tab w:val="left" w:pos="7925"/>
        </w:tabs>
        <w:adjustRightInd w:val="0"/>
        <w:snapToGrid w:val="0"/>
        <w:spacing w:line="360" w:lineRule="auto"/>
        <w:ind w:right="-6" w:firstLine="0" w:firstLineChars="0"/>
        <w:jc w:val="center"/>
        <w:rPr>
          <w:rFonts w:hint="eastAsia" w:ascii="宋体" w:hAnsi="宋体" w:eastAsia="宋体"/>
          <w:bCs/>
          <w:color w:val="auto"/>
          <w:sz w:val="28"/>
          <w:szCs w:val="28"/>
          <w:highlight w:val="none"/>
          <w:u w:val="single"/>
          <w:lang w:eastAsia="zh-CN"/>
        </w:rPr>
      </w:pPr>
      <w:r>
        <w:rPr>
          <w:rFonts w:hint="eastAsia" w:ascii="宋体" w:hAnsi="宋体"/>
          <w:bCs/>
          <w:color w:val="auto"/>
          <w:sz w:val="28"/>
          <w:szCs w:val="28"/>
          <w:highlight w:val="none"/>
        </w:rPr>
        <w:t>法定代表人或代理人：</w:t>
      </w:r>
      <w:r>
        <w:rPr>
          <w:rFonts w:hint="eastAsia" w:ascii="宋体" w:hAnsi="宋体"/>
          <w:bCs/>
          <w:color w:val="auto"/>
          <w:sz w:val="28"/>
          <w:szCs w:val="28"/>
          <w:highlight w:val="none"/>
          <w:u w:val="single"/>
        </w:rPr>
        <w:t xml:space="preserve">  </w:t>
      </w:r>
      <w:r>
        <w:rPr>
          <w:rFonts w:hint="eastAsia" w:ascii="宋体" w:hAnsi="宋体"/>
          <w:bCs/>
          <w:color w:val="auto"/>
          <w:sz w:val="28"/>
          <w:szCs w:val="28"/>
          <w:highlight w:val="none"/>
          <w:u w:val="single"/>
          <w:lang w:val="en-US" w:eastAsia="zh-CN"/>
        </w:rPr>
        <w:t xml:space="preserve">    </w:t>
      </w:r>
      <w:r>
        <w:rPr>
          <w:rFonts w:hint="eastAsia" w:ascii="宋体" w:hAnsi="宋体"/>
          <w:bCs/>
          <w:color w:val="auto"/>
          <w:sz w:val="28"/>
          <w:szCs w:val="28"/>
          <w:highlight w:val="none"/>
          <w:u w:val="single"/>
        </w:rPr>
        <w:t xml:space="preserve">       </w:t>
      </w:r>
      <w:r>
        <w:rPr>
          <w:rFonts w:hint="eastAsia" w:ascii="宋体" w:hAnsi="宋体"/>
          <w:bCs/>
          <w:color w:val="auto"/>
          <w:sz w:val="28"/>
          <w:szCs w:val="28"/>
          <w:highlight w:val="none"/>
          <w:u w:val="single"/>
          <w:lang w:val="en-US" w:eastAsia="zh-CN"/>
        </w:rPr>
        <w:t xml:space="preserve">   </w:t>
      </w:r>
      <w:r>
        <w:rPr>
          <w:rFonts w:hint="eastAsia" w:ascii="宋体" w:hAnsi="宋体"/>
          <w:bCs/>
          <w:color w:val="auto"/>
          <w:sz w:val="28"/>
          <w:szCs w:val="28"/>
          <w:highlight w:val="none"/>
          <w:u w:val="single"/>
        </w:rPr>
        <w:t xml:space="preserve">   </w:t>
      </w:r>
      <w:r>
        <w:rPr>
          <w:rFonts w:hint="eastAsia" w:ascii="宋体" w:hAnsi="宋体"/>
          <w:bCs/>
          <w:color w:val="auto"/>
          <w:sz w:val="28"/>
          <w:szCs w:val="28"/>
          <w:highlight w:val="none"/>
          <w:u w:val="none"/>
        </w:rPr>
        <w:t>（</w:t>
      </w:r>
      <w:r>
        <w:rPr>
          <w:rFonts w:hint="eastAsia" w:ascii="宋体" w:hAnsi="宋体"/>
          <w:bCs/>
          <w:color w:val="auto"/>
          <w:sz w:val="28"/>
          <w:szCs w:val="28"/>
          <w:highlight w:val="none"/>
          <w:u w:val="none"/>
          <w:lang w:eastAsia="zh-CN"/>
        </w:rPr>
        <w:t>电子签名</w:t>
      </w:r>
      <w:r>
        <w:rPr>
          <w:rFonts w:hint="eastAsia" w:ascii="宋体" w:hAnsi="宋体"/>
          <w:bCs/>
          <w:color w:val="auto"/>
          <w:sz w:val="28"/>
          <w:szCs w:val="28"/>
          <w:highlight w:val="none"/>
          <w:u w:val="none"/>
        </w:rPr>
        <w:t>）</w:t>
      </w:r>
    </w:p>
    <w:p w14:paraId="72264B3D">
      <w:pPr>
        <w:rPr>
          <w:rFonts w:hint="eastAsia"/>
          <w:color w:val="auto"/>
          <w:highlight w:val="none"/>
        </w:rPr>
      </w:pPr>
    </w:p>
    <w:p w14:paraId="0D5D8983">
      <w:pPr>
        <w:tabs>
          <w:tab w:val="left" w:pos="-951"/>
          <w:tab w:val="left" w:pos="4267"/>
          <w:tab w:val="left" w:pos="7925"/>
        </w:tabs>
        <w:adjustRightInd w:val="0"/>
        <w:snapToGrid w:val="0"/>
        <w:spacing w:line="360" w:lineRule="auto"/>
        <w:ind w:right="-6"/>
        <w:rPr>
          <w:rFonts w:hint="eastAsia" w:ascii="宋体" w:hAnsi="宋体" w:eastAsia="宋体" w:cs="宋体"/>
          <w:b/>
          <w:bCs/>
          <w:color w:val="auto"/>
          <w:sz w:val="28"/>
          <w:szCs w:val="28"/>
          <w:highlight w:val="none"/>
        </w:rPr>
      </w:pPr>
    </w:p>
    <w:p w14:paraId="31794654">
      <w:pPr>
        <w:tabs>
          <w:tab w:val="left" w:pos="-951"/>
          <w:tab w:val="left" w:pos="4267"/>
          <w:tab w:val="left" w:pos="7925"/>
        </w:tabs>
        <w:adjustRightInd w:val="0"/>
        <w:snapToGrid w:val="0"/>
        <w:spacing w:line="360" w:lineRule="auto"/>
        <w:ind w:right="-6" w:firstLine="0" w:firstLineChars="0"/>
        <w:jc w:val="center"/>
        <w:rPr>
          <w:rFonts w:hint="eastAsia" w:ascii="宋体" w:hAnsi="宋体" w:eastAsia="宋体" w:cs="宋体"/>
          <w:bCs/>
          <w:color w:val="auto"/>
          <w:sz w:val="28"/>
          <w:szCs w:val="28"/>
          <w:highlight w:val="none"/>
        </w:rPr>
      </w:pPr>
      <w:bookmarkStart w:id="2610" w:name="_Toc979637569_WPSOffice_Level2"/>
      <w:r>
        <w:rPr>
          <w:rFonts w:hint="eastAsia" w:ascii="宋体" w:hAnsi="宋体" w:eastAsia="宋体" w:cs="宋体"/>
          <w:bCs/>
          <w:color w:val="auto"/>
          <w:sz w:val="28"/>
          <w:szCs w:val="28"/>
          <w:highlight w:val="none"/>
        </w:rPr>
        <w:t>年  月  日</w:t>
      </w:r>
      <w:bookmarkEnd w:id="2610"/>
    </w:p>
    <w:p w14:paraId="1C486A97">
      <w:pPr>
        <w:spacing w:line="360" w:lineRule="auto"/>
        <w:jc w:val="both"/>
        <w:rPr>
          <w:rFonts w:hint="eastAsia" w:ascii="宋体" w:hAnsi="宋体" w:eastAsia="宋体" w:cs="宋体"/>
          <w:color w:val="auto"/>
          <w:sz w:val="28"/>
          <w:szCs w:val="28"/>
          <w:highlight w:val="none"/>
        </w:rPr>
      </w:pPr>
    </w:p>
    <w:p w14:paraId="1A835D96">
      <w:pPr>
        <w:spacing w:line="420" w:lineRule="exact"/>
        <w:jc w:val="left"/>
        <w:rPr>
          <w:rFonts w:hint="eastAsia" w:ascii="宋体" w:hAnsi="宋体" w:eastAsia="宋体" w:cs="宋体"/>
          <w:color w:val="auto"/>
          <w:sz w:val="28"/>
          <w:szCs w:val="28"/>
          <w:highlight w:val="none"/>
        </w:rPr>
      </w:pPr>
    </w:p>
    <w:p w14:paraId="73255FED">
      <w:pPr>
        <w:spacing w:line="42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说明：本封面仅供参考，格式由投标人自定，但必须包括</w:t>
      </w:r>
      <w:r>
        <w:rPr>
          <w:rFonts w:hint="eastAsia" w:ascii="宋体" w:hAnsi="宋体" w:eastAsia="宋体" w:cs="宋体"/>
          <w:color w:val="auto"/>
          <w:sz w:val="21"/>
          <w:szCs w:val="21"/>
          <w:highlight w:val="none"/>
          <w:lang w:eastAsia="zh-CN"/>
        </w:rPr>
        <w:t>项目名称</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资信</w:t>
      </w:r>
      <w:r>
        <w:rPr>
          <w:rFonts w:hint="eastAsia" w:ascii="宋体" w:hAnsi="宋体" w:eastAsia="宋体" w:cs="宋体"/>
          <w:color w:val="auto"/>
          <w:sz w:val="21"/>
          <w:szCs w:val="21"/>
          <w:highlight w:val="none"/>
        </w:rPr>
        <w:t>”或“</w:t>
      </w:r>
      <w:r>
        <w:rPr>
          <w:rFonts w:hint="eastAsia" w:ascii="宋体" w:hAnsi="宋体" w:eastAsia="宋体" w:cs="宋体"/>
          <w:color w:val="auto"/>
          <w:sz w:val="21"/>
          <w:szCs w:val="21"/>
          <w:highlight w:val="none"/>
          <w:lang w:val="en-US" w:eastAsia="zh-CN"/>
        </w:rPr>
        <w:t>资信</w:t>
      </w:r>
      <w:r>
        <w:rPr>
          <w:rFonts w:hint="eastAsia" w:ascii="宋体" w:hAnsi="宋体" w:eastAsia="宋体" w:cs="宋体"/>
          <w:color w:val="auto"/>
          <w:sz w:val="21"/>
          <w:szCs w:val="21"/>
          <w:highlight w:val="none"/>
        </w:rPr>
        <w:t>标函”字样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投标人名称、投标人</w:t>
      </w:r>
      <w:r>
        <w:rPr>
          <w:rFonts w:hint="eastAsia" w:ascii="宋体" w:hAnsi="宋体" w:cs="宋体"/>
          <w:color w:val="auto"/>
          <w:sz w:val="21"/>
          <w:szCs w:val="21"/>
          <w:highlight w:val="none"/>
          <w:lang w:eastAsia="zh-CN"/>
        </w:rPr>
        <w:t>电子印章</w:t>
      </w:r>
      <w:r>
        <w:rPr>
          <w:rFonts w:hint="eastAsia" w:ascii="宋体" w:hAnsi="宋体" w:eastAsia="宋体" w:cs="宋体"/>
          <w:color w:val="auto"/>
          <w:sz w:val="21"/>
          <w:szCs w:val="21"/>
          <w:highlight w:val="none"/>
        </w:rPr>
        <w:t>、投标人法定代表人或其代理人</w:t>
      </w:r>
      <w:r>
        <w:rPr>
          <w:rFonts w:hint="eastAsia" w:ascii="宋体" w:hAnsi="宋体" w:cs="宋体"/>
          <w:color w:val="auto"/>
          <w:sz w:val="21"/>
          <w:szCs w:val="21"/>
          <w:highlight w:val="none"/>
          <w:lang w:eastAsia="zh-CN"/>
        </w:rPr>
        <w:t>电子签名</w:t>
      </w:r>
      <w:r>
        <w:rPr>
          <w:rFonts w:hint="eastAsia" w:ascii="宋体" w:hAnsi="宋体" w:eastAsia="宋体" w:cs="宋体"/>
          <w:color w:val="auto"/>
          <w:sz w:val="21"/>
          <w:szCs w:val="21"/>
          <w:highlight w:val="none"/>
        </w:rPr>
        <w:t>。</w:t>
      </w:r>
    </w:p>
    <w:p w14:paraId="07DC784B">
      <w:pPr>
        <w:spacing w:line="42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701FBBF7">
      <w:pPr>
        <w:spacing w:line="360" w:lineRule="auto"/>
        <w:ind w:firstLine="420"/>
        <w:jc w:val="center"/>
        <w:rPr>
          <w:rFonts w:hint="eastAsia" w:ascii="宋体" w:hAnsi="宋体" w:eastAsia="宋体" w:cs="宋体"/>
          <w:b/>
          <w:color w:val="auto"/>
          <w:sz w:val="28"/>
          <w:szCs w:val="28"/>
          <w:highlight w:val="none"/>
        </w:rPr>
      </w:pPr>
      <w:bookmarkStart w:id="2611" w:name="_Toc1053834134_WPSOffice_Level1"/>
      <w:bookmarkStart w:id="2612" w:name="_Toc220797533_WPSOffice_Level1"/>
      <w:r>
        <w:rPr>
          <w:rFonts w:hint="eastAsia" w:ascii="宋体" w:hAnsi="宋体" w:eastAsia="宋体" w:cs="宋体"/>
          <w:b/>
          <w:color w:val="auto"/>
          <w:sz w:val="28"/>
          <w:szCs w:val="28"/>
          <w:highlight w:val="none"/>
          <w:lang w:eastAsia="zh-CN"/>
        </w:rPr>
        <w:t>资信标</w:t>
      </w:r>
      <w:r>
        <w:rPr>
          <w:rFonts w:hint="eastAsia" w:ascii="宋体" w:hAnsi="宋体" w:eastAsia="宋体" w:cs="宋体"/>
          <w:b/>
          <w:color w:val="auto"/>
          <w:sz w:val="28"/>
          <w:szCs w:val="28"/>
          <w:highlight w:val="none"/>
        </w:rPr>
        <w:t>目录</w:t>
      </w:r>
      <w:bookmarkEnd w:id="2611"/>
      <w:bookmarkEnd w:id="2612"/>
    </w:p>
    <w:p w14:paraId="3B661618">
      <w:pPr>
        <w:spacing w:line="360" w:lineRule="auto"/>
        <w:ind w:firstLine="420" w:firstLineChars="200"/>
        <w:rPr>
          <w:rFonts w:hint="eastAsia" w:ascii="宋体" w:hAnsi="宋体" w:eastAsia="宋体" w:cs="宋体"/>
          <w:color w:val="auto"/>
          <w:sz w:val="21"/>
          <w:szCs w:val="21"/>
          <w:highlight w:val="none"/>
          <w:lang w:val="en-US" w:eastAsia="zh-CN"/>
        </w:rPr>
      </w:pPr>
      <w:bookmarkStart w:id="2613" w:name="_Toc652060058_WPSOffice_Level1"/>
      <w:bookmarkStart w:id="2614" w:name="_Toc660388298_WPSOffice_Level2"/>
      <w:r>
        <w:rPr>
          <w:rFonts w:hint="eastAsia" w:ascii="宋体" w:hAnsi="宋体" w:eastAsia="宋体" w:cs="宋体"/>
          <w:color w:val="auto"/>
          <w:sz w:val="21"/>
          <w:szCs w:val="21"/>
          <w:highlight w:val="none"/>
          <w:lang w:val="en-US" w:eastAsia="zh-CN"/>
        </w:rPr>
        <w:t>一、资信标函内容索引</w:t>
      </w:r>
    </w:p>
    <w:p w14:paraId="43ABFB3E">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二、投标人资信情况汇总表</w:t>
      </w:r>
    </w:p>
    <w:p w14:paraId="27D16586">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p>
    <w:bookmarkEnd w:id="2613"/>
    <w:bookmarkEnd w:id="2614"/>
    <w:p w14:paraId="33FD2BD4">
      <w:pPr>
        <w:rPr>
          <w:rFonts w:hint="eastAsia"/>
          <w:color w:val="auto"/>
          <w:highlight w:val="none"/>
        </w:rPr>
      </w:pPr>
    </w:p>
    <w:p w14:paraId="4AB54357">
      <w:pPr>
        <w:adjustRightInd w:val="0"/>
        <w:snapToGrid w:val="0"/>
        <w:spacing w:line="360" w:lineRule="auto"/>
        <w:jc w:val="center"/>
        <w:outlineLvl w:val="2"/>
        <w:rPr>
          <w:rFonts w:hint="eastAsia" w:ascii="宋体" w:hAnsi="宋体"/>
          <w:color w:val="auto"/>
          <w:sz w:val="28"/>
          <w:szCs w:val="28"/>
          <w:highlight w:val="none"/>
        </w:rPr>
      </w:pPr>
      <w:r>
        <w:rPr>
          <w:rFonts w:hint="eastAsia" w:ascii="宋体" w:hAnsi="宋体" w:eastAsia="宋体" w:cs="宋体"/>
          <w:color w:val="auto"/>
          <w:sz w:val="28"/>
          <w:szCs w:val="28"/>
          <w:highlight w:val="none"/>
        </w:rPr>
        <w:br w:type="page"/>
      </w:r>
      <w:bookmarkStart w:id="2615" w:name="_Toc546986570"/>
      <w:bookmarkStart w:id="2616" w:name="_Toc2018409435"/>
      <w:bookmarkStart w:id="2617" w:name="_Toc1266102600"/>
      <w:bookmarkStart w:id="2618" w:name="_Toc1265876312"/>
      <w:bookmarkStart w:id="2619" w:name="_Toc26972980"/>
      <w:bookmarkStart w:id="2620" w:name="_Toc539562348"/>
      <w:bookmarkStart w:id="2621" w:name="_Toc49061638"/>
      <w:bookmarkStart w:id="2622" w:name="_Toc1196258743"/>
      <w:bookmarkStart w:id="2623" w:name="_Toc1413642185"/>
      <w:r>
        <w:rPr>
          <w:rFonts w:hint="eastAsia" w:ascii="宋体" w:hAnsi="宋体"/>
          <w:b/>
          <w:bCs/>
          <w:color w:val="auto"/>
          <w:sz w:val="28"/>
          <w:szCs w:val="28"/>
          <w:highlight w:val="none"/>
        </w:rPr>
        <w:t>一、资信标函内容索引</w:t>
      </w:r>
    </w:p>
    <w:tbl>
      <w:tblPr>
        <w:tblStyle w:val="26"/>
        <w:tblpPr w:leftFromText="180" w:rightFromText="180" w:vertAnchor="text" w:horzAnchor="page" w:tblpX="1262" w:tblpY="287"/>
        <w:tblOverlap w:val="never"/>
        <w:tblW w:w="9370" w:type="dxa"/>
        <w:tblInd w:w="0" w:type="dxa"/>
        <w:tblBorders>
          <w:top w:val="single" w:color="010101" w:sz="6" w:space="0"/>
          <w:left w:val="single" w:color="010101" w:sz="6" w:space="0"/>
          <w:bottom w:val="single" w:color="010101" w:sz="6" w:space="0"/>
          <w:right w:val="single" w:color="010101" w:sz="6" w:space="0"/>
          <w:insideH w:val="single" w:color="010101" w:sz="6" w:space="0"/>
          <w:insideV w:val="single" w:color="010101" w:sz="6" w:space="0"/>
        </w:tblBorders>
        <w:tblLayout w:type="fixed"/>
        <w:tblCellMar>
          <w:top w:w="0" w:type="dxa"/>
          <w:left w:w="0" w:type="dxa"/>
          <w:bottom w:w="0" w:type="dxa"/>
          <w:right w:w="0" w:type="dxa"/>
        </w:tblCellMar>
      </w:tblPr>
      <w:tblGrid>
        <w:gridCol w:w="1288"/>
        <w:gridCol w:w="3394"/>
        <w:gridCol w:w="2314"/>
        <w:gridCol w:w="2374"/>
      </w:tblGrid>
      <w:tr w14:paraId="3A8D5F88">
        <w:tblPrEx>
          <w:tblBorders>
            <w:top w:val="single" w:color="010101" w:sz="6" w:space="0"/>
            <w:left w:val="single" w:color="010101" w:sz="6" w:space="0"/>
            <w:bottom w:val="single" w:color="010101" w:sz="6" w:space="0"/>
            <w:right w:val="single" w:color="010101" w:sz="6" w:space="0"/>
            <w:insideH w:val="single" w:color="010101" w:sz="6" w:space="0"/>
            <w:insideV w:val="single" w:color="010101" w:sz="6" w:space="0"/>
          </w:tblBorders>
          <w:tblCellMar>
            <w:top w:w="0" w:type="dxa"/>
            <w:left w:w="0" w:type="dxa"/>
            <w:bottom w:w="0" w:type="dxa"/>
            <w:right w:w="0" w:type="dxa"/>
          </w:tblCellMar>
        </w:tblPrEx>
        <w:trPr>
          <w:trHeight w:val="1204" w:hRule="atLeast"/>
        </w:trPr>
        <w:tc>
          <w:tcPr>
            <w:tcW w:w="1288" w:type="dxa"/>
            <w:tcBorders>
              <w:top w:val="single" w:color="010101" w:sz="6" w:space="0"/>
              <w:left w:val="single" w:color="010101" w:sz="6" w:space="0"/>
              <w:bottom w:val="single" w:color="010101" w:sz="6" w:space="0"/>
              <w:right w:val="single" w:color="010101" w:sz="6" w:space="0"/>
            </w:tcBorders>
            <w:noWrap w:val="0"/>
            <w:vAlign w:val="center"/>
          </w:tcPr>
          <w:p w14:paraId="38A28C19">
            <w:pPr>
              <w:pStyle w:val="76"/>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序号</w:t>
            </w:r>
          </w:p>
        </w:tc>
        <w:tc>
          <w:tcPr>
            <w:tcW w:w="3394" w:type="dxa"/>
            <w:tcBorders>
              <w:top w:val="single" w:color="010101" w:sz="6" w:space="0"/>
              <w:left w:val="single" w:color="010101" w:sz="6" w:space="0"/>
              <w:bottom w:val="single" w:color="010101" w:sz="6" w:space="0"/>
              <w:right w:val="single" w:color="010101" w:sz="6" w:space="0"/>
            </w:tcBorders>
            <w:noWrap w:val="0"/>
            <w:vAlign w:val="center"/>
          </w:tcPr>
          <w:p w14:paraId="52E120F4">
            <w:pPr>
              <w:pStyle w:val="76"/>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资信要素</w:t>
            </w:r>
          </w:p>
        </w:tc>
        <w:tc>
          <w:tcPr>
            <w:tcW w:w="2314" w:type="dxa"/>
            <w:tcBorders>
              <w:top w:val="single" w:color="010101" w:sz="6" w:space="0"/>
              <w:left w:val="single" w:color="010101" w:sz="4" w:space="0"/>
              <w:bottom w:val="single" w:color="010101" w:sz="6" w:space="0"/>
              <w:right w:val="single" w:color="010101" w:sz="4" w:space="0"/>
            </w:tcBorders>
            <w:noWrap w:val="0"/>
            <w:vAlign w:val="center"/>
          </w:tcPr>
          <w:p w14:paraId="7859DED7">
            <w:pPr>
              <w:pStyle w:val="76"/>
              <w:spacing w:before="0" w:line="240" w:lineRule="auto"/>
              <w:ind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页码索引</w:t>
            </w:r>
          </w:p>
        </w:tc>
        <w:tc>
          <w:tcPr>
            <w:tcW w:w="2374" w:type="dxa"/>
            <w:tcBorders>
              <w:top w:val="single" w:color="010101" w:sz="6" w:space="0"/>
              <w:left w:val="single" w:color="010101" w:sz="4" w:space="0"/>
              <w:bottom w:val="single" w:color="010101" w:sz="6" w:space="0"/>
              <w:right w:val="single" w:color="010101" w:sz="6" w:space="0"/>
            </w:tcBorders>
            <w:noWrap w:val="0"/>
            <w:vAlign w:val="center"/>
          </w:tcPr>
          <w:p w14:paraId="63A23C3F">
            <w:pPr>
              <w:pStyle w:val="76"/>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备注</w:t>
            </w:r>
          </w:p>
        </w:tc>
      </w:tr>
      <w:tr w14:paraId="4440F80D">
        <w:tblPrEx>
          <w:tblBorders>
            <w:top w:val="single" w:color="010101" w:sz="6" w:space="0"/>
            <w:left w:val="single" w:color="010101" w:sz="6" w:space="0"/>
            <w:bottom w:val="single" w:color="010101" w:sz="6" w:space="0"/>
            <w:right w:val="single" w:color="010101" w:sz="6" w:space="0"/>
            <w:insideH w:val="single" w:color="010101" w:sz="6" w:space="0"/>
            <w:insideV w:val="single" w:color="010101" w:sz="6" w:space="0"/>
          </w:tblBorders>
          <w:tblCellMar>
            <w:top w:w="0" w:type="dxa"/>
            <w:left w:w="0" w:type="dxa"/>
            <w:bottom w:w="0" w:type="dxa"/>
            <w:right w:w="0" w:type="dxa"/>
          </w:tblCellMar>
        </w:tblPrEx>
        <w:trPr>
          <w:trHeight w:val="456" w:hRule="atLeast"/>
        </w:trPr>
        <w:tc>
          <w:tcPr>
            <w:tcW w:w="1288" w:type="dxa"/>
            <w:tcBorders>
              <w:top w:val="single" w:color="auto" w:sz="4" w:space="0"/>
              <w:left w:val="single" w:color="auto" w:sz="4" w:space="0"/>
              <w:bottom w:val="single" w:color="auto" w:sz="4" w:space="0"/>
              <w:right w:val="single" w:color="auto" w:sz="4" w:space="0"/>
            </w:tcBorders>
            <w:noWrap w:val="0"/>
            <w:vAlign w:val="center"/>
          </w:tcPr>
          <w:p w14:paraId="6030E848">
            <w:pPr>
              <w:pStyle w:val="76"/>
              <w:ind w:left="208" w:leftChars="99" w:firstLine="287" w:firstLineChars="137"/>
              <w:jc w:val="both"/>
              <w:rPr>
                <w:rFonts w:hint="eastAsia" w:ascii="宋体" w:hAnsi="宋体" w:eastAsia="宋体" w:cs="宋体"/>
                <w:color w:val="auto"/>
                <w:sz w:val="21"/>
                <w:highlight w:val="none"/>
                <w:lang w:val="en-US" w:eastAsia="zh-CN"/>
              </w:rPr>
            </w:pPr>
            <w:r>
              <w:rPr>
                <w:rFonts w:hint="eastAsia" w:eastAsia="宋体" w:cs="宋体"/>
                <w:color w:val="auto"/>
                <w:sz w:val="21"/>
                <w:highlight w:val="none"/>
                <w:lang w:val="en-US" w:eastAsia="zh-CN"/>
              </w:rPr>
              <w:t>1</w:t>
            </w:r>
          </w:p>
        </w:tc>
        <w:tc>
          <w:tcPr>
            <w:tcW w:w="3394" w:type="dxa"/>
            <w:tcBorders>
              <w:top w:val="single" w:color="auto" w:sz="4" w:space="0"/>
              <w:left w:val="single" w:color="auto" w:sz="4" w:space="0"/>
              <w:bottom w:val="single" w:color="auto" w:sz="4" w:space="0"/>
              <w:right w:val="single" w:color="auto" w:sz="4" w:space="0"/>
            </w:tcBorders>
            <w:noWrap w:val="0"/>
            <w:vAlign w:val="center"/>
          </w:tcPr>
          <w:p w14:paraId="6541DBEE">
            <w:pPr>
              <w:pStyle w:val="76"/>
              <w:ind w:left="128" w:hanging="128" w:hangingChars="61"/>
              <w:jc w:val="left"/>
              <w:rPr>
                <w:rFonts w:hint="eastAsia" w:ascii="宋体" w:hAnsi="宋体" w:eastAsia="宋体" w:cs="宋体"/>
                <w:color w:val="auto"/>
                <w:sz w:val="21"/>
                <w:highlight w:val="none"/>
              </w:rPr>
            </w:pPr>
          </w:p>
        </w:tc>
        <w:tc>
          <w:tcPr>
            <w:tcW w:w="2314" w:type="dxa"/>
            <w:tcBorders>
              <w:top w:val="single" w:color="auto" w:sz="4" w:space="0"/>
              <w:left w:val="single" w:color="auto" w:sz="4" w:space="0"/>
              <w:bottom w:val="single" w:color="auto" w:sz="4" w:space="0"/>
              <w:right w:val="single" w:color="auto" w:sz="4" w:space="0"/>
            </w:tcBorders>
            <w:noWrap w:val="0"/>
            <w:vAlign w:val="top"/>
          </w:tcPr>
          <w:p w14:paraId="1A04D4AE">
            <w:pPr>
              <w:pStyle w:val="76"/>
              <w:ind w:left="128" w:hanging="128" w:hangingChars="61"/>
              <w:jc w:val="left"/>
              <w:rPr>
                <w:rFonts w:hint="eastAsia" w:ascii="宋体" w:hAnsi="宋体" w:eastAsia="宋体" w:cs="宋体"/>
                <w:color w:val="auto"/>
                <w:sz w:val="21"/>
                <w:highlight w:val="none"/>
              </w:rPr>
            </w:pPr>
          </w:p>
        </w:tc>
        <w:tc>
          <w:tcPr>
            <w:tcW w:w="2374" w:type="dxa"/>
            <w:tcBorders>
              <w:top w:val="single" w:color="auto" w:sz="4" w:space="0"/>
              <w:left w:val="single" w:color="auto" w:sz="4" w:space="0"/>
              <w:bottom w:val="single" w:color="auto" w:sz="4" w:space="0"/>
              <w:right w:val="single" w:color="auto" w:sz="4" w:space="0"/>
            </w:tcBorders>
            <w:noWrap w:val="0"/>
            <w:vAlign w:val="top"/>
          </w:tcPr>
          <w:p w14:paraId="4431BF9C">
            <w:pPr>
              <w:pStyle w:val="76"/>
              <w:ind w:left="128" w:hanging="128" w:hangingChars="61"/>
              <w:jc w:val="left"/>
              <w:rPr>
                <w:rFonts w:hint="eastAsia" w:ascii="宋体" w:hAnsi="宋体" w:eastAsia="宋体" w:cs="宋体"/>
                <w:color w:val="auto"/>
                <w:sz w:val="21"/>
                <w:highlight w:val="none"/>
              </w:rPr>
            </w:pPr>
          </w:p>
        </w:tc>
      </w:tr>
      <w:tr w14:paraId="6DF20E1D">
        <w:tblPrEx>
          <w:tblBorders>
            <w:top w:val="single" w:color="010101" w:sz="6" w:space="0"/>
            <w:left w:val="single" w:color="010101" w:sz="6" w:space="0"/>
            <w:bottom w:val="single" w:color="010101" w:sz="6" w:space="0"/>
            <w:right w:val="single" w:color="010101" w:sz="6" w:space="0"/>
            <w:insideH w:val="single" w:color="010101" w:sz="6" w:space="0"/>
            <w:insideV w:val="single" w:color="010101" w:sz="6" w:space="0"/>
          </w:tblBorders>
          <w:tblCellMar>
            <w:top w:w="0" w:type="dxa"/>
            <w:left w:w="0" w:type="dxa"/>
            <w:bottom w:w="0" w:type="dxa"/>
            <w:right w:w="0" w:type="dxa"/>
          </w:tblCellMar>
        </w:tblPrEx>
        <w:trPr>
          <w:trHeight w:val="402" w:hRule="atLeast"/>
        </w:trPr>
        <w:tc>
          <w:tcPr>
            <w:tcW w:w="1288" w:type="dxa"/>
            <w:tcBorders>
              <w:top w:val="single" w:color="010101" w:sz="6" w:space="0"/>
              <w:left w:val="single" w:color="010101" w:sz="4" w:space="0"/>
              <w:bottom w:val="single" w:color="010101" w:sz="6" w:space="0"/>
              <w:right w:val="single" w:color="010101" w:sz="6" w:space="0"/>
            </w:tcBorders>
            <w:noWrap w:val="0"/>
            <w:vAlign w:val="center"/>
          </w:tcPr>
          <w:p w14:paraId="241DAF6A">
            <w:pPr>
              <w:pStyle w:val="76"/>
              <w:ind w:left="208" w:leftChars="99" w:firstLine="287" w:firstLineChars="137"/>
              <w:jc w:val="both"/>
              <w:rPr>
                <w:rFonts w:hint="eastAsia" w:ascii="宋体" w:hAnsi="宋体" w:eastAsia="宋体" w:cs="宋体"/>
                <w:color w:val="auto"/>
                <w:kern w:val="0"/>
                <w:sz w:val="21"/>
                <w:szCs w:val="22"/>
                <w:highlight w:val="none"/>
                <w:lang w:val="en-US" w:eastAsia="zh-CN" w:bidi="ar-SA"/>
              </w:rPr>
            </w:pPr>
            <w:r>
              <w:rPr>
                <w:rFonts w:hint="eastAsia" w:ascii="宋体" w:hAnsi="宋体" w:eastAsia="宋体" w:cs="宋体"/>
                <w:color w:val="auto"/>
                <w:sz w:val="21"/>
                <w:highlight w:val="none"/>
              </w:rPr>
              <w:t>2</w:t>
            </w:r>
          </w:p>
        </w:tc>
        <w:tc>
          <w:tcPr>
            <w:tcW w:w="3394" w:type="dxa"/>
            <w:tcBorders>
              <w:top w:val="single" w:color="010101" w:sz="6" w:space="0"/>
              <w:left w:val="single" w:color="010101" w:sz="6" w:space="0"/>
              <w:bottom w:val="single" w:color="010101" w:sz="6" w:space="0"/>
              <w:right w:val="single" w:color="010101" w:sz="6" w:space="0"/>
            </w:tcBorders>
            <w:noWrap w:val="0"/>
            <w:vAlign w:val="center"/>
          </w:tcPr>
          <w:p w14:paraId="420C489A">
            <w:pPr>
              <w:pStyle w:val="76"/>
              <w:spacing w:line="268" w:lineRule="auto"/>
              <w:ind w:right="127"/>
              <w:jc w:val="left"/>
              <w:rPr>
                <w:rFonts w:hint="eastAsia" w:ascii="宋体" w:hAnsi="宋体" w:eastAsia="宋体" w:cs="宋体"/>
                <w:color w:val="auto"/>
                <w:sz w:val="21"/>
                <w:highlight w:val="none"/>
              </w:rPr>
            </w:pPr>
          </w:p>
        </w:tc>
        <w:tc>
          <w:tcPr>
            <w:tcW w:w="2314" w:type="dxa"/>
            <w:tcBorders>
              <w:top w:val="single" w:color="010101" w:sz="6" w:space="0"/>
              <w:left w:val="single" w:color="010101" w:sz="6" w:space="0"/>
              <w:bottom w:val="single" w:color="010101" w:sz="6" w:space="0"/>
              <w:right w:val="single" w:color="010101" w:sz="6" w:space="0"/>
            </w:tcBorders>
            <w:noWrap w:val="0"/>
            <w:vAlign w:val="top"/>
          </w:tcPr>
          <w:p w14:paraId="59EB50BD">
            <w:pPr>
              <w:pStyle w:val="76"/>
              <w:jc w:val="left"/>
              <w:rPr>
                <w:rFonts w:hint="eastAsia" w:ascii="宋体" w:hAnsi="宋体" w:eastAsia="宋体" w:cs="宋体"/>
                <w:color w:val="auto"/>
                <w:sz w:val="20"/>
                <w:highlight w:val="none"/>
              </w:rPr>
            </w:pPr>
          </w:p>
        </w:tc>
        <w:tc>
          <w:tcPr>
            <w:tcW w:w="2374" w:type="dxa"/>
            <w:tcBorders>
              <w:top w:val="single" w:color="010101" w:sz="6" w:space="0"/>
              <w:left w:val="single" w:color="010101" w:sz="6" w:space="0"/>
              <w:bottom w:val="single" w:color="010101" w:sz="6" w:space="0"/>
              <w:right w:val="single" w:color="010101" w:sz="6" w:space="0"/>
            </w:tcBorders>
            <w:noWrap w:val="0"/>
            <w:vAlign w:val="top"/>
          </w:tcPr>
          <w:p w14:paraId="14BE2AF9">
            <w:pPr>
              <w:pStyle w:val="76"/>
              <w:jc w:val="left"/>
              <w:rPr>
                <w:rFonts w:hint="eastAsia" w:ascii="宋体" w:hAnsi="宋体" w:eastAsia="宋体" w:cs="宋体"/>
                <w:color w:val="auto"/>
                <w:sz w:val="20"/>
                <w:highlight w:val="none"/>
              </w:rPr>
            </w:pPr>
          </w:p>
        </w:tc>
      </w:tr>
      <w:tr w14:paraId="050C0E90">
        <w:tblPrEx>
          <w:tblBorders>
            <w:top w:val="single" w:color="010101" w:sz="6" w:space="0"/>
            <w:left w:val="single" w:color="010101" w:sz="6" w:space="0"/>
            <w:bottom w:val="single" w:color="010101" w:sz="6" w:space="0"/>
            <w:right w:val="single" w:color="010101" w:sz="6" w:space="0"/>
            <w:insideH w:val="single" w:color="010101" w:sz="6" w:space="0"/>
            <w:insideV w:val="single" w:color="010101" w:sz="6" w:space="0"/>
          </w:tblBorders>
          <w:tblCellMar>
            <w:top w:w="0" w:type="dxa"/>
            <w:left w:w="0" w:type="dxa"/>
            <w:bottom w:w="0" w:type="dxa"/>
            <w:right w:w="0" w:type="dxa"/>
          </w:tblCellMar>
        </w:tblPrEx>
        <w:trPr>
          <w:trHeight w:val="402" w:hRule="atLeast"/>
        </w:trPr>
        <w:tc>
          <w:tcPr>
            <w:tcW w:w="1288" w:type="dxa"/>
            <w:tcBorders>
              <w:top w:val="single" w:color="010101" w:sz="6" w:space="0"/>
              <w:left w:val="single" w:color="010101" w:sz="4" w:space="0"/>
              <w:bottom w:val="single" w:color="010101" w:sz="6" w:space="0"/>
              <w:right w:val="single" w:color="010101" w:sz="6" w:space="0"/>
            </w:tcBorders>
            <w:noWrap w:val="0"/>
            <w:vAlign w:val="center"/>
          </w:tcPr>
          <w:p w14:paraId="2A66706F">
            <w:pPr>
              <w:pStyle w:val="76"/>
              <w:ind w:left="208" w:leftChars="99" w:firstLine="287" w:firstLineChars="137"/>
              <w:jc w:val="both"/>
              <w:rPr>
                <w:rFonts w:hint="eastAsia" w:ascii="宋体" w:hAnsi="宋体" w:eastAsia="宋体" w:cs="宋体"/>
                <w:color w:val="auto"/>
                <w:kern w:val="0"/>
                <w:sz w:val="21"/>
                <w:szCs w:val="22"/>
                <w:highlight w:val="none"/>
                <w:lang w:val="en-US" w:eastAsia="zh-CN" w:bidi="ar-SA"/>
              </w:rPr>
            </w:pPr>
            <w:r>
              <w:rPr>
                <w:rFonts w:hint="eastAsia" w:ascii="宋体" w:hAnsi="宋体" w:eastAsia="宋体" w:cs="宋体"/>
                <w:color w:val="auto"/>
                <w:sz w:val="21"/>
                <w:highlight w:val="none"/>
              </w:rPr>
              <w:t>3</w:t>
            </w:r>
          </w:p>
        </w:tc>
        <w:tc>
          <w:tcPr>
            <w:tcW w:w="3394" w:type="dxa"/>
            <w:tcBorders>
              <w:top w:val="single" w:color="010101" w:sz="6" w:space="0"/>
              <w:left w:val="single" w:color="010101" w:sz="6" w:space="0"/>
              <w:bottom w:val="single" w:color="010101" w:sz="6" w:space="0"/>
              <w:right w:val="single" w:color="010101" w:sz="6" w:space="0"/>
            </w:tcBorders>
            <w:noWrap w:val="0"/>
            <w:vAlign w:val="center"/>
          </w:tcPr>
          <w:p w14:paraId="207B44E4">
            <w:pPr>
              <w:pStyle w:val="76"/>
              <w:spacing w:line="240" w:lineRule="auto"/>
              <w:ind w:left="0" w:leftChars="0" w:right="0" w:firstLine="0" w:firstLineChars="0"/>
              <w:jc w:val="left"/>
              <w:rPr>
                <w:rFonts w:hint="eastAsia" w:ascii="宋体" w:hAnsi="宋体" w:eastAsia="宋体" w:cs="宋体"/>
                <w:color w:val="auto"/>
                <w:sz w:val="21"/>
                <w:szCs w:val="22"/>
                <w:highlight w:val="none"/>
              </w:rPr>
            </w:pPr>
          </w:p>
        </w:tc>
        <w:tc>
          <w:tcPr>
            <w:tcW w:w="2314" w:type="dxa"/>
            <w:tcBorders>
              <w:top w:val="single" w:color="010101" w:sz="6" w:space="0"/>
              <w:left w:val="single" w:color="010101" w:sz="6" w:space="0"/>
              <w:bottom w:val="single" w:color="010101" w:sz="6" w:space="0"/>
              <w:right w:val="single" w:color="010101" w:sz="6" w:space="0"/>
            </w:tcBorders>
            <w:noWrap w:val="0"/>
            <w:vAlign w:val="top"/>
          </w:tcPr>
          <w:p w14:paraId="58104EEA">
            <w:pPr>
              <w:pStyle w:val="76"/>
              <w:ind w:left="0" w:leftChars="0" w:firstLine="0" w:firstLineChars="0"/>
              <w:jc w:val="left"/>
              <w:rPr>
                <w:rFonts w:hint="eastAsia" w:ascii="宋体" w:hAnsi="宋体" w:eastAsia="宋体" w:cs="宋体"/>
                <w:color w:val="auto"/>
                <w:sz w:val="21"/>
                <w:highlight w:val="none"/>
              </w:rPr>
            </w:pPr>
          </w:p>
        </w:tc>
        <w:tc>
          <w:tcPr>
            <w:tcW w:w="2374" w:type="dxa"/>
            <w:tcBorders>
              <w:top w:val="single" w:color="010101" w:sz="6" w:space="0"/>
              <w:left w:val="single" w:color="010101" w:sz="6" w:space="0"/>
              <w:bottom w:val="single" w:color="010101" w:sz="6" w:space="0"/>
              <w:right w:val="single" w:color="010101" w:sz="6" w:space="0"/>
            </w:tcBorders>
            <w:noWrap w:val="0"/>
            <w:vAlign w:val="top"/>
          </w:tcPr>
          <w:p w14:paraId="5483E927">
            <w:pPr>
              <w:pStyle w:val="76"/>
              <w:ind w:left="0" w:leftChars="0" w:firstLine="0" w:firstLineChars="0"/>
              <w:jc w:val="left"/>
              <w:rPr>
                <w:rFonts w:hint="eastAsia" w:ascii="宋体" w:hAnsi="宋体" w:eastAsia="宋体" w:cs="宋体"/>
                <w:color w:val="auto"/>
                <w:sz w:val="21"/>
                <w:highlight w:val="none"/>
              </w:rPr>
            </w:pPr>
          </w:p>
        </w:tc>
      </w:tr>
      <w:tr w14:paraId="78E59C1E">
        <w:tblPrEx>
          <w:tblBorders>
            <w:top w:val="single" w:color="010101" w:sz="6" w:space="0"/>
            <w:left w:val="single" w:color="010101" w:sz="6" w:space="0"/>
            <w:bottom w:val="single" w:color="010101" w:sz="6" w:space="0"/>
            <w:right w:val="single" w:color="010101" w:sz="6" w:space="0"/>
            <w:insideH w:val="single" w:color="010101" w:sz="6" w:space="0"/>
            <w:insideV w:val="single" w:color="010101" w:sz="6" w:space="0"/>
          </w:tblBorders>
          <w:tblCellMar>
            <w:top w:w="0" w:type="dxa"/>
            <w:left w:w="0" w:type="dxa"/>
            <w:bottom w:w="0" w:type="dxa"/>
            <w:right w:w="0" w:type="dxa"/>
          </w:tblCellMar>
        </w:tblPrEx>
        <w:trPr>
          <w:trHeight w:val="402" w:hRule="atLeast"/>
        </w:trPr>
        <w:tc>
          <w:tcPr>
            <w:tcW w:w="1288" w:type="dxa"/>
            <w:tcBorders>
              <w:top w:val="single" w:color="010101" w:sz="6" w:space="0"/>
              <w:left w:val="single" w:color="010101" w:sz="4" w:space="0"/>
              <w:bottom w:val="single" w:color="010101" w:sz="6" w:space="0"/>
              <w:right w:val="single" w:color="010101" w:sz="6" w:space="0"/>
            </w:tcBorders>
            <w:noWrap w:val="0"/>
            <w:vAlign w:val="center"/>
          </w:tcPr>
          <w:p w14:paraId="33785F94">
            <w:pPr>
              <w:pStyle w:val="76"/>
              <w:ind w:left="208" w:leftChars="99" w:firstLine="287" w:firstLineChars="137"/>
              <w:jc w:val="both"/>
              <w:rPr>
                <w:rFonts w:hint="eastAsia" w:ascii="宋体" w:hAnsi="宋体" w:eastAsia="宋体" w:cs="宋体"/>
                <w:color w:val="auto"/>
                <w:kern w:val="0"/>
                <w:sz w:val="21"/>
                <w:szCs w:val="22"/>
                <w:highlight w:val="none"/>
                <w:lang w:val="en-US" w:eastAsia="zh-CN" w:bidi="ar-SA"/>
              </w:rPr>
            </w:pPr>
            <w:r>
              <w:rPr>
                <w:rFonts w:hint="eastAsia" w:ascii="宋体" w:hAnsi="宋体" w:eastAsia="宋体" w:cs="宋体"/>
                <w:color w:val="auto"/>
                <w:sz w:val="21"/>
                <w:highlight w:val="none"/>
              </w:rPr>
              <w:t>4</w:t>
            </w:r>
          </w:p>
        </w:tc>
        <w:tc>
          <w:tcPr>
            <w:tcW w:w="3394" w:type="dxa"/>
            <w:tcBorders>
              <w:top w:val="single" w:color="010101" w:sz="6" w:space="0"/>
              <w:left w:val="single" w:color="010101" w:sz="6" w:space="0"/>
              <w:bottom w:val="single" w:color="010101" w:sz="6" w:space="0"/>
              <w:right w:val="single" w:color="010101" w:sz="6" w:space="0"/>
            </w:tcBorders>
            <w:noWrap w:val="0"/>
            <w:vAlign w:val="center"/>
          </w:tcPr>
          <w:p w14:paraId="35531196">
            <w:pPr>
              <w:pStyle w:val="76"/>
              <w:spacing w:line="240" w:lineRule="auto"/>
              <w:ind w:left="0" w:leftChars="0" w:right="0" w:firstLine="0" w:firstLineChars="0"/>
              <w:jc w:val="left"/>
              <w:rPr>
                <w:rFonts w:hint="eastAsia" w:ascii="宋体" w:hAnsi="宋体" w:eastAsia="宋体" w:cs="宋体"/>
                <w:color w:val="auto"/>
                <w:sz w:val="21"/>
                <w:szCs w:val="22"/>
                <w:highlight w:val="none"/>
              </w:rPr>
            </w:pPr>
          </w:p>
        </w:tc>
        <w:tc>
          <w:tcPr>
            <w:tcW w:w="2314" w:type="dxa"/>
            <w:tcBorders>
              <w:top w:val="single" w:color="010101" w:sz="6" w:space="0"/>
              <w:left w:val="single" w:color="010101" w:sz="6" w:space="0"/>
              <w:bottom w:val="single" w:color="010101" w:sz="6" w:space="0"/>
              <w:right w:val="single" w:color="010101" w:sz="6" w:space="0"/>
            </w:tcBorders>
            <w:noWrap w:val="0"/>
            <w:vAlign w:val="top"/>
          </w:tcPr>
          <w:p w14:paraId="317F487E">
            <w:pPr>
              <w:pStyle w:val="76"/>
              <w:ind w:left="0" w:leftChars="0" w:firstLine="0" w:firstLineChars="0"/>
              <w:jc w:val="left"/>
              <w:rPr>
                <w:rFonts w:hint="eastAsia" w:ascii="宋体" w:hAnsi="宋体" w:eastAsia="宋体" w:cs="宋体"/>
                <w:color w:val="auto"/>
                <w:sz w:val="21"/>
                <w:highlight w:val="none"/>
              </w:rPr>
            </w:pPr>
          </w:p>
        </w:tc>
        <w:tc>
          <w:tcPr>
            <w:tcW w:w="2374" w:type="dxa"/>
            <w:tcBorders>
              <w:top w:val="single" w:color="010101" w:sz="6" w:space="0"/>
              <w:left w:val="single" w:color="010101" w:sz="6" w:space="0"/>
              <w:bottom w:val="single" w:color="010101" w:sz="6" w:space="0"/>
              <w:right w:val="single" w:color="010101" w:sz="6" w:space="0"/>
            </w:tcBorders>
            <w:noWrap w:val="0"/>
            <w:vAlign w:val="top"/>
          </w:tcPr>
          <w:p w14:paraId="7CB0291A">
            <w:pPr>
              <w:pStyle w:val="76"/>
              <w:ind w:left="0" w:leftChars="0" w:firstLine="0" w:firstLineChars="0"/>
              <w:jc w:val="left"/>
              <w:rPr>
                <w:rFonts w:hint="eastAsia" w:ascii="宋体" w:hAnsi="宋体" w:eastAsia="宋体" w:cs="宋体"/>
                <w:color w:val="auto"/>
                <w:sz w:val="21"/>
                <w:highlight w:val="none"/>
              </w:rPr>
            </w:pPr>
          </w:p>
        </w:tc>
      </w:tr>
      <w:tr w14:paraId="63D2F632">
        <w:tblPrEx>
          <w:tblBorders>
            <w:top w:val="single" w:color="010101" w:sz="6" w:space="0"/>
            <w:left w:val="single" w:color="010101" w:sz="6" w:space="0"/>
            <w:bottom w:val="single" w:color="010101" w:sz="6" w:space="0"/>
            <w:right w:val="single" w:color="010101" w:sz="6" w:space="0"/>
            <w:insideH w:val="single" w:color="010101" w:sz="6" w:space="0"/>
            <w:insideV w:val="single" w:color="010101" w:sz="6" w:space="0"/>
          </w:tblBorders>
          <w:tblCellMar>
            <w:top w:w="0" w:type="dxa"/>
            <w:left w:w="0" w:type="dxa"/>
            <w:bottom w:w="0" w:type="dxa"/>
            <w:right w:w="0" w:type="dxa"/>
          </w:tblCellMar>
        </w:tblPrEx>
        <w:trPr>
          <w:trHeight w:val="402" w:hRule="atLeast"/>
        </w:trPr>
        <w:tc>
          <w:tcPr>
            <w:tcW w:w="1288" w:type="dxa"/>
            <w:tcBorders>
              <w:top w:val="single" w:color="010101" w:sz="6" w:space="0"/>
              <w:left w:val="single" w:color="010101" w:sz="4" w:space="0"/>
              <w:bottom w:val="single" w:color="010101" w:sz="6" w:space="0"/>
              <w:right w:val="single" w:color="010101" w:sz="6" w:space="0"/>
            </w:tcBorders>
            <w:noWrap w:val="0"/>
            <w:vAlign w:val="center"/>
          </w:tcPr>
          <w:p w14:paraId="1C45AF7B">
            <w:pPr>
              <w:pStyle w:val="76"/>
              <w:ind w:left="208" w:leftChars="99" w:firstLine="287" w:firstLineChars="137"/>
              <w:jc w:val="both"/>
              <w:rPr>
                <w:rFonts w:hint="eastAsia" w:ascii="宋体" w:hAnsi="宋体" w:eastAsia="宋体" w:cs="宋体"/>
                <w:color w:val="auto"/>
                <w:sz w:val="21"/>
                <w:highlight w:val="none"/>
              </w:rPr>
            </w:pPr>
            <w:r>
              <w:rPr>
                <w:rFonts w:hint="eastAsia" w:ascii="宋体" w:hAnsi="宋体" w:eastAsia="宋体" w:cs="宋体"/>
                <w:color w:val="auto"/>
                <w:sz w:val="21"/>
                <w:highlight w:val="none"/>
              </w:rPr>
              <w:t>5</w:t>
            </w:r>
          </w:p>
        </w:tc>
        <w:tc>
          <w:tcPr>
            <w:tcW w:w="3394" w:type="dxa"/>
            <w:tcBorders>
              <w:top w:val="single" w:color="010101" w:sz="6" w:space="0"/>
              <w:left w:val="single" w:color="010101" w:sz="6" w:space="0"/>
              <w:bottom w:val="single" w:color="010101" w:sz="6" w:space="0"/>
              <w:right w:val="single" w:color="010101" w:sz="6" w:space="0"/>
            </w:tcBorders>
            <w:noWrap w:val="0"/>
            <w:vAlign w:val="center"/>
          </w:tcPr>
          <w:p w14:paraId="019E6542">
            <w:pPr>
              <w:pStyle w:val="76"/>
              <w:spacing w:line="240" w:lineRule="auto"/>
              <w:ind w:left="0" w:leftChars="0" w:right="0" w:firstLine="0" w:firstLineChars="0"/>
              <w:jc w:val="left"/>
              <w:rPr>
                <w:rFonts w:hint="eastAsia" w:ascii="宋体" w:hAnsi="宋体" w:eastAsia="宋体" w:cs="宋体"/>
                <w:color w:val="auto"/>
                <w:sz w:val="21"/>
                <w:szCs w:val="22"/>
                <w:highlight w:val="none"/>
              </w:rPr>
            </w:pPr>
          </w:p>
        </w:tc>
        <w:tc>
          <w:tcPr>
            <w:tcW w:w="2314" w:type="dxa"/>
            <w:tcBorders>
              <w:top w:val="single" w:color="010101" w:sz="6" w:space="0"/>
              <w:left w:val="single" w:color="010101" w:sz="6" w:space="0"/>
              <w:bottom w:val="single" w:color="010101" w:sz="6" w:space="0"/>
              <w:right w:val="single" w:color="010101" w:sz="6" w:space="0"/>
            </w:tcBorders>
            <w:noWrap w:val="0"/>
            <w:vAlign w:val="top"/>
          </w:tcPr>
          <w:p w14:paraId="152996BA">
            <w:pPr>
              <w:pStyle w:val="76"/>
              <w:ind w:left="0" w:leftChars="0" w:firstLine="0" w:firstLineChars="0"/>
              <w:jc w:val="left"/>
              <w:rPr>
                <w:rFonts w:hint="eastAsia" w:ascii="宋体" w:hAnsi="宋体" w:eastAsia="宋体" w:cs="宋体"/>
                <w:color w:val="auto"/>
                <w:sz w:val="21"/>
                <w:highlight w:val="none"/>
              </w:rPr>
            </w:pPr>
          </w:p>
        </w:tc>
        <w:tc>
          <w:tcPr>
            <w:tcW w:w="2374" w:type="dxa"/>
            <w:tcBorders>
              <w:top w:val="single" w:color="010101" w:sz="6" w:space="0"/>
              <w:left w:val="single" w:color="010101" w:sz="6" w:space="0"/>
              <w:bottom w:val="single" w:color="010101" w:sz="6" w:space="0"/>
              <w:right w:val="single" w:color="010101" w:sz="6" w:space="0"/>
            </w:tcBorders>
            <w:noWrap w:val="0"/>
            <w:vAlign w:val="top"/>
          </w:tcPr>
          <w:p w14:paraId="40EB7EB1">
            <w:pPr>
              <w:pStyle w:val="76"/>
              <w:ind w:left="0" w:leftChars="0" w:firstLine="0" w:firstLineChars="0"/>
              <w:jc w:val="left"/>
              <w:rPr>
                <w:rFonts w:hint="eastAsia" w:ascii="宋体" w:hAnsi="宋体" w:eastAsia="宋体" w:cs="宋体"/>
                <w:color w:val="auto"/>
                <w:sz w:val="21"/>
                <w:highlight w:val="none"/>
              </w:rPr>
            </w:pPr>
          </w:p>
        </w:tc>
      </w:tr>
      <w:tr w14:paraId="2E347D99">
        <w:tblPrEx>
          <w:tblBorders>
            <w:top w:val="single" w:color="010101" w:sz="6" w:space="0"/>
            <w:left w:val="single" w:color="010101" w:sz="6" w:space="0"/>
            <w:bottom w:val="single" w:color="010101" w:sz="6" w:space="0"/>
            <w:right w:val="single" w:color="010101" w:sz="6" w:space="0"/>
            <w:insideH w:val="single" w:color="010101" w:sz="6" w:space="0"/>
            <w:insideV w:val="single" w:color="010101" w:sz="6" w:space="0"/>
          </w:tblBorders>
          <w:tblCellMar>
            <w:top w:w="0" w:type="dxa"/>
            <w:left w:w="0" w:type="dxa"/>
            <w:bottom w:w="0" w:type="dxa"/>
            <w:right w:w="0" w:type="dxa"/>
          </w:tblCellMar>
        </w:tblPrEx>
        <w:trPr>
          <w:trHeight w:val="402" w:hRule="atLeast"/>
        </w:trPr>
        <w:tc>
          <w:tcPr>
            <w:tcW w:w="1288" w:type="dxa"/>
            <w:tcBorders>
              <w:top w:val="single" w:color="010101" w:sz="6" w:space="0"/>
              <w:left w:val="single" w:color="010101" w:sz="4" w:space="0"/>
              <w:bottom w:val="single" w:color="010101" w:sz="6" w:space="0"/>
              <w:right w:val="single" w:color="010101" w:sz="6" w:space="0"/>
            </w:tcBorders>
            <w:noWrap w:val="0"/>
            <w:vAlign w:val="center"/>
          </w:tcPr>
          <w:p w14:paraId="4BC1FAC7">
            <w:pPr>
              <w:pStyle w:val="76"/>
              <w:ind w:left="208" w:leftChars="99" w:firstLine="287" w:firstLineChars="137"/>
              <w:jc w:val="both"/>
              <w:rPr>
                <w:rFonts w:hint="eastAsia" w:ascii="宋体" w:hAnsi="宋体" w:eastAsia="宋体" w:cs="宋体"/>
                <w:color w:val="auto"/>
                <w:sz w:val="21"/>
                <w:highlight w:val="none"/>
              </w:rPr>
            </w:pPr>
            <w:r>
              <w:rPr>
                <w:rFonts w:hint="eastAsia" w:ascii="宋体" w:hAnsi="宋体" w:eastAsia="宋体" w:cs="宋体"/>
                <w:color w:val="auto"/>
                <w:sz w:val="21"/>
                <w:highlight w:val="none"/>
              </w:rPr>
              <w:t>……</w:t>
            </w:r>
          </w:p>
        </w:tc>
        <w:tc>
          <w:tcPr>
            <w:tcW w:w="3394" w:type="dxa"/>
            <w:tcBorders>
              <w:top w:val="single" w:color="010101" w:sz="6" w:space="0"/>
              <w:left w:val="single" w:color="010101" w:sz="6" w:space="0"/>
              <w:bottom w:val="single" w:color="010101" w:sz="6" w:space="0"/>
              <w:right w:val="single" w:color="010101" w:sz="6" w:space="0"/>
            </w:tcBorders>
            <w:noWrap w:val="0"/>
            <w:vAlign w:val="center"/>
          </w:tcPr>
          <w:p w14:paraId="769DCE19">
            <w:pPr>
              <w:pStyle w:val="76"/>
              <w:spacing w:line="240" w:lineRule="auto"/>
              <w:ind w:left="0" w:leftChars="0" w:right="0" w:firstLine="0" w:firstLineChars="0"/>
              <w:jc w:val="left"/>
              <w:rPr>
                <w:rFonts w:hint="eastAsia" w:ascii="宋体" w:hAnsi="宋体" w:eastAsia="宋体" w:cs="宋体"/>
                <w:color w:val="auto"/>
                <w:sz w:val="21"/>
                <w:szCs w:val="22"/>
                <w:highlight w:val="none"/>
              </w:rPr>
            </w:pPr>
          </w:p>
        </w:tc>
        <w:tc>
          <w:tcPr>
            <w:tcW w:w="2314" w:type="dxa"/>
            <w:tcBorders>
              <w:top w:val="single" w:color="010101" w:sz="6" w:space="0"/>
              <w:left w:val="single" w:color="010101" w:sz="6" w:space="0"/>
              <w:bottom w:val="single" w:color="010101" w:sz="6" w:space="0"/>
              <w:right w:val="single" w:color="010101" w:sz="6" w:space="0"/>
            </w:tcBorders>
            <w:noWrap w:val="0"/>
            <w:vAlign w:val="top"/>
          </w:tcPr>
          <w:p w14:paraId="45FABC85">
            <w:pPr>
              <w:pStyle w:val="76"/>
              <w:ind w:left="0" w:leftChars="0" w:firstLine="0" w:firstLineChars="0"/>
              <w:jc w:val="left"/>
              <w:rPr>
                <w:rFonts w:hint="eastAsia" w:ascii="宋体" w:hAnsi="宋体" w:eastAsia="宋体" w:cs="宋体"/>
                <w:color w:val="auto"/>
                <w:sz w:val="21"/>
                <w:highlight w:val="none"/>
              </w:rPr>
            </w:pPr>
          </w:p>
        </w:tc>
        <w:tc>
          <w:tcPr>
            <w:tcW w:w="2374" w:type="dxa"/>
            <w:tcBorders>
              <w:top w:val="single" w:color="010101" w:sz="6" w:space="0"/>
              <w:left w:val="single" w:color="010101" w:sz="6" w:space="0"/>
              <w:bottom w:val="single" w:color="010101" w:sz="6" w:space="0"/>
              <w:right w:val="single" w:color="010101" w:sz="6" w:space="0"/>
            </w:tcBorders>
            <w:noWrap w:val="0"/>
            <w:vAlign w:val="top"/>
          </w:tcPr>
          <w:p w14:paraId="1B6D68A3">
            <w:pPr>
              <w:pStyle w:val="76"/>
              <w:ind w:left="0" w:leftChars="0" w:firstLine="0" w:firstLineChars="0"/>
              <w:jc w:val="left"/>
              <w:rPr>
                <w:rFonts w:hint="eastAsia" w:ascii="宋体" w:hAnsi="宋体" w:eastAsia="宋体" w:cs="宋体"/>
                <w:color w:val="auto"/>
                <w:sz w:val="21"/>
                <w:highlight w:val="none"/>
              </w:rPr>
            </w:pPr>
          </w:p>
        </w:tc>
      </w:tr>
    </w:tbl>
    <w:p w14:paraId="1A10434E">
      <w:pPr>
        <w:widowControl/>
        <w:rPr>
          <w:rFonts w:hint="eastAsia" w:ascii="Times New Roman" w:hAnsi="Times New Roman" w:eastAsia="宋体" w:cs="Times New Roman"/>
          <w:b w:val="0"/>
          <w:bCs w:val="0"/>
          <w:color w:val="auto"/>
          <w:kern w:val="2"/>
          <w:sz w:val="21"/>
          <w:szCs w:val="21"/>
          <w:highlight w:val="none"/>
          <w:lang w:val="en-US" w:eastAsia="zh-CN" w:bidi="ar-SA"/>
        </w:rPr>
      </w:pPr>
    </w:p>
    <w:p w14:paraId="7A42E97E">
      <w:pPr>
        <w:widowControl/>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 xml:space="preserve">注：资信要素详见第三章 </w:t>
      </w:r>
      <w:r>
        <w:rPr>
          <w:rFonts w:hint="eastAsia" w:ascii="宋体" w:hAnsi="宋体" w:eastAsia="宋体" w:cs="宋体"/>
          <w:color w:val="auto"/>
          <w:highlight w:val="none"/>
          <w:lang w:val="en-US" w:eastAsia="zh-CN"/>
        </w:rPr>
        <w:t>评标办法</w:t>
      </w:r>
      <w:r>
        <w:rPr>
          <w:rFonts w:hint="eastAsia"/>
          <w:color w:val="auto"/>
          <w:highlight w:val="none"/>
          <w:lang w:val="en-US" w:eastAsia="zh-CN"/>
        </w:rPr>
        <w:t>、定标规则的</w:t>
      </w:r>
      <w:r>
        <w:rPr>
          <w:rFonts w:hint="eastAsia" w:ascii="Times New Roman" w:hAnsi="Times New Roman" w:eastAsia="宋体" w:cs="Times New Roman"/>
          <w:b w:val="0"/>
          <w:bCs w:val="0"/>
          <w:color w:val="auto"/>
          <w:kern w:val="2"/>
          <w:sz w:val="21"/>
          <w:szCs w:val="21"/>
          <w:highlight w:val="none"/>
          <w:lang w:val="en-US" w:eastAsia="zh-CN" w:bidi="ar-SA"/>
        </w:rPr>
        <w:t>《资信要素一览表》，投标人应如实填写对应资信要素的页码索引。</w:t>
      </w:r>
    </w:p>
    <w:p w14:paraId="1E3F2E4C">
      <w:pPr>
        <w:rPr>
          <w:rFonts w:ascii="宋体" w:hAnsi="宋体"/>
          <w:color w:val="auto"/>
          <w:highlight w:val="none"/>
        </w:rPr>
      </w:pPr>
    </w:p>
    <w:p w14:paraId="26AC6B16">
      <w:pPr>
        <w:jc w:val="center"/>
        <w:rPr>
          <w:rFonts w:hint="eastAsia" w:ascii="宋体" w:hAnsi="宋体" w:cs="宋体"/>
          <w:b/>
          <w:color w:val="auto"/>
          <w:kern w:val="0"/>
          <w:sz w:val="30"/>
          <w:szCs w:val="30"/>
          <w:highlight w:val="none"/>
        </w:rPr>
      </w:pPr>
      <w:r>
        <w:rPr>
          <w:rFonts w:hint="eastAsia" w:ascii="宋体" w:hAnsi="宋体"/>
          <w:color w:val="auto"/>
          <w:szCs w:val="21"/>
          <w:highlight w:val="none"/>
        </w:rPr>
        <w:br w:type="page"/>
      </w:r>
      <w:r>
        <w:rPr>
          <w:rFonts w:hint="eastAsia" w:ascii="宋体" w:hAnsi="宋体" w:cs="Courier New"/>
          <w:b/>
          <w:color w:val="auto"/>
          <w:sz w:val="30"/>
          <w:szCs w:val="30"/>
          <w:highlight w:val="none"/>
        </w:rPr>
        <w:t>二、投标人资信情况汇总表</w:t>
      </w:r>
    </w:p>
    <w:tbl>
      <w:tblPr>
        <w:tblStyle w:val="26"/>
        <w:tblW w:w="5017"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650"/>
        <w:gridCol w:w="34"/>
        <w:gridCol w:w="1539"/>
        <w:gridCol w:w="375"/>
        <w:gridCol w:w="1322"/>
        <w:gridCol w:w="1322"/>
        <w:gridCol w:w="565"/>
        <w:gridCol w:w="1335"/>
        <w:gridCol w:w="424"/>
        <w:gridCol w:w="895"/>
        <w:gridCol w:w="1143"/>
      </w:tblGrid>
      <w:tr w14:paraId="7BCB1F2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19" w:hRule="atLeast"/>
          <w:jc w:val="center"/>
        </w:trPr>
        <w:tc>
          <w:tcPr>
            <w:tcW w:w="1158" w:type="pct"/>
            <w:gridSpan w:val="3"/>
            <w:noWrap w:val="0"/>
            <w:vAlign w:val="center"/>
          </w:tcPr>
          <w:p w14:paraId="50BE3C15">
            <w:pPr>
              <w:tabs>
                <w:tab w:val="left" w:pos="-951"/>
                <w:tab w:val="left" w:pos="4267"/>
                <w:tab w:val="left" w:pos="7925"/>
              </w:tabs>
              <w:adjustRightInd w:val="0"/>
              <w:snapToGrid w:val="0"/>
              <w:spacing w:line="360" w:lineRule="auto"/>
              <w:ind w:right="-6"/>
              <w:jc w:val="center"/>
              <w:rPr>
                <w:rFonts w:hint="eastAsia" w:ascii="宋体" w:hAnsi="宋体" w:eastAsia="宋体"/>
                <w:bCs/>
                <w:color w:val="auto"/>
                <w:sz w:val="21"/>
                <w:szCs w:val="21"/>
                <w:highlight w:val="none"/>
                <w:lang w:eastAsia="zh-CN"/>
              </w:rPr>
            </w:pPr>
            <w:permStart w:id="198" w:edGrp="everyone"/>
            <w:r>
              <w:rPr>
                <w:rFonts w:hint="eastAsia" w:ascii="宋体" w:hAnsi="宋体"/>
                <w:bCs/>
                <w:color w:val="auto"/>
                <w:sz w:val="21"/>
                <w:szCs w:val="21"/>
                <w:highlight w:val="none"/>
                <w:lang w:eastAsia="zh-CN"/>
              </w:rPr>
              <w:t>企业名称</w:t>
            </w:r>
          </w:p>
        </w:tc>
        <w:tc>
          <w:tcPr>
            <w:tcW w:w="3841" w:type="pct"/>
            <w:gridSpan w:val="8"/>
            <w:noWrap w:val="0"/>
            <w:vAlign w:val="bottom"/>
          </w:tcPr>
          <w:p w14:paraId="27F3980A">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79B80D0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47" w:hRule="atLeast"/>
          <w:jc w:val="center"/>
        </w:trPr>
        <w:tc>
          <w:tcPr>
            <w:tcW w:w="1158" w:type="pct"/>
            <w:gridSpan w:val="3"/>
            <w:noWrap w:val="0"/>
            <w:vAlign w:val="center"/>
          </w:tcPr>
          <w:p w14:paraId="2D037E60">
            <w:pPr>
              <w:tabs>
                <w:tab w:val="left" w:pos="-951"/>
                <w:tab w:val="left" w:pos="4267"/>
                <w:tab w:val="left" w:pos="7925"/>
              </w:tabs>
              <w:adjustRightInd w:val="0"/>
              <w:snapToGrid w:val="0"/>
              <w:spacing w:line="360" w:lineRule="auto"/>
              <w:ind w:right="-6"/>
              <w:jc w:val="center"/>
              <w:rPr>
                <w:rFonts w:hint="eastAsia" w:ascii="宋体" w:hAnsi="宋体" w:eastAsia="宋体"/>
                <w:bCs/>
                <w:color w:val="auto"/>
                <w:sz w:val="21"/>
                <w:szCs w:val="21"/>
                <w:highlight w:val="none"/>
                <w:lang w:eastAsia="zh-CN"/>
              </w:rPr>
            </w:pPr>
            <w:r>
              <w:rPr>
                <w:rFonts w:hint="eastAsia" w:ascii="宋体" w:hAnsi="宋体"/>
                <w:bCs/>
                <w:color w:val="auto"/>
                <w:sz w:val="21"/>
                <w:szCs w:val="21"/>
                <w:highlight w:val="none"/>
                <w:lang w:eastAsia="zh-CN"/>
              </w:rPr>
              <w:t>注册地址</w:t>
            </w:r>
          </w:p>
        </w:tc>
        <w:tc>
          <w:tcPr>
            <w:tcW w:w="3841" w:type="pct"/>
            <w:gridSpan w:val="8"/>
            <w:noWrap w:val="0"/>
            <w:vAlign w:val="bottom"/>
          </w:tcPr>
          <w:p w14:paraId="18C50E56">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56D04E4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69" w:hRule="atLeast"/>
          <w:jc w:val="center"/>
        </w:trPr>
        <w:tc>
          <w:tcPr>
            <w:tcW w:w="1158" w:type="pct"/>
            <w:gridSpan w:val="3"/>
            <w:noWrap w:val="0"/>
            <w:vAlign w:val="center"/>
          </w:tcPr>
          <w:p w14:paraId="10ABB5A1">
            <w:pPr>
              <w:tabs>
                <w:tab w:val="left" w:pos="-951"/>
                <w:tab w:val="left" w:pos="4267"/>
                <w:tab w:val="left" w:pos="7925"/>
              </w:tabs>
              <w:adjustRightInd w:val="0"/>
              <w:snapToGrid w:val="0"/>
              <w:spacing w:line="360" w:lineRule="auto"/>
              <w:ind w:right="-6" w:rightChars="0"/>
              <w:jc w:val="center"/>
              <w:rPr>
                <w:rFonts w:hint="default" w:ascii="宋体" w:hAnsi="宋体" w:eastAsia="宋体"/>
                <w:bCs/>
                <w:color w:val="auto"/>
                <w:kern w:val="2"/>
                <w:sz w:val="21"/>
                <w:szCs w:val="21"/>
                <w:highlight w:val="none"/>
                <w:lang w:val="en-US" w:eastAsia="zh-CN" w:bidi="ar-SA"/>
              </w:rPr>
            </w:pPr>
            <w:r>
              <w:rPr>
                <w:rFonts w:hint="eastAsia" w:ascii="宋体" w:hAnsi="宋体"/>
                <w:bCs/>
                <w:color w:val="auto"/>
                <w:sz w:val="21"/>
                <w:szCs w:val="21"/>
                <w:highlight w:val="none"/>
                <w:lang w:eastAsia="zh-CN"/>
              </w:rPr>
              <w:t>法定代表人姓名</w:t>
            </w:r>
          </w:p>
        </w:tc>
        <w:tc>
          <w:tcPr>
            <w:tcW w:w="1865" w:type="pct"/>
            <w:gridSpan w:val="4"/>
            <w:noWrap w:val="0"/>
            <w:vAlign w:val="bottom"/>
          </w:tcPr>
          <w:p w14:paraId="2BD3DD3A">
            <w:pPr>
              <w:tabs>
                <w:tab w:val="left" w:pos="-951"/>
                <w:tab w:val="left" w:pos="4267"/>
                <w:tab w:val="left" w:pos="7925"/>
              </w:tabs>
              <w:adjustRightInd w:val="0"/>
              <w:snapToGrid w:val="0"/>
              <w:spacing w:line="360" w:lineRule="auto"/>
              <w:ind w:right="-6" w:rightChars="0"/>
              <w:jc w:val="both"/>
              <w:rPr>
                <w:rFonts w:hint="eastAsia" w:ascii="宋体" w:hAnsi="宋体"/>
                <w:bCs/>
                <w:color w:val="auto"/>
                <w:kern w:val="2"/>
                <w:sz w:val="21"/>
                <w:szCs w:val="21"/>
                <w:highlight w:val="none"/>
                <w:lang w:val="en-US" w:eastAsia="zh-CN" w:bidi="ar-SA"/>
              </w:rPr>
            </w:pPr>
          </w:p>
        </w:tc>
        <w:tc>
          <w:tcPr>
            <w:tcW w:w="916" w:type="pct"/>
            <w:gridSpan w:val="2"/>
            <w:noWrap w:val="0"/>
            <w:vAlign w:val="bottom"/>
          </w:tcPr>
          <w:p w14:paraId="4B264410">
            <w:pPr>
              <w:tabs>
                <w:tab w:val="left" w:pos="-951"/>
                <w:tab w:val="left" w:pos="4267"/>
                <w:tab w:val="left" w:pos="7925"/>
              </w:tabs>
              <w:adjustRightInd w:val="0"/>
              <w:snapToGrid w:val="0"/>
              <w:spacing w:line="360" w:lineRule="auto"/>
              <w:ind w:right="-6" w:rightChars="0"/>
              <w:jc w:val="both"/>
              <w:rPr>
                <w:rFonts w:hint="eastAsia" w:ascii="宋体" w:hAnsi="宋体" w:eastAsia="宋体"/>
                <w:bCs/>
                <w:color w:val="auto"/>
                <w:kern w:val="2"/>
                <w:sz w:val="21"/>
                <w:szCs w:val="21"/>
                <w:highlight w:val="none"/>
                <w:lang w:val="en-US" w:eastAsia="zh-CN" w:bidi="ar-SA"/>
              </w:rPr>
            </w:pPr>
            <w:r>
              <w:rPr>
                <w:rFonts w:hint="eastAsia" w:ascii="宋体" w:hAnsi="宋体"/>
                <w:bCs/>
                <w:color w:val="auto"/>
                <w:sz w:val="21"/>
                <w:szCs w:val="21"/>
                <w:highlight w:val="none"/>
                <w:lang w:eastAsia="zh-CN"/>
              </w:rPr>
              <w:t>职务</w:t>
            </w:r>
          </w:p>
        </w:tc>
        <w:tc>
          <w:tcPr>
            <w:tcW w:w="1059" w:type="pct"/>
            <w:gridSpan w:val="2"/>
            <w:noWrap w:val="0"/>
            <w:vAlign w:val="bottom"/>
          </w:tcPr>
          <w:p w14:paraId="7F7BD6E0">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44052BA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69" w:hRule="atLeast"/>
          <w:jc w:val="center"/>
        </w:trPr>
        <w:tc>
          <w:tcPr>
            <w:tcW w:w="1158" w:type="pct"/>
            <w:gridSpan w:val="3"/>
            <w:noWrap w:val="0"/>
            <w:vAlign w:val="center"/>
          </w:tcPr>
          <w:p w14:paraId="5308C460">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企业资质证书</w:t>
            </w:r>
          </w:p>
        </w:tc>
        <w:tc>
          <w:tcPr>
            <w:tcW w:w="3841" w:type="pct"/>
            <w:gridSpan w:val="8"/>
            <w:noWrap w:val="0"/>
            <w:vAlign w:val="bottom"/>
          </w:tcPr>
          <w:p w14:paraId="7CF02228">
            <w:pPr>
              <w:tabs>
                <w:tab w:val="left" w:pos="-951"/>
                <w:tab w:val="left" w:pos="4267"/>
                <w:tab w:val="left" w:pos="7925"/>
              </w:tabs>
              <w:adjustRightInd w:val="0"/>
              <w:snapToGrid w:val="0"/>
              <w:spacing w:line="360" w:lineRule="auto"/>
              <w:ind w:right="-6"/>
              <w:jc w:val="left"/>
              <w:rPr>
                <w:rFonts w:hint="eastAsia" w:ascii="宋体" w:hAnsi="宋体"/>
                <w:bCs/>
                <w:color w:val="auto"/>
                <w:sz w:val="21"/>
                <w:szCs w:val="21"/>
                <w:highlight w:val="none"/>
              </w:rPr>
            </w:pPr>
            <w:r>
              <w:rPr>
                <w:rFonts w:hint="eastAsia" w:ascii="宋体" w:hAnsi="宋体"/>
                <w:bCs/>
                <w:color w:val="auto"/>
                <w:sz w:val="21"/>
                <w:szCs w:val="21"/>
                <w:highlight w:val="none"/>
                <w:lang w:eastAsia="zh-CN"/>
              </w:rPr>
              <w:t>类型：</w:t>
            </w:r>
            <w:r>
              <w:rPr>
                <w:rFonts w:hint="eastAsia" w:ascii="宋体" w:hAnsi="宋体"/>
                <w:bCs/>
                <w:color w:val="auto"/>
                <w:sz w:val="21"/>
                <w:szCs w:val="21"/>
                <w:highlight w:val="none"/>
                <w:lang w:val="en-US" w:eastAsia="zh-CN"/>
              </w:rPr>
              <w:t xml:space="preserve">                           等级：</w:t>
            </w:r>
          </w:p>
        </w:tc>
      </w:tr>
      <w:tr w14:paraId="66408E2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44" w:hRule="atLeast"/>
          <w:jc w:val="center"/>
        </w:trPr>
        <w:tc>
          <w:tcPr>
            <w:tcW w:w="357" w:type="pct"/>
            <w:gridSpan w:val="2"/>
            <w:vMerge w:val="restart"/>
            <w:noWrap w:val="0"/>
            <w:vAlign w:val="center"/>
          </w:tcPr>
          <w:p w14:paraId="1CD25444">
            <w:pPr>
              <w:keepNext w:val="0"/>
              <w:keepLines w:val="0"/>
              <w:pageBreakBefore w:val="0"/>
              <w:widowControl w:val="0"/>
              <w:tabs>
                <w:tab w:val="left" w:pos="-951"/>
                <w:tab w:val="left" w:pos="4267"/>
                <w:tab w:val="left" w:pos="7925"/>
              </w:tabs>
              <w:kinsoku/>
              <w:wordWrap/>
              <w:overflowPunct/>
              <w:topLinePunct w:val="0"/>
              <w:autoSpaceDE/>
              <w:autoSpaceDN/>
              <w:bidi w:val="0"/>
              <w:adjustRightInd w:val="0"/>
              <w:snapToGrid w:val="0"/>
              <w:spacing w:line="240" w:lineRule="auto"/>
              <w:ind w:right="-6" w:rightChars="0"/>
              <w:jc w:val="center"/>
              <w:textAlignment w:val="auto"/>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项目负责人</w:t>
            </w:r>
          </w:p>
        </w:tc>
        <w:tc>
          <w:tcPr>
            <w:tcW w:w="800" w:type="pct"/>
            <w:noWrap w:val="0"/>
            <w:vAlign w:val="center"/>
          </w:tcPr>
          <w:p w14:paraId="0C5D1957">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val="en-US" w:eastAsia="zh-CN"/>
              </w:rPr>
              <w:t>姓名</w:t>
            </w:r>
          </w:p>
        </w:tc>
        <w:tc>
          <w:tcPr>
            <w:tcW w:w="3841" w:type="pct"/>
            <w:gridSpan w:val="8"/>
            <w:noWrap w:val="0"/>
            <w:vAlign w:val="bottom"/>
          </w:tcPr>
          <w:p w14:paraId="5218C237">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1724042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4" w:hRule="atLeast"/>
          <w:jc w:val="center"/>
        </w:trPr>
        <w:tc>
          <w:tcPr>
            <w:tcW w:w="357" w:type="pct"/>
            <w:gridSpan w:val="2"/>
            <w:vMerge w:val="continue"/>
            <w:noWrap w:val="0"/>
            <w:vAlign w:val="center"/>
          </w:tcPr>
          <w:p w14:paraId="793A1F19">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p>
        </w:tc>
        <w:tc>
          <w:tcPr>
            <w:tcW w:w="800" w:type="pct"/>
            <w:noWrap w:val="0"/>
            <w:vAlign w:val="center"/>
          </w:tcPr>
          <w:p w14:paraId="799929B3">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学历</w:t>
            </w:r>
          </w:p>
        </w:tc>
        <w:tc>
          <w:tcPr>
            <w:tcW w:w="3841" w:type="pct"/>
            <w:gridSpan w:val="8"/>
            <w:noWrap w:val="0"/>
            <w:vAlign w:val="bottom"/>
          </w:tcPr>
          <w:p w14:paraId="75B5F380">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6A1606F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4" w:hRule="atLeast"/>
          <w:jc w:val="center"/>
        </w:trPr>
        <w:tc>
          <w:tcPr>
            <w:tcW w:w="357" w:type="pct"/>
            <w:gridSpan w:val="2"/>
            <w:vMerge w:val="continue"/>
            <w:noWrap w:val="0"/>
            <w:vAlign w:val="center"/>
          </w:tcPr>
          <w:p w14:paraId="4727E04A">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p>
        </w:tc>
        <w:tc>
          <w:tcPr>
            <w:tcW w:w="800" w:type="pct"/>
            <w:noWrap w:val="0"/>
            <w:vAlign w:val="center"/>
          </w:tcPr>
          <w:p w14:paraId="4DE71AA0">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注册资格</w:t>
            </w:r>
            <w:r>
              <w:rPr>
                <w:rFonts w:hint="eastAsia" w:ascii="宋体" w:hAnsi="宋体"/>
                <w:bCs/>
                <w:color w:val="auto"/>
                <w:sz w:val="21"/>
                <w:szCs w:val="21"/>
                <w:highlight w:val="none"/>
                <w:lang w:val="en-US" w:eastAsia="zh-CN"/>
              </w:rPr>
              <w:t>/职称</w:t>
            </w:r>
          </w:p>
        </w:tc>
        <w:tc>
          <w:tcPr>
            <w:tcW w:w="3841" w:type="pct"/>
            <w:gridSpan w:val="8"/>
            <w:noWrap w:val="0"/>
            <w:vAlign w:val="bottom"/>
          </w:tcPr>
          <w:p w14:paraId="36F01EB6">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1D31C2A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84" w:hRule="atLeast"/>
          <w:jc w:val="center"/>
        </w:trPr>
        <w:tc>
          <w:tcPr>
            <w:tcW w:w="357" w:type="pct"/>
            <w:gridSpan w:val="2"/>
            <w:vMerge w:val="continue"/>
            <w:noWrap w:val="0"/>
            <w:vAlign w:val="center"/>
          </w:tcPr>
          <w:p w14:paraId="3F934265">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p>
        </w:tc>
        <w:tc>
          <w:tcPr>
            <w:tcW w:w="800" w:type="pct"/>
            <w:noWrap w:val="0"/>
            <w:vAlign w:val="center"/>
          </w:tcPr>
          <w:p w14:paraId="30184340">
            <w:pPr>
              <w:tabs>
                <w:tab w:val="left" w:pos="-951"/>
                <w:tab w:val="left" w:pos="4267"/>
                <w:tab w:val="left" w:pos="7925"/>
              </w:tabs>
              <w:adjustRightInd w:val="0"/>
              <w:snapToGrid w:val="0"/>
              <w:spacing w:line="360" w:lineRule="auto"/>
              <w:ind w:right="-6" w:rightChars="0"/>
              <w:jc w:val="center"/>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工作年限</w:t>
            </w:r>
          </w:p>
        </w:tc>
        <w:tc>
          <w:tcPr>
            <w:tcW w:w="3841" w:type="pct"/>
            <w:gridSpan w:val="8"/>
            <w:noWrap w:val="0"/>
            <w:vAlign w:val="bottom"/>
          </w:tcPr>
          <w:p w14:paraId="3838C454">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p>
        </w:tc>
      </w:tr>
      <w:tr w14:paraId="5B4F187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0" w:type="pct"/>
            <w:gridSpan w:val="11"/>
            <w:noWrap w:val="0"/>
            <w:vAlign w:val="center"/>
          </w:tcPr>
          <w:p w14:paraId="0361D568">
            <w:pPr>
              <w:tabs>
                <w:tab w:val="left" w:pos="-951"/>
                <w:tab w:val="left" w:pos="4267"/>
                <w:tab w:val="left" w:pos="7925"/>
              </w:tabs>
              <w:adjustRightInd w:val="0"/>
              <w:snapToGrid w:val="0"/>
              <w:spacing w:line="360" w:lineRule="auto"/>
              <w:ind w:right="-6"/>
              <w:jc w:val="both"/>
              <w:rPr>
                <w:rFonts w:hint="eastAsia" w:ascii="宋体" w:hAnsi="宋体"/>
                <w:bCs/>
                <w:color w:val="auto"/>
                <w:sz w:val="21"/>
                <w:szCs w:val="21"/>
                <w:highlight w:val="none"/>
              </w:rPr>
            </w:pPr>
            <w:r>
              <w:rPr>
                <w:rFonts w:hint="eastAsia" w:hAnsi="宋体" w:cs="宋体"/>
                <w:b/>
                <w:bCs/>
                <w:color w:val="auto"/>
                <w:szCs w:val="21"/>
                <w:lang w:val="en-US" w:eastAsia="zh-CN"/>
              </w:rPr>
              <w:t>近三年（2023年10月1日至投标截止之日）</w:t>
            </w:r>
            <w:r>
              <w:rPr>
                <w:rFonts w:hAnsi="宋体" w:cs="宋体"/>
                <w:b/>
                <w:bCs/>
                <w:color w:val="auto"/>
                <w:szCs w:val="21"/>
              </w:rPr>
              <w:t>承建的</w:t>
            </w:r>
            <w:r>
              <w:rPr>
                <w:rFonts w:hint="eastAsia" w:hAnsi="宋体" w:cs="宋体"/>
                <w:b/>
                <w:bCs/>
                <w:color w:val="auto"/>
                <w:szCs w:val="21"/>
                <w:lang w:val="en-US" w:eastAsia="zh-CN"/>
              </w:rPr>
              <w:t>房屋建筑施工</w:t>
            </w:r>
            <w:r>
              <w:rPr>
                <w:rFonts w:hAnsi="宋体" w:cs="宋体"/>
                <w:b/>
                <w:bCs/>
                <w:color w:val="auto"/>
                <w:szCs w:val="21"/>
              </w:rPr>
              <w:t>业绩</w:t>
            </w:r>
            <w:r>
              <w:rPr>
                <w:rFonts w:hint="eastAsia" w:ascii="宋体" w:hAnsi="宋体"/>
                <w:b/>
                <w:bCs/>
                <w:color w:val="auto"/>
                <w:szCs w:val="21"/>
              </w:rPr>
              <w:t>，合计</w:t>
            </w:r>
            <w:r>
              <w:rPr>
                <w:rFonts w:hint="eastAsia" w:ascii="宋体" w:hAnsi="宋体"/>
                <w:b/>
                <w:bCs/>
                <w:color w:val="auto"/>
                <w:szCs w:val="21"/>
                <w:u w:val="single"/>
              </w:rPr>
              <w:t xml:space="preserve">     </w:t>
            </w:r>
            <w:r>
              <w:rPr>
                <w:rFonts w:hint="eastAsia" w:ascii="宋体" w:hAnsi="宋体"/>
                <w:b/>
                <w:bCs/>
                <w:color w:val="auto"/>
                <w:szCs w:val="21"/>
              </w:rPr>
              <w:t>项。</w:t>
            </w:r>
          </w:p>
        </w:tc>
      </w:tr>
      <w:tr w14:paraId="14426D6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473F7044">
            <w:pPr>
              <w:pStyle w:val="77"/>
              <w:ind w:left="34" w:leftChars="0"/>
              <w:jc w:val="center"/>
              <w:rPr>
                <w:rFonts w:hint="eastAsia" w:ascii="宋体" w:hAnsi="宋体" w:eastAsia="宋体" w:cs="宋体"/>
                <w:b/>
                <w:bCs/>
                <w:color w:val="auto"/>
                <w:szCs w:val="21"/>
                <w:highlight w:val="none"/>
                <w:lang w:val="en-US" w:eastAsia="zh-CN"/>
              </w:rPr>
            </w:pPr>
            <w:r>
              <w:rPr>
                <w:rFonts w:hint="eastAsia" w:ascii="宋体" w:hAnsi="宋体"/>
                <w:b/>
                <w:bCs w:val="0"/>
                <w:color w:val="auto"/>
                <w:szCs w:val="21"/>
              </w:rPr>
              <w:t>序号</w:t>
            </w:r>
          </w:p>
        </w:tc>
        <w:tc>
          <w:tcPr>
            <w:tcW w:w="1014" w:type="pct"/>
            <w:gridSpan w:val="3"/>
            <w:noWrap w:val="0"/>
            <w:vAlign w:val="center"/>
          </w:tcPr>
          <w:p w14:paraId="550FF231">
            <w:pPr>
              <w:pStyle w:val="77"/>
              <w:ind w:left="34" w:leftChars="0"/>
              <w:jc w:val="center"/>
              <w:rPr>
                <w:rFonts w:hint="eastAsia" w:ascii="宋体" w:hAnsi="宋体" w:eastAsia="宋体" w:cs="宋体"/>
                <w:b/>
                <w:bCs/>
                <w:color w:val="auto"/>
                <w:szCs w:val="21"/>
                <w:highlight w:val="none"/>
                <w:lang w:val="en-US" w:eastAsia="zh-CN"/>
              </w:rPr>
            </w:pPr>
            <w:r>
              <w:rPr>
                <w:rFonts w:hint="eastAsia" w:ascii="宋体" w:hAnsi="宋体"/>
                <w:b/>
                <w:bCs w:val="0"/>
                <w:color w:val="auto"/>
                <w:szCs w:val="21"/>
              </w:rPr>
              <w:t>工程项目名称</w:t>
            </w:r>
          </w:p>
        </w:tc>
        <w:tc>
          <w:tcPr>
            <w:tcW w:w="688" w:type="pct"/>
            <w:noWrap w:val="0"/>
            <w:vAlign w:val="center"/>
          </w:tcPr>
          <w:p w14:paraId="5CA5F44E">
            <w:pPr>
              <w:pStyle w:val="77"/>
              <w:ind w:left="34" w:leftChars="0"/>
              <w:jc w:val="center"/>
              <w:rPr>
                <w:rFonts w:hint="eastAsia" w:ascii="宋体" w:hAnsi="宋体" w:eastAsia="宋体" w:cs="宋体"/>
                <w:b/>
                <w:bCs/>
                <w:color w:val="auto"/>
                <w:szCs w:val="21"/>
                <w:highlight w:val="none"/>
                <w:lang w:val="en-US" w:eastAsia="zh-CN"/>
              </w:rPr>
            </w:pPr>
            <w:r>
              <w:rPr>
                <w:rFonts w:hint="eastAsia" w:ascii="宋体" w:hAnsi="宋体" w:cs="宋体"/>
                <w:b/>
                <w:bCs w:val="0"/>
                <w:color w:val="auto"/>
                <w:szCs w:val="21"/>
              </w:rPr>
              <w:t>项目规模</w:t>
            </w:r>
          </w:p>
        </w:tc>
        <w:tc>
          <w:tcPr>
            <w:tcW w:w="688" w:type="pct"/>
            <w:noWrap w:val="0"/>
            <w:vAlign w:val="center"/>
          </w:tcPr>
          <w:p w14:paraId="564502F5">
            <w:pPr>
              <w:pStyle w:val="77"/>
              <w:ind w:left="34" w:leftChars="0"/>
              <w:jc w:val="center"/>
              <w:rPr>
                <w:rFonts w:hint="eastAsia" w:ascii="宋体" w:hAnsi="宋体" w:eastAsia="宋体" w:cs="宋体"/>
                <w:b/>
                <w:bCs/>
                <w:color w:val="auto"/>
                <w:szCs w:val="21"/>
                <w:highlight w:val="none"/>
                <w:lang w:val="en-US" w:eastAsia="zh-CN"/>
              </w:rPr>
            </w:pPr>
            <w:r>
              <w:rPr>
                <w:rFonts w:hint="eastAsia" w:ascii="宋体" w:hAnsi="宋体"/>
                <w:b/>
                <w:bCs w:val="0"/>
                <w:color w:val="auto"/>
                <w:szCs w:val="21"/>
              </w:rPr>
              <w:t>合同金额（万元）</w:t>
            </w:r>
          </w:p>
        </w:tc>
        <w:tc>
          <w:tcPr>
            <w:tcW w:w="989" w:type="pct"/>
            <w:gridSpan w:val="2"/>
            <w:noWrap w:val="0"/>
            <w:vAlign w:val="center"/>
          </w:tcPr>
          <w:p w14:paraId="0F35CDE6">
            <w:pPr>
              <w:pStyle w:val="77"/>
              <w:ind w:left="34" w:leftChars="0"/>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竣工验收合格证明材料的签发日期</w:t>
            </w:r>
          </w:p>
        </w:tc>
        <w:tc>
          <w:tcPr>
            <w:tcW w:w="687" w:type="pct"/>
            <w:gridSpan w:val="2"/>
            <w:noWrap w:val="0"/>
            <w:vAlign w:val="center"/>
          </w:tcPr>
          <w:p w14:paraId="79FA68B5">
            <w:pPr>
              <w:pStyle w:val="77"/>
              <w:ind w:left="34" w:leftChars="0"/>
              <w:jc w:val="center"/>
              <w:rPr>
                <w:rFonts w:hint="eastAsia"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建设单位</w:t>
            </w:r>
          </w:p>
        </w:tc>
        <w:tc>
          <w:tcPr>
            <w:tcW w:w="592" w:type="pct"/>
            <w:noWrap w:val="0"/>
            <w:vAlign w:val="center"/>
          </w:tcPr>
          <w:p w14:paraId="10B37ECE">
            <w:pPr>
              <w:pStyle w:val="77"/>
              <w:ind w:left="34" w:leftChars="0"/>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备注</w:t>
            </w:r>
          </w:p>
        </w:tc>
      </w:tr>
      <w:tr w14:paraId="59CAB50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54212899">
            <w:pPr>
              <w:tabs>
                <w:tab w:val="left" w:pos="-951"/>
                <w:tab w:val="left" w:pos="4267"/>
                <w:tab w:val="left" w:pos="7925"/>
              </w:tabs>
              <w:adjustRightInd w:val="0"/>
              <w:snapToGrid w:val="0"/>
              <w:spacing w:line="360" w:lineRule="auto"/>
              <w:ind w:right="-6" w:rightChars="0"/>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1014" w:type="pct"/>
            <w:gridSpan w:val="3"/>
            <w:noWrap w:val="0"/>
            <w:vAlign w:val="center"/>
          </w:tcPr>
          <w:p w14:paraId="0512061C">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lang w:val="en-US" w:eastAsia="zh-CN"/>
              </w:rPr>
            </w:pPr>
          </w:p>
        </w:tc>
        <w:tc>
          <w:tcPr>
            <w:tcW w:w="688" w:type="pct"/>
            <w:noWrap w:val="0"/>
            <w:vAlign w:val="center"/>
          </w:tcPr>
          <w:p w14:paraId="2FF15565">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lang w:val="en-US" w:eastAsia="zh-CN"/>
              </w:rPr>
            </w:pPr>
          </w:p>
        </w:tc>
        <w:tc>
          <w:tcPr>
            <w:tcW w:w="688" w:type="pct"/>
            <w:noWrap w:val="0"/>
            <w:vAlign w:val="center"/>
          </w:tcPr>
          <w:p w14:paraId="641A60BC">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rPr>
            </w:pPr>
          </w:p>
        </w:tc>
        <w:tc>
          <w:tcPr>
            <w:tcW w:w="989" w:type="pct"/>
            <w:gridSpan w:val="2"/>
            <w:noWrap w:val="0"/>
            <w:vAlign w:val="center"/>
          </w:tcPr>
          <w:p w14:paraId="49A96759">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rPr>
            </w:pPr>
          </w:p>
        </w:tc>
        <w:tc>
          <w:tcPr>
            <w:tcW w:w="687" w:type="pct"/>
            <w:gridSpan w:val="2"/>
            <w:noWrap w:val="0"/>
            <w:vAlign w:val="center"/>
          </w:tcPr>
          <w:p w14:paraId="3D22630A">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rPr>
            </w:pPr>
          </w:p>
        </w:tc>
        <w:tc>
          <w:tcPr>
            <w:tcW w:w="592" w:type="pct"/>
            <w:noWrap w:val="0"/>
            <w:vAlign w:val="center"/>
          </w:tcPr>
          <w:p w14:paraId="173387E3">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lang w:val="en-US" w:eastAsia="zh-CN"/>
              </w:rPr>
            </w:pPr>
          </w:p>
        </w:tc>
      </w:tr>
      <w:tr w14:paraId="7B929E3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54A16279">
            <w:pPr>
              <w:tabs>
                <w:tab w:val="left" w:pos="-951"/>
                <w:tab w:val="left" w:pos="4267"/>
                <w:tab w:val="left" w:pos="7925"/>
              </w:tabs>
              <w:adjustRightInd w:val="0"/>
              <w:snapToGrid w:val="0"/>
              <w:spacing w:line="360" w:lineRule="auto"/>
              <w:ind w:right="-6" w:rightChars="0"/>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w:t>
            </w:r>
          </w:p>
        </w:tc>
        <w:tc>
          <w:tcPr>
            <w:tcW w:w="1014" w:type="pct"/>
            <w:gridSpan w:val="3"/>
            <w:noWrap w:val="0"/>
            <w:vAlign w:val="center"/>
          </w:tcPr>
          <w:p w14:paraId="28C682A8">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lang w:val="en-US" w:eastAsia="zh-CN"/>
              </w:rPr>
            </w:pPr>
          </w:p>
        </w:tc>
        <w:tc>
          <w:tcPr>
            <w:tcW w:w="688" w:type="pct"/>
            <w:noWrap w:val="0"/>
            <w:vAlign w:val="center"/>
          </w:tcPr>
          <w:p w14:paraId="0A624172">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lang w:val="en-US" w:eastAsia="zh-CN"/>
              </w:rPr>
            </w:pPr>
          </w:p>
        </w:tc>
        <w:tc>
          <w:tcPr>
            <w:tcW w:w="688" w:type="pct"/>
            <w:noWrap w:val="0"/>
            <w:vAlign w:val="center"/>
          </w:tcPr>
          <w:p w14:paraId="3445BEBA">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rPr>
            </w:pPr>
          </w:p>
        </w:tc>
        <w:tc>
          <w:tcPr>
            <w:tcW w:w="989" w:type="pct"/>
            <w:gridSpan w:val="2"/>
            <w:noWrap w:val="0"/>
            <w:vAlign w:val="center"/>
          </w:tcPr>
          <w:p w14:paraId="6682B641">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rPr>
            </w:pPr>
          </w:p>
        </w:tc>
        <w:tc>
          <w:tcPr>
            <w:tcW w:w="687" w:type="pct"/>
            <w:gridSpan w:val="2"/>
            <w:noWrap w:val="0"/>
            <w:vAlign w:val="center"/>
          </w:tcPr>
          <w:p w14:paraId="121B29D1">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rPr>
            </w:pPr>
          </w:p>
        </w:tc>
        <w:tc>
          <w:tcPr>
            <w:tcW w:w="592" w:type="pct"/>
            <w:noWrap w:val="0"/>
            <w:vAlign w:val="center"/>
          </w:tcPr>
          <w:p w14:paraId="486C5A0F">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lang w:val="en-US" w:eastAsia="zh-CN"/>
              </w:rPr>
            </w:pPr>
          </w:p>
        </w:tc>
      </w:tr>
      <w:tr w14:paraId="24F5AE2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50ED24E6">
            <w:pPr>
              <w:tabs>
                <w:tab w:val="left" w:pos="-951"/>
                <w:tab w:val="left" w:pos="4267"/>
                <w:tab w:val="left" w:pos="7925"/>
              </w:tabs>
              <w:adjustRightInd w:val="0"/>
              <w:snapToGrid w:val="0"/>
              <w:spacing w:line="360" w:lineRule="auto"/>
              <w:ind w:right="-6" w:rightChars="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1014" w:type="pct"/>
            <w:gridSpan w:val="3"/>
            <w:noWrap w:val="0"/>
            <w:vAlign w:val="center"/>
          </w:tcPr>
          <w:p w14:paraId="3F1ED72A">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lang w:val="en-US" w:eastAsia="zh-CN"/>
              </w:rPr>
            </w:pPr>
          </w:p>
        </w:tc>
        <w:tc>
          <w:tcPr>
            <w:tcW w:w="688" w:type="pct"/>
            <w:noWrap w:val="0"/>
            <w:vAlign w:val="center"/>
          </w:tcPr>
          <w:p w14:paraId="0750373E">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lang w:val="en-US" w:eastAsia="zh-CN"/>
              </w:rPr>
            </w:pPr>
          </w:p>
        </w:tc>
        <w:tc>
          <w:tcPr>
            <w:tcW w:w="688" w:type="pct"/>
            <w:noWrap w:val="0"/>
            <w:vAlign w:val="center"/>
          </w:tcPr>
          <w:p w14:paraId="642F29A0">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rPr>
            </w:pPr>
          </w:p>
        </w:tc>
        <w:tc>
          <w:tcPr>
            <w:tcW w:w="989" w:type="pct"/>
            <w:gridSpan w:val="2"/>
            <w:noWrap w:val="0"/>
            <w:vAlign w:val="center"/>
          </w:tcPr>
          <w:p w14:paraId="74F54FBD">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rPr>
            </w:pPr>
          </w:p>
        </w:tc>
        <w:tc>
          <w:tcPr>
            <w:tcW w:w="687" w:type="pct"/>
            <w:gridSpan w:val="2"/>
            <w:noWrap w:val="0"/>
            <w:vAlign w:val="center"/>
          </w:tcPr>
          <w:p w14:paraId="24F26933">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rPr>
            </w:pPr>
          </w:p>
        </w:tc>
        <w:tc>
          <w:tcPr>
            <w:tcW w:w="592" w:type="pct"/>
            <w:noWrap w:val="0"/>
            <w:vAlign w:val="center"/>
          </w:tcPr>
          <w:p w14:paraId="689DE99E">
            <w:pPr>
              <w:tabs>
                <w:tab w:val="left" w:pos="-951"/>
                <w:tab w:val="left" w:pos="4267"/>
                <w:tab w:val="left" w:pos="7925"/>
              </w:tabs>
              <w:adjustRightInd w:val="0"/>
              <w:snapToGrid w:val="0"/>
              <w:spacing w:line="360" w:lineRule="auto"/>
              <w:ind w:right="-6" w:rightChars="0"/>
              <w:jc w:val="both"/>
              <w:rPr>
                <w:rFonts w:hint="eastAsia" w:ascii="宋体" w:hAnsi="宋体" w:eastAsia="宋体" w:cs="宋体"/>
                <w:color w:val="auto"/>
                <w:szCs w:val="21"/>
                <w:highlight w:val="none"/>
                <w:lang w:val="en-US" w:eastAsia="zh-CN"/>
              </w:rPr>
            </w:pPr>
          </w:p>
        </w:tc>
      </w:tr>
      <w:tr w14:paraId="3C08384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0" w:type="pct"/>
            <w:gridSpan w:val="11"/>
            <w:noWrap w:val="0"/>
            <w:vAlign w:val="center"/>
          </w:tcPr>
          <w:p w14:paraId="07AAB6E8">
            <w:pPr>
              <w:tabs>
                <w:tab w:val="left" w:pos="-951"/>
                <w:tab w:val="left" w:pos="4267"/>
                <w:tab w:val="left" w:pos="7925"/>
              </w:tabs>
              <w:adjustRightInd w:val="0"/>
              <w:snapToGrid w:val="0"/>
              <w:spacing w:line="360" w:lineRule="auto"/>
              <w:ind w:right="-6"/>
              <w:jc w:val="both"/>
              <w:rPr>
                <w:rFonts w:hint="default" w:ascii="宋体" w:hAnsi="宋体" w:eastAsia="宋体" w:cs="宋体"/>
                <w:color w:val="auto"/>
                <w:szCs w:val="21"/>
                <w:highlight w:val="none"/>
                <w:lang w:val="en-US" w:eastAsia="zh-CN"/>
              </w:rPr>
            </w:pPr>
            <w:r>
              <w:rPr>
                <w:rFonts w:hint="eastAsia" w:hAnsi="宋体" w:cs="宋体"/>
                <w:b/>
                <w:bCs/>
                <w:color w:val="auto"/>
                <w:szCs w:val="21"/>
                <w:lang w:val="en-US" w:eastAsia="zh-CN"/>
              </w:rPr>
              <w:t>近三年（2023年10月1日至投标截止之日）</w:t>
            </w:r>
            <w:r>
              <w:rPr>
                <w:rFonts w:hAnsi="宋体" w:cs="宋体"/>
                <w:b/>
                <w:bCs/>
                <w:color w:val="auto"/>
                <w:szCs w:val="21"/>
              </w:rPr>
              <w:t>承建的</w:t>
            </w:r>
            <w:r>
              <w:rPr>
                <w:rFonts w:hint="eastAsia" w:hAnsi="宋体" w:cs="宋体"/>
                <w:b/>
                <w:bCs/>
                <w:color w:val="auto"/>
                <w:szCs w:val="21"/>
              </w:rPr>
              <w:t>房屋建筑施工项目</w:t>
            </w:r>
            <w:r>
              <w:rPr>
                <w:rFonts w:hAnsi="宋体" w:cs="宋体"/>
                <w:b/>
                <w:bCs/>
                <w:color w:val="auto"/>
                <w:szCs w:val="21"/>
              </w:rPr>
              <w:t>的</w:t>
            </w:r>
            <w:r>
              <w:rPr>
                <w:rFonts w:hint="eastAsia" w:hAnsi="宋体" w:cs="宋体"/>
                <w:b/>
                <w:bCs/>
                <w:color w:val="auto"/>
                <w:szCs w:val="21"/>
              </w:rPr>
              <w:t>奖项</w:t>
            </w:r>
            <w:r>
              <w:rPr>
                <w:rFonts w:hint="eastAsia" w:ascii="宋体" w:hAnsi="宋体"/>
                <w:b/>
                <w:bCs/>
                <w:color w:val="auto"/>
                <w:szCs w:val="21"/>
              </w:rPr>
              <w:t>，合计</w:t>
            </w:r>
            <w:r>
              <w:rPr>
                <w:rFonts w:hint="eastAsia" w:ascii="宋体" w:hAnsi="宋体"/>
                <w:b/>
                <w:bCs/>
                <w:color w:val="auto"/>
                <w:szCs w:val="21"/>
                <w:u w:val="single"/>
              </w:rPr>
              <w:t xml:space="preserve">     </w:t>
            </w:r>
            <w:r>
              <w:rPr>
                <w:rFonts w:hint="eastAsia" w:ascii="宋体" w:hAnsi="宋体"/>
                <w:b/>
                <w:bCs/>
                <w:color w:val="auto"/>
                <w:szCs w:val="21"/>
              </w:rPr>
              <w:t>项</w:t>
            </w:r>
          </w:p>
        </w:tc>
      </w:tr>
      <w:tr w14:paraId="53674F0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6CFA8B6F">
            <w:pPr>
              <w:pStyle w:val="77"/>
              <w:ind w:left="34" w:leftChars="0"/>
              <w:jc w:val="center"/>
              <w:rPr>
                <w:rFonts w:hint="eastAsia" w:ascii="宋体" w:hAnsi="宋体" w:eastAsia="宋体" w:cs="宋体"/>
                <w:b/>
                <w:bCs/>
                <w:color w:val="auto"/>
                <w:szCs w:val="21"/>
                <w:highlight w:val="none"/>
                <w:lang w:val="en-US" w:eastAsia="zh-CN"/>
              </w:rPr>
            </w:pPr>
            <w:r>
              <w:rPr>
                <w:rFonts w:hint="eastAsia" w:ascii="宋体" w:hAnsi="宋体"/>
                <w:b/>
                <w:bCs w:val="0"/>
                <w:color w:val="auto"/>
                <w:szCs w:val="21"/>
              </w:rPr>
              <w:t>序号</w:t>
            </w:r>
          </w:p>
        </w:tc>
        <w:tc>
          <w:tcPr>
            <w:tcW w:w="1014" w:type="pct"/>
            <w:gridSpan w:val="3"/>
            <w:noWrap w:val="0"/>
            <w:vAlign w:val="center"/>
          </w:tcPr>
          <w:p w14:paraId="56020C37">
            <w:pPr>
              <w:pStyle w:val="77"/>
              <w:ind w:left="34" w:leftChars="0"/>
              <w:jc w:val="center"/>
              <w:rPr>
                <w:rFonts w:hint="eastAsia" w:ascii="宋体" w:hAnsi="宋体" w:eastAsia="宋体" w:cs="宋体"/>
                <w:b/>
                <w:bCs/>
                <w:color w:val="auto"/>
                <w:szCs w:val="21"/>
                <w:highlight w:val="none"/>
                <w:lang w:val="en-US" w:eastAsia="zh-CN"/>
              </w:rPr>
            </w:pPr>
            <w:r>
              <w:rPr>
                <w:rFonts w:hint="eastAsia" w:ascii="宋体" w:hAnsi="宋体"/>
                <w:b/>
                <w:bCs w:val="0"/>
                <w:color w:val="auto"/>
                <w:szCs w:val="21"/>
              </w:rPr>
              <w:t>奖项级别</w:t>
            </w:r>
          </w:p>
        </w:tc>
        <w:tc>
          <w:tcPr>
            <w:tcW w:w="688" w:type="pct"/>
            <w:noWrap w:val="0"/>
            <w:vAlign w:val="center"/>
          </w:tcPr>
          <w:p w14:paraId="1CEADB28">
            <w:pPr>
              <w:pStyle w:val="77"/>
              <w:ind w:left="34" w:leftChars="0"/>
              <w:jc w:val="center"/>
              <w:rPr>
                <w:rFonts w:hint="eastAsia" w:ascii="宋体" w:hAnsi="宋体" w:eastAsia="宋体" w:cs="宋体"/>
                <w:b/>
                <w:bCs/>
                <w:color w:val="auto"/>
                <w:szCs w:val="21"/>
                <w:highlight w:val="none"/>
                <w:lang w:val="en-US" w:eastAsia="zh-CN"/>
              </w:rPr>
            </w:pPr>
            <w:r>
              <w:rPr>
                <w:rFonts w:hint="eastAsia" w:ascii="宋体" w:hAnsi="宋体"/>
                <w:b/>
                <w:bCs w:val="0"/>
                <w:color w:val="auto"/>
                <w:szCs w:val="21"/>
              </w:rPr>
              <w:t>奖项名称</w:t>
            </w:r>
          </w:p>
        </w:tc>
        <w:tc>
          <w:tcPr>
            <w:tcW w:w="688" w:type="pct"/>
            <w:noWrap w:val="0"/>
            <w:vAlign w:val="center"/>
          </w:tcPr>
          <w:p w14:paraId="5113F812">
            <w:pPr>
              <w:pStyle w:val="77"/>
              <w:ind w:left="34" w:leftChars="0"/>
              <w:jc w:val="center"/>
              <w:rPr>
                <w:rFonts w:hint="eastAsia" w:ascii="宋体" w:hAnsi="宋体" w:eastAsia="宋体" w:cs="宋体"/>
                <w:b/>
                <w:bCs/>
                <w:color w:val="auto"/>
                <w:szCs w:val="21"/>
                <w:highlight w:val="none"/>
              </w:rPr>
            </w:pPr>
            <w:r>
              <w:rPr>
                <w:rFonts w:hint="eastAsia" w:ascii="宋体" w:hAnsi="宋体"/>
                <w:b/>
                <w:bCs w:val="0"/>
                <w:color w:val="auto"/>
                <w:szCs w:val="21"/>
              </w:rPr>
              <w:t>获奖项目名称</w:t>
            </w:r>
          </w:p>
        </w:tc>
        <w:tc>
          <w:tcPr>
            <w:tcW w:w="989" w:type="pct"/>
            <w:gridSpan w:val="2"/>
            <w:noWrap w:val="0"/>
            <w:vAlign w:val="center"/>
          </w:tcPr>
          <w:p w14:paraId="42E34CB7">
            <w:pPr>
              <w:pStyle w:val="77"/>
              <w:ind w:left="34" w:leftChars="0"/>
              <w:jc w:val="center"/>
              <w:rPr>
                <w:rFonts w:hint="eastAsia" w:ascii="宋体" w:hAnsi="宋体" w:eastAsia="宋体" w:cs="宋体"/>
                <w:b/>
                <w:bCs/>
                <w:color w:val="auto"/>
                <w:szCs w:val="21"/>
                <w:highlight w:val="none"/>
              </w:rPr>
            </w:pPr>
            <w:r>
              <w:rPr>
                <w:rFonts w:hint="eastAsia" w:ascii="宋体" w:hAnsi="宋体"/>
                <w:b/>
                <w:bCs w:val="0"/>
                <w:color w:val="auto"/>
                <w:szCs w:val="21"/>
              </w:rPr>
              <w:t>授奖机构</w:t>
            </w:r>
          </w:p>
        </w:tc>
        <w:tc>
          <w:tcPr>
            <w:tcW w:w="687" w:type="pct"/>
            <w:gridSpan w:val="2"/>
            <w:noWrap w:val="0"/>
            <w:vAlign w:val="center"/>
          </w:tcPr>
          <w:p w14:paraId="276AF499">
            <w:pPr>
              <w:pStyle w:val="77"/>
              <w:ind w:left="34" w:leftChars="0"/>
              <w:jc w:val="center"/>
              <w:rPr>
                <w:rFonts w:hint="eastAsia" w:ascii="宋体" w:hAnsi="宋体" w:eastAsia="宋体" w:cs="宋体"/>
                <w:b/>
                <w:bCs/>
                <w:color w:val="auto"/>
                <w:szCs w:val="21"/>
                <w:highlight w:val="none"/>
              </w:rPr>
            </w:pPr>
            <w:r>
              <w:rPr>
                <w:rFonts w:hint="eastAsia" w:ascii="宋体" w:hAnsi="宋体"/>
                <w:b/>
                <w:bCs w:val="0"/>
                <w:color w:val="auto"/>
                <w:szCs w:val="21"/>
              </w:rPr>
              <w:t>获奖时间</w:t>
            </w:r>
          </w:p>
        </w:tc>
        <w:tc>
          <w:tcPr>
            <w:tcW w:w="592" w:type="pct"/>
            <w:noWrap w:val="0"/>
            <w:vAlign w:val="center"/>
          </w:tcPr>
          <w:p w14:paraId="23A82F72">
            <w:pPr>
              <w:pStyle w:val="77"/>
              <w:ind w:left="34" w:leftChars="0"/>
              <w:jc w:val="center"/>
              <w:rPr>
                <w:rFonts w:hint="eastAsia" w:ascii="宋体" w:hAnsi="宋体" w:eastAsia="宋体" w:cs="宋体"/>
                <w:b/>
                <w:bCs/>
                <w:color w:val="auto"/>
                <w:szCs w:val="21"/>
                <w:highlight w:val="none"/>
                <w:lang w:val="en-US" w:eastAsia="zh-CN"/>
              </w:rPr>
            </w:pPr>
            <w:r>
              <w:rPr>
                <w:rFonts w:hint="eastAsia" w:ascii="宋体" w:hAnsi="宋体"/>
                <w:b/>
                <w:bCs w:val="0"/>
                <w:color w:val="auto"/>
                <w:szCs w:val="21"/>
              </w:rPr>
              <w:t>查证网址</w:t>
            </w:r>
          </w:p>
        </w:tc>
      </w:tr>
      <w:tr w14:paraId="7B7719F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080B9338">
            <w:pPr>
              <w:tabs>
                <w:tab w:val="left" w:pos="-951"/>
                <w:tab w:val="left" w:pos="4267"/>
                <w:tab w:val="left" w:pos="7925"/>
              </w:tabs>
              <w:adjustRightInd w:val="0"/>
              <w:snapToGrid w:val="0"/>
              <w:spacing w:line="360" w:lineRule="auto"/>
              <w:ind w:right="-6"/>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1014" w:type="pct"/>
            <w:gridSpan w:val="3"/>
            <w:noWrap w:val="0"/>
            <w:vAlign w:val="center"/>
          </w:tcPr>
          <w:p w14:paraId="165942B9">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370DDC0A">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1E7C688E">
            <w:pPr>
              <w:pStyle w:val="77"/>
              <w:ind w:left="34" w:leftChars="0"/>
              <w:jc w:val="left"/>
              <w:rPr>
                <w:rFonts w:hint="eastAsia" w:ascii="宋体" w:hAnsi="宋体" w:eastAsia="宋体" w:cs="宋体"/>
                <w:b/>
                <w:bCs/>
                <w:color w:val="auto"/>
                <w:szCs w:val="21"/>
                <w:highlight w:val="none"/>
              </w:rPr>
            </w:pPr>
          </w:p>
        </w:tc>
        <w:tc>
          <w:tcPr>
            <w:tcW w:w="989" w:type="pct"/>
            <w:gridSpan w:val="2"/>
            <w:noWrap w:val="0"/>
            <w:vAlign w:val="center"/>
          </w:tcPr>
          <w:p w14:paraId="1B0A5712">
            <w:pPr>
              <w:pStyle w:val="77"/>
              <w:ind w:left="34" w:leftChars="0"/>
              <w:jc w:val="left"/>
              <w:rPr>
                <w:rFonts w:hint="eastAsia" w:ascii="宋体" w:hAnsi="宋体" w:eastAsia="宋体" w:cs="宋体"/>
                <w:b/>
                <w:bCs/>
                <w:color w:val="auto"/>
                <w:szCs w:val="21"/>
                <w:highlight w:val="none"/>
              </w:rPr>
            </w:pPr>
          </w:p>
        </w:tc>
        <w:tc>
          <w:tcPr>
            <w:tcW w:w="687" w:type="pct"/>
            <w:gridSpan w:val="2"/>
            <w:noWrap w:val="0"/>
            <w:vAlign w:val="center"/>
          </w:tcPr>
          <w:p w14:paraId="5EEE4B84">
            <w:pPr>
              <w:pStyle w:val="77"/>
              <w:ind w:left="34" w:leftChars="0"/>
              <w:jc w:val="left"/>
              <w:rPr>
                <w:rFonts w:hint="eastAsia" w:ascii="宋体" w:hAnsi="宋体" w:eastAsia="宋体" w:cs="宋体"/>
                <w:b/>
                <w:bCs/>
                <w:color w:val="auto"/>
                <w:szCs w:val="21"/>
                <w:highlight w:val="none"/>
              </w:rPr>
            </w:pPr>
          </w:p>
        </w:tc>
        <w:tc>
          <w:tcPr>
            <w:tcW w:w="592" w:type="pct"/>
            <w:noWrap w:val="0"/>
            <w:vAlign w:val="center"/>
          </w:tcPr>
          <w:p w14:paraId="60B51AEB">
            <w:pPr>
              <w:pStyle w:val="77"/>
              <w:ind w:left="34" w:leftChars="0"/>
              <w:jc w:val="left"/>
              <w:rPr>
                <w:rFonts w:hint="eastAsia" w:ascii="宋体" w:hAnsi="宋体" w:eastAsia="宋体" w:cs="宋体"/>
                <w:b/>
                <w:bCs/>
                <w:color w:val="auto"/>
                <w:szCs w:val="21"/>
                <w:highlight w:val="none"/>
              </w:rPr>
            </w:pPr>
          </w:p>
        </w:tc>
      </w:tr>
      <w:tr w14:paraId="755F5CE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49CD2B05">
            <w:pPr>
              <w:tabs>
                <w:tab w:val="left" w:pos="-951"/>
                <w:tab w:val="left" w:pos="4267"/>
                <w:tab w:val="left" w:pos="7925"/>
              </w:tabs>
              <w:adjustRightInd w:val="0"/>
              <w:snapToGrid w:val="0"/>
              <w:spacing w:line="360" w:lineRule="auto"/>
              <w:ind w:right="-6"/>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w:t>
            </w:r>
          </w:p>
        </w:tc>
        <w:tc>
          <w:tcPr>
            <w:tcW w:w="1014" w:type="pct"/>
            <w:gridSpan w:val="3"/>
            <w:noWrap w:val="0"/>
            <w:vAlign w:val="center"/>
          </w:tcPr>
          <w:p w14:paraId="05DFAD73">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66282F88">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6838D33D">
            <w:pPr>
              <w:pStyle w:val="77"/>
              <w:ind w:left="34" w:leftChars="0"/>
              <w:jc w:val="left"/>
              <w:rPr>
                <w:rFonts w:hint="eastAsia" w:ascii="宋体" w:hAnsi="宋体" w:eastAsia="宋体" w:cs="宋体"/>
                <w:b/>
                <w:bCs/>
                <w:color w:val="auto"/>
                <w:szCs w:val="21"/>
                <w:highlight w:val="none"/>
              </w:rPr>
            </w:pPr>
          </w:p>
        </w:tc>
        <w:tc>
          <w:tcPr>
            <w:tcW w:w="989" w:type="pct"/>
            <w:gridSpan w:val="2"/>
            <w:noWrap w:val="0"/>
            <w:vAlign w:val="center"/>
          </w:tcPr>
          <w:p w14:paraId="544A5105">
            <w:pPr>
              <w:pStyle w:val="77"/>
              <w:ind w:left="34" w:leftChars="0"/>
              <w:jc w:val="left"/>
              <w:rPr>
                <w:rFonts w:hint="eastAsia" w:ascii="宋体" w:hAnsi="宋体" w:eastAsia="宋体" w:cs="宋体"/>
                <w:b/>
                <w:bCs/>
                <w:color w:val="auto"/>
                <w:szCs w:val="21"/>
                <w:highlight w:val="none"/>
              </w:rPr>
            </w:pPr>
          </w:p>
        </w:tc>
        <w:tc>
          <w:tcPr>
            <w:tcW w:w="687" w:type="pct"/>
            <w:gridSpan w:val="2"/>
            <w:noWrap w:val="0"/>
            <w:vAlign w:val="center"/>
          </w:tcPr>
          <w:p w14:paraId="31A6B862">
            <w:pPr>
              <w:pStyle w:val="77"/>
              <w:ind w:left="34" w:leftChars="0"/>
              <w:jc w:val="left"/>
              <w:rPr>
                <w:rFonts w:hint="eastAsia" w:ascii="宋体" w:hAnsi="宋体" w:eastAsia="宋体" w:cs="宋体"/>
                <w:b/>
                <w:bCs/>
                <w:color w:val="auto"/>
                <w:szCs w:val="21"/>
                <w:highlight w:val="none"/>
              </w:rPr>
            </w:pPr>
          </w:p>
        </w:tc>
        <w:tc>
          <w:tcPr>
            <w:tcW w:w="592" w:type="pct"/>
            <w:noWrap w:val="0"/>
            <w:vAlign w:val="center"/>
          </w:tcPr>
          <w:p w14:paraId="656EA0C9">
            <w:pPr>
              <w:pStyle w:val="77"/>
              <w:ind w:left="34" w:leftChars="0"/>
              <w:jc w:val="left"/>
              <w:rPr>
                <w:rFonts w:hint="eastAsia" w:ascii="宋体" w:hAnsi="宋体" w:eastAsia="宋体" w:cs="宋体"/>
                <w:b/>
                <w:bCs/>
                <w:color w:val="auto"/>
                <w:szCs w:val="21"/>
                <w:highlight w:val="none"/>
              </w:rPr>
            </w:pPr>
          </w:p>
        </w:tc>
      </w:tr>
      <w:tr w14:paraId="6EB9938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600EB740">
            <w:pPr>
              <w:tabs>
                <w:tab w:val="left" w:pos="-951"/>
                <w:tab w:val="left" w:pos="4267"/>
                <w:tab w:val="left" w:pos="7925"/>
              </w:tabs>
              <w:adjustRightInd w:val="0"/>
              <w:snapToGrid w:val="0"/>
              <w:spacing w:line="360" w:lineRule="auto"/>
              <w:ind w:right="-6"/>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1014" w:type="pct"/>
            <w:gridSpan w:val="3"/>
            <w:noWrap w:val="0"/>
            <w:vAlign w:val="center"/>
          </w:tcPr>
          <w:p w14:paraId="3EC24712">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2BE14F4E">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35E2EB66">
            <w:pPr>
              <w:pStyle w:val="77"/>
              <w:ind w:left="34" w:leftChars="0"/>
              <w:jc w:val="left"/>
              <w:rPr>
                <w:rFonts w:hint="eastAsia" w:ascii="宋体" w:hAnsi="宋体" w:eastAsia="宋体" w:cs="宋体"/>
                <w:b/>
                <w:bCs/>
                <w:color w:val="auto"/>
                <w:szCs w:val="21"/>
                <w:highlight w:val="none"/>
              </w:rPr>
            </w:pPr>
          </w:p>
        </w:tc>
        <w:tc>
          <w:tcPr>
            <w:tcW w:w="989" w:type="pct"/>
            <w:gridSpan w:val="2"/>
            <w:noWrap w:val="0"/>
            <w:vAlign w:val="center"/>
          </w:tcPr>
          <w:p w14:paraId="2513EB7E">
            <w:pPr>
              <w:pStyle w:val="77"/>
              <w:ind w:left="34" w:leftChars="0"/>
              <w:jc w:val="left"/>
              <w:rPr>
                <w:rFonts w:hint="eastAsia" w:ascii="宋体" w:hAnsi="宋体" w:eastAsia="宋体" w:cs="宋体"/>
                <w:b/>
                <w:bCs/>
                <w:color w:val="auto"/>
                <w:szCs w:val="21"/>
                <w:highlight w:val="none"/>
              </w:rPr>
            </w:pPr>
          </w:p>
        </w:tc>
        <w:tc>
          <w:tcPr>
            <w:tcW w:w="687" w:type="pct"/>
            <w:gridSpan w:val="2"/>
            <w:noWrap w:val="0"/>
            <w:vAlign w:val="center"/>
          </w:tcPr>
          <w:p w14:paraId="3D3DB560">
            <w:pPr>
              <w:pStyle w:val="77"/>
              <w:ind w:left="34" w:leftChars="0"/>
              <w:jc w:val="left"/>
              <w:rPr>
                <w:rFonts w:hint="eastAsia" w:ascii="宋体" w:hAnsi="宋体" w:eastAsia="宋体" w:cs="宋体"/>
                <w:b/>
                <w:bCs/>
                <w:color w:val="auto"/>
                <w:szCs w:val="21"/>
                <w:highlight w:val="none"/>
              </w:rPr>
            </w:pPr>
          </w:p>
        </w:tc>
        <w:tc>
          <w:tcPr>
            <w:tcW w:w="592" w:type="pct"/>
            <w:noWrap w:val="0"/>
            <w:vAlign w:val="center"/>
          </w:tcPr>
          <w:p w14:paraId="7E6B12C5">
            <w:pPr>
              <w:pStyle w:val="77"/>
              <w:ind w:left="34" w:leftChars="0"/>
              <w:jc w:val="left"/>
              <w:rPr>
                <w:rFonts w:hint="eastAsia" w:ascii="宋体" w:hAnsi="宋体" w:eastAsia="宋体" w:cs="宋体"/>
                <w:b/>
                <w:bCs/>
                <w:color w:val="auto"/>
                <w:szCs w:val="21"/>
                <w:highlight w:val="none"/>
              </w:rPr>
            </w:pPr>
          </w:p>
        </w:tc>
      </w:tr>
      <w:tr w14:paraId="27E7160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0" w:type="pct"/>
            <w:gridSpan w:val="11"/>
            <w:noWrap w:val="0"/>
            <w:vAlign w:val="center"/>
          </w:tcPr>
          <w:p w14:paraId="57F708EE">
            <w:pPr>
              <w:pStyle w:val="77"/>
              <w:ind w:left="34" w:leftChars="0"/>
              <w:jc w:val="left"/>
              <w:rPr>
                <w:rFonts w:hint="eastAsia" w:ascii="宋体" w:hAnsi="宋体" w:eastAsia="宋体" w:cs="宋体"/>
                <w:b/>
                <w:bCs/>
                <w:color w:val="auto"/>
                <w:szCs w:val="21"/>
                <w:highlight w:val="none"/>
              </w:rPr>
            </w:pPr>
            <w:r>
              <w:rPr>
                <w:rFonts w:hint="eastAsia" w:hAnsi="宋体" w:cs="宋体"/>
                <w:b/>
                <w:bCs/>
                <w:color w:val="auto"/>
                <w:szCs w:val="21"/>
                <w:lang w:val="en-US" w:eastAsia="zh-CN"/>
              </w:rPr>
              <w:t>近三年（2023年10月1日至投标截止之日）</w:t>
            </w:r>
            <w:r>
              <w:rPr>
                <w:rFonts w:hAnsi="宋体" w:cs="宋体"/>
                <w:b/>
                <w:bCs/>
                <w:color w:val="auto"/>
                <w:szCs w:val="21"/>
              </w:rPr>
              <w:t>承建的</w:t>
            </w:r>
            <w:r>
              <w:rPr>
                <w:rFonts w:hint="eastAsia" w:hAnsi="宋体" w:cs="宋体"/>
                <w:b/>
                <w:bCs/>
                <w:color w:val="auto"/>
                <w:szCs w:val="21"/>
              </w:rPr>
              <w:t>房屋建筑施工</w:t>
            </w:r>
            <w:r>
              <w:rPr>
                <w:rFonts w:hint="eastAsia" w:ascii="宋体" w:hAnsi="宋体" w:cs="Times New Roman"/>
                <w:b/>
                <w:bCs/>
                <w:color w:val="auto"/>
                <w:szCs w:val="21"/>
                <w:lang w:val="en-US" w:eastAsia="zh-CN"/>
              </w:rPr>
              <w:t>项目业主履约评价</w:t>
            </w:r>
            <w:r>
              <w:rPr>
                <w:rFonts w:hint="eastAsia" w:ascii="宋体" w:hAnsi="宋体"/>
                <w:b/>
                <w:bCs/>
                <w:color w:val="auto"/>
                <w:szCs w:val="21"/>
              </w:rPr>
              <w:t>，合计</w:t>
            </w:r>
            <w:r>
              <w:rPr>
                <w:rFonts w:hint="eastAsia" w:ascii="宋体" w:hAnsi="宋体"/>
                <w:b/>
                <w:bCs/>
                <w:color w:val="auto"/>
                <w:szCs w:val="21"/>
                <w:u w:val="single"/>
              </w:rPr>
              <w:t xml:space="preserve">     </w:t>
            </w:r>
            <w:r>
              <w:rPr>
                <w:rFonts w:hint="eastAsia" w:ascii="宋体" w:hAnsi="宋体"/>
                <w:b/>
                <w:bCs/>
                <w:color w:val="auto"/>
                <w:szCs w:val="21"/>
              </w:rPr>
              <w:t>项。</w:t>
            </w:r>
          </w:p>
        </w:tc>
      </w:tr>
      <w:tr w14:paraId="76296AB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5DC8BEF9">
            <w:pPr>
              <w:pStyle w:val="77"/>
              <w:ind w:left="34" w:leftChars="0"/>
              <w:jc w:val="center"/>
              <w:rPr>
                <w:rFonts w:hint="eastAsia" w:ascii="宋体" w:hAnsi="宋体" w:cs="宋体"/>
                <w:color w:val="auto"/>
                <w:szCs w:val="21"/>
                <w:highlight w:val="none"/>
                <w:lang w:val="en-US" w:eastAsia="zh-CN"/>
              </w:rPr>
            </w:pPr>
            <w:r>
              <w:rPr>
                <w:rFonts w:hint="eastAsia" w:ascii="宋体" w:hAnsi="宋体"/>
                <w:b/>
                <w:bCs w:val="0"/>
                <w:color w:val="auto"/>
                <w:szCs w:val="21"/>
              </w:rPr>
              <w:t>序号</w:t>
            </w:r>
          </w:p>
        </w:tc>
        <w:tc>
          <w:tcPr>
            <w:tcW w:w="1014" w:type="pct"/>
            <w:gridSpan w:val="3"/>
            <w:noWrap w:val="0"/>
            <w:vAlign w:val="center"/>
          </w:tcPr>
          <w:p w14:paraId="177684FC">
            <w:pPr>
              <w:pStyle w:val="77"/>
              <w:ind w:left="34" w:leftChars="0"/>
              <w:jc w:val="center"/>
              <w:rPr>
                <w:rFonts w:hint="eastAsia" w:ascii="宋体" w:hAnsi="宋体" w:eastAsia="宋体" w:cs="宋体"/>
                <w:b/>
                <w:bCs/>
                <w:color w:val="auto"/>
                <w:szCs w:val="21"/>
                <w:highlight w:val="none"/>
              </w:rPr>
            </w:pPr>
            <w:r>
              <w:rPr>
                <w:rFonts w:hint="eastAsia" w:ascii="宋体" w:hAnsi="宋体"/>
                <w:b/>
                <w:bCs w:val="0"/>
                <w:color w:val="auto"/>
                <w:szCs w:val="21"/>
              </w:rPr>
              <w:t>工程项目名称</w:t>
            </w:r>
          </w:p>
        </w:tc>
        <w:tc>
          <w:tcPr>
            <w:tcW w:w="688" w:type="pct"/>
            <w:noWrap w:val="0"/>
            <w:vAlign w:val="center"/>
          </w:tcPr>
          <w:p w14:paraId="55CD8A88">
            <w:pPr>
              <w:pStyle w:val="77"/>
              <w:ind w:left="34" w:leftChars="0"/>
              <w:jc w:val="center"/>
              <w:rPr>
                <w:rFonts w:hint="eastAsia" w:ascii="宋体" w:hAnsi="宋体" w:eastAsia="宋体" w:cs="宋体"/>
                <w:b/>
                <w:bCs/>
                <w:color w:val="auto"/>
                <w:szCs w:val="21"/>
                <w:highlight w:val="none"/>
              </w:rPr>
            </w:pPr>
            <w:r>
              <w:rPr>
                <w:rFonts w:hint="eastAsia" w:ascii="宋体" w:hAnsi="宋体" w:cs="宋体"/>
                <w:b/>
                <w:bCs w:val="0"/>
                <w:color w:val="auto"/>
                <w:szCs w:val="21"/>
              </w:rPr>
              <w:t>项目规模</w:t>
            </w:r>
          </w:p>
        </w:tc>
        <w:tc>
          <w:tcPr>
            <w:tcW w:w="688" w:type="pct"/>
            <w:noWrap w:val="0"/>
            <w:vAlign w:val="center"/>
          </w:tcPr>
          <w:p w14:paraId="62A23D0E">
            <w:pPr>
              <w:pStyle w:val="77"/>
              <w:ind w:left="34" w:leftChars="0"/>
              <w:jc w:val="center"/>
              <w:rPr>
                <w:rFonts w:hint="eastAsia" w:ascii="宋体" w:hAnsi="宋体" w:eastAsia="宋体" w:cs="宋体"/>
                <w:b/>
                <w:bCs/>
                <w:color w:val="auto"/>
                <w:szCs w:val="21"/>
                <w:highlight w:val="none"/>
              </w:rPr>
            </w:pPr>
            <w:r>
              <w:rPr>
                <w:rFonts w:hint="eastAsia" w:ascii="宋体" w:hAnsi="宋体"/>
                <w:b/>
                <w:bCs w:val="0"/>
                <w:color w:val="auto"/>
                <w:szCs w:val="21"/>
              </w:rPr>
              <w:t>合同金额（万元）</w:t>
            </w:r>
          </w:p>
        </w:tc>
        <w:tc>
          <w:tcPr>
            <w:tcW w:w="989" w:type="pct"/>
            <w:gridSpan w:val="2"/>
            <w:noWrap w:val="0"/>
            <w:vAlign w:val="center"/>
          </w:tcPr>
          <w:p w14:paraId="34A93FDE">
            <w:pPr>
              <w:pStyle w:val="77"/>
              <w:ind w:left="34" w:leftChars="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竣工验收合格证明材料的签发日期</w:t>
            </w:r>
          </w:p>
        </w:tc>
        <w:tc>
          <w:tcPr>
            <w:tcW w:w="687" w:type="pct"/>
            <w:gridSpan w:val="2"/>
            <w:noWrap w:val="0"/>
            <w:vAlign w:val="center"/>
          </w:tcPr>
          <w:p w14:paraId="0BDD77A3">
            <w:pPr>
              <w:pStyle w:val="77"/>
              <w:ind w:left="34" w:leftChars="0"/>
              <w:jc w:val="center"/>
              <w:rPr>
                <w:rFonts w:hint="eastAsia" w:ascii="宋体" w:hAnsi="宋体" w:eastAsia="宋体" w:cs="宋体"/>
                <w:b/>
                <w:bCs/>
                <w:color w:val="auto"/>
                <w:szCs w:val="21"/>
                <w:highlight w:val="none"/>
              </w:rPr>
            </w:pPr>
            <w:r>
              <w:rPr>
                <w:rFonts w:hint="eastAsia" w:ascii="宋体" w:hAnsi="宋体" w:cs="宋体"/>
                <w:b/>
                <w:bCs/>
                <w:color w:val="auto"/>
                <w:szCs w:val="21"/>
                <w:highlight w:val="none"/>
                <w:lang w:val="en-US" w:eastAsia="zh-CN"/>
              </w:rPr>
              <w:t>建设单位</w:t>
            </w:r>
          </w:p>
        </w:tc>
        <w:tc>
          <w:tcPr>
            <w:tcW w:w="592" w:type="pct"/>
            <w:noWrap w:val="0"/>
            <w:vAlign w:val="center"/>
          </w:tcPr>
          <w:p w14:paraId="3B5357AA">
            <w:pPr>
              <w:pStyle w:val="77"/>
              <w:ind w:left="34" w:leftChars="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评分</w:t>
            </w:r>
          </w:p>
        </w:tc>
      </w:tr>
      <w:tr w14:paraId="5FD52DE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7798E150">
            <w:pPr>
              <w:tabs>
                <w:tab w:val="left" w:pos="-951"/>
                <w:tab w:val="left" w:pos="4267"/>
                <w:tab w:val="left" w:pos="7925"/>
              </w:tabs>
              <w:adjustRightInd w:val="0"/>
              <w:snapToGrid w:val="0"/>
              <w:spacing w:line="360" w:lineRule="auto"/>
              <w:ind w:right="-6"/>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1014" w:type="pct"/>
            <w:gridSpan w:val="3"/>
            <w:noWrap w:val="0"/>
            <w:vAlign w:val="center"/>
          </w:tcPr>
          <w:p w14:paraId="23926877">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2D7988A7">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17CEAE9C">
            <w:pPr>
              <w:pStyle w:val="77"/>
              <w:ind w:left="34" w:leftChars="0"/>
              <w:jc w:val="left"/>
              <w:rPr>
                <w:rFonts w:hint="eastAsia" w:ascii="宋体" w:hAnsi="宋体" w:eastAsia="宋体" w:cs="宋体"/>
                <w:b/>
                <w:bCs/>
                <w:color w:val="auto"/>
                <w:szCs w:val="21"/>
                <w:highlight w:val="none"/>
              </w:rPr>
            </w:pPr>
          </w:p>
        </w:tc>
        <w:tc>
          <w:tcPr>
            <w:tcW w:w="989" w:type="pct"/>
            <w:gridSpan w:val="2"/>
            <w:noWrap w:val="0"/>
            <w:vAlign w:val="center"/>
          </w:tcPr>
          <w:p w14:paraId="79F0BFF1">
            <w:pPr>
              <w:pStyle w:val="77"/>
              <w:ind w:left="34" w:leftChars="0"/>
              <w:jc w:val="left"/>
              <w:rPr>
                <w:rFonts w:hint="eastAsia" w:ascii="宋体" w:hAnsi="宋体" w:eastAsia="宋体" w:cs="宋体"/>
                <w:b/>
                <w:bCs/>
                <w:color w:val="auto"/>
                <w:szCs w:val="21"/>
                <w:highlight w:val="none"/>
              </w:rPr>
            </w:pPr>
          </w:p>
        </w:tc>
        <w:tc>
          <w:tcPr>
            <w:tcW w:w="687" w:type="pct"/>
            <w:gridSpan w:val="2"/>
            <w:noWrap w:val="0"/>
            <w:vAlign w:val="center"/>
          </w:tcPr>
          <w:p w14:paraId="332BCCC4">
            <w:pPr>
              <w:pStyle w:val="77"/>
              <w:ind w:left="34" w:leftChars="0"/>
              <w:jc w:val="left"/>
              <w:rPr>
                <w:rFonts w:hint="eastAsia" w:ascii="宋体" w:hAnsi="宋体" w:eastAsia="宋体" w:cs="宋体"/>
                <w:b/>
                <w:bCs/>
                <w:color w:val="auto"/>
                <w:szCs w:val="21"/>
                <w:highlight w:val="none"/>
              </w:rPr>
            </w:pPr>
          </w:p>
        </w:tc>
        <w:tc>
          <w:tcPr>
            <w:tcW w:w="592" w:type="pct"/>
            <w:noWrap w:val="0"/>
            <w:vAlign w:val="center"/>
          </w:tcPr>
          <w:p w14:paraId="786DA8B2">
            <w:pPr>
              <w:pStyle w:val="77"/>
              <w:ind w:left="34" w:leftChars="0"/>
              <w:jc w:val="left"/>
              <w:rPr>
                <w:rFonts w:hint="eastAsia" w:ascii="宋体" w:hAnsi="宋体" w:eastAsia="宋体" w:cs="宋体"/>
                <w:b/>
                <w:bCs/>
                <w:color w:val="auto"/>
                <w:szCs w:val="21"/>
                <w:highlight w:val="none"/>
              </w:rPr>
            </w:pPr>
          </w:p>
        </w:tc>
      </w:tr>
      <w:tr w14:paraId="2084B32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306B5942">
            <w:pPr>
              <w:tabs>
                <w:tab w:val="left" w:pos="-951"/>
                <w:tab w:val="left" w:pos="4267"/>
                <w:tab w:val="left" w:pos="7925"/>
              </w:tabs>
              <w:adjustRightInd w:val="0"/>
              <w:snapToGrid w:val="0"/>
              <w:spacing w:line="360" w:lineRule="auto"/>
              <w:ind w:right="-6"/>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2</w:t>
            </w:r>
          </w:p>
        </w:tc>
        <w:tc>
          <w:tcPr>
            <w:tcW w:w="1014" w:type="pct"/>
            <w:gridSpan w:val="3"/>
            <w:noWrap w:val="0"/>
            <w:vAlign w:val="center"/>
          </w:tcPr>
          <w:p w14:paraId="184CB456">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646B0E63">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55A1C871">
            <w:pPr>
              <w:pStyle w:val="77"/>
              <w:ind w:left="34" w:leftChars="0"/>
              <w:jc w:val="left"/>
              <w:rPr>
                <w:rFonts w:hint="eastAsia" w:ascii="宋体" w:hAnsi="宋体" w:eastAsia="宋体" w:cs="宋体"/>
                <w:b/>
                <w:bCs/>
                <w:color w:val="auto"/>
                <w:szCs w:val="21"/>
                <w:highlight w:val="none"/>
              </w:rPr>
            </w:pPr>
          </w:p>
        </w:tc>
        <w:tc>
          <w:tcPr>
            <w:tcW w:w="989" w:type="pct"/>
            <w:gridSpan w:val="2"/>
            <w:noWrap w:val="0"/>
            <w:vAlign w:val="center"/>
          </w:tcPr>
          <w:p w14:paraId="032638AD">
            <w:pPr>
              <w:pStyle w:val="77"/>
              <w:ind w:left="34" w:leftChars="0"/>
              <w:jc w:val="left"/>
              <w:rPr>
                <w:rFonts w:hint="eastAsia" w:ascii="宋体" w:hAnsi="宋体" w:eastAsia="宋体" w:cs="宋体"/>
                <w:b/>
                <w:bCs/>
                <w:color w:val="auto"/>
                <w:szCs w:val="21"/>
                <w:highlight w:val="none"/>
              </w:rPr>
            </w:pPr>
          </w:p>
        </w:tc>
        <w:tc>
          <w:tcPr>
            <w:tcW w:w="687" w:type="pct"/>
            <w:gridSpan w:val="2"/>
            <w:noWrap w:val="0"/>
            <w:vAlign w:val="center"/>
          </w:tcPr>
          <w:p w14:paraId="7F1C15A9">
            <w:pPr>
              <w:pStyle w:val="77"/>
              <w:ind w:left="34" w:leftChars="0"/>
              <w:jc w:val="left"/>
              <w:rPr>
                <w:rFonts w:hint="eastAsia" w:ascii="宋体" w:hAnsi="宋体" w:eastAsia="宋体" w:cs="宋体"/>
                <w:b/>
                <w:bCs/>
                <w:color w:val="auto"/>
                <w:szCs w:val="21"/>
                <w:highlight w:val="none"/>
              </w:rPr>
            </w:pPr>
          </w:p>
        </w:tc>
        <w:tc>
          <w:tcPr>
            <w:tcW w:w="592" w:type="pct"/>
            <w:noWrap w:val="0"/>
            <w:vAlign w:val="center"/>
          </w:tcPr>
          <w:p w14:paraId="1A0A8E5D">
            <w:pPr>
              <w:pStyle w:val="77"/>
              <w:ind w:left="34" w:leftChars="0"/>
              <w:jc w:val="left"/>
              <w:rPr>
                <w:rFonts w:hint="eastAsia" w:ascii="宋体" w:hAnsi="宋体" w:eastAsia="宋体" w:cs="宋体"/>
                <w:b/>
                <w:bCs/>
                <w:color w:val="auto"/>
                <w:szCs w:val="21"/>
                <w:highlight w:val="none"/>
              </w:rPr>
            </w:pPr>
          </w:p>
        </w:tc>
      </w:tr>
      <w:tr w14:paraId="2B942A9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 w:type="pct"/>
            <w:noWrap w:val="0"/>
            <w:vAlign w:val="center"/>
          </w:tcPr>
          <w:p w14:paraId="3A6AC78B">
            <w:pPr>
              <w:tabs>
                <w:tab w:val="left" w:pos="-951"/>
                <w:tab w:val="left" w:pos="4267"/>
                <w:tab w:val="left" w:pos="7925"/>
              </w:tabs>
              <w:adjustRightInd w:val="0"/>
              <w:snapToGrid w:val="0"/>
              <w:spacing w:line="360" w:lineRule="auto"/>
              <w:ind w:right="-6"/>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1014" w:type="pct"/>
            <w:gridSpan w:val="3"/>
            <w:noWrap w:val="0"/>
            <w:vAlign w:val="center"/>
          </w:tcPr>
          <w:p w14:paraId="52EB41CC">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22897842">
            <w:pPr>
              <w:pStyle w:val="77"/>
              <w:ind w:left="34" w:leftChars="0"/>
              <w:jc w:val="left"/>
              <w:rPr>
                <w:rFonts w:hint="eastAsia" w:ascii="宋体" w:hAnsi="宋体" w:eastAsia="宋体" w:cs="宋体"/>
                <w:b/>
                <w:bCs/>
                <w:color w:val="auto"/>
                <w:szCs w:val="21"/>
                <w:highlight w:val="none"/>
              </w:rPr>
            </w:pPr>
          </w:p>
        </w:tc>
        <w:tc>
          <w:tcPr>
            <w:tcW w:w="688" w:type="pct"/>
            <w:noWrap w:val="0"/>
            <w:vAlign w:val="center"/>
          </w:tcPr>
          <w:p w14:paraId="4EFC2589">
            <w:pPr>
              <w:pStyle w:val="77"/>
              <w:ind w:left="34" w:leftChars="0"/>
              <w:jc w:val="left"/>
              <w:rPr>
                <w:rFonts w:hint="eastAsia" w:ascii="宋体" w:hAnsi="宋体" w:eastAsia="宋体" w:cs="宋体"/>
                <w:b/>
                <w:bCs/>
                <w:color w:val="auto"/>
                <w:szCs w:val="21"/>
                <w:highlight w:val="none"/>
              </w:rPr>
            </w:pPr>
          </w:p>
        </w:tc>
        <w:tc>
          <w:tcPr>
            <w:tcW w:w="989" w:type="pct"/>
            <w:gridSpan w:val="2"/>
            <w:noWrap w:val="0"/>
            <w:vAlign w:val="center"/>
          </w:tcPr>
          <w:p w14:paraId="46C89200">
            <w:pPr>
              <w:pStyle w:val="77"/>
              <w:ind w:left="34" w:leftChars="0"/>
              <w:jc w:val="left"/>
              <w:rPr>
                <w:rFonts w:hint="eastAsia" w:ascii="宋体" w:hAnsi="宋体" w:eastAsia="宋体" w:cs="宋体"/>
                <w:b/>
                <w:bCs/>
                <w:color w:val="auto"/>
                <w:szCs w:val="21"/>
                <w:highlight w:val="none"/>
              </w:rPr>
            </w:pPr>
          </w:p>
        </w:tc>
        <w:tc>
          <w:tcPr>
            <w:tcW w:w="687" w:type="pct"/>
            <w:gridSpan w:val="2"/>
            <w:noWrap w:val="0"/>
            <w:vAlign w:val="center"/>
          </w:tcPr>
          <w:p w14:paraId="4A7F9DBB">
            <w:pPr>
              <w:pStyle w:val="77"/>
              <w:ind w:left="34" w:leftChars="0"/>
              <w:jc w:val="left"/>
              <w:rPr>
                <w:rFonts w:hint="eastAsia" w:ascii="宋体" w:hAnsi="宋体" w:eastAsia="宋体" w:cs="宋体"/>
                <w:b/>
                <w:bCs/>
                <w:color w:val="auto"/>
                <w:szCs w:val="21"/>
                <w:highlight w:val="none"/>
              </w:rPr>
            </w:pPr>
          </w:p>
        </w:tc>
        <w:tc>
          <w:tcPr>
            <w:tcW w:w="592" w:type="pct"/>
            <w:noWrap w:val="0"/>
            <w:vAlign w:val="center"/>
          </w:tcPr>
          <w:p w14:paraId="427B2A66">
            <w:pPr>
              <w:pStyle w:val="77"/>
              <w:ind w:left="34" w:leftChars="0"/>
              <w:jc w:val="left"/>
              <w:rPr>
                <w:rFonts w:hint="eastAsia" w:ascii="宋体" w:hAnsi="宋体" w:eastAsia="宋体" w:cs="宋体"/>
                <w:b/>
                <w:bCs/>
                <w:color w:val="auto"/>
                <w:szCs w:val="21"/>
                <w:highlight w:val="none"/>
              </w:rPr>
            </w:pPr>
          </w:p>
        </w:tc>
      </w:tr>
      <w:bookmarkEnd w:id="2615"/>
    </w:tbl>
    <w:p w14:paraId="068A28C0">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Cs w:val="22"/>
        </w:rPr>
      </w:pPr>
      <w:r>
        <w:rPr>
          <w:rFonts w:hint="eastAsia" w:ascii="宋体" w:hAnsi="宋体" w:eastAsia="宋体" w:cs="宋体"/>
          <w:color w:val="auto"/>
          <w:szCs w:val="22"/>
        </w:rPr>
        <w:t>注：（</w:t>
      </w:r>
      <w:r>
        <w:rPr>
          <w:rFonts w:hint="eastAsia" w:ascii="宋体" w:hAnsi="宋体" w:eastAsia="宋体" w:cs="宋体"/>
          <w:color w:val="auto"/>
          <w:spacing w:val="1"/>
          <w:szCs w:val="22"/>
        </w:rPr>
        <w:t>1</w:t>
      </w:r>
      <w:r>
        <w:rPr>
          <w:rFonts w:hint="eastAsia" w:ascii="宋体" w:hAnsi="宋体" w:eastAsia="宋体" w:cs="宋体"/>
          <w:color w:val="auto"/>
          <w:szCs w:val="22"/>
        </w:rPr>
        <w:t>）具体要求参照《资信要素一览表》及说明，要求提供的证明资料可作为本表附件；</w:t>
      </w:r>
    </w:p>
    <w:p w14:paraId="462F58BF">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2"/>
        </w:rPr>
      </w:pPr>
      <w:r>
        <w:rPr>
          <w:rFonts w:hint="eastAsia" w:ascii="宋体" w:hAnsi="宋体" w:eastAsia="宋体" w:cs="宋体"/>
          <w:color w:val="auto"/>
          <w:szCs w:val="22"/>
        </w:rPr>
        <w:t>（2）本表的内容须如实填写，其中业绩栏、奖项栏允许留空；奖项栏如有内容则查询网址必须填写；如表中填写的内容与事实不一致（在投标截止后根据合法程序变更的除外），将视为投标人弄虚作假，招标人有权按提交虚假材料进行投标行为上报行政主管部门处理，一切后果由投标人承担；</w:t>
      </w:r>
    </w:p>
    <w:p w14:paraId="33C25E1D">
      <w:pPr>
        <w:jc w:val="center"/>
        <w:rPr>
          <w:rFonts w:hint="eastAsia" w:ascii="宋体" w:hAnsi="宋体" w:eastAsia="宋体" w:cs="宋体"/>
          <w:color w:val="auto"/>
          <w:szCs w:val="22"/>
          <w:lang w:eastAsia="zh-CN"/>
        </w:rPr>
      </w:pPr>
      <w:r>
        <w:rPr>
          <w:rFonts w:hint="eastAsia" w:ascii="宋体" w:hAnsi="宋体" w:eastAsia="宋体" w:cs="宋体"/>
          <w:color w:val="auto"/>
          <w:szCs w:val="22"/>
        </w:rPr>
        <w:t>（3）本表内容均不做评审（评分或评价或评级），但要求投标人认真响应各项内容，供定标委员会作定标参考</w:t>
      </w:r>
      <w:r>
        <w:rPr>
          <w:rFonts w:hint="eastAsia" w:ascii="宋体" w:hAnsi="宋体" w:eastAsia="宋体" w:cs="宋体"/>
          <w:color w:val="auto"/>
          <w:szCs w:val="22"/>
          <w:lang w:eastAsia="zh-CN"/>
        </w:rPr>
        <w:t>。</w:t>
      </w:r>
    </w:p>
    <w:p w14:paraId="0EB4A9FF">
      <w:pPr>
        <w:jc w:val="center"/>
        <w:rPr>
          <w:b/>
          <w:color w:val="auto"/>
          <w:szCs w:val="21"/>
        </w:rPr>
      </w:pPr>
      <w:r>
        <w:rPr>
          <w:rFonts w:hint="eastAsia" w:ascii="宋体" w:hAnsi="宋体" w:cs="宋体"/>
          <w:b/>
          <w:bCs/>
          <w:color w:val="auto"/>
          <w:sz w:val="30"/>
          <w:szCs w:val="30"/>
        </w:rPr>
        <w:t>三、投标单位清标情况一览表</w:t>
      </w:r>
    </w:p>
    <w:p w14:paraId="6625977B">
      <w:pPr>
        <w:jc w:val="left"/>
        <w:rPr>
          <w:rFonts w:ascii="宋体" w:hAnsi="宋体" w:cs="宋体"/>
          <w:b/>
          <w:bCs/>
          <w:color w:val="auto"/>
          <w:szCs w:val="21"/>
        </w:rPr>
      </w:pPr>
      <w:r>
        <w:rPr>
          <w:rFonts w:hint="eastAsia" w:ascii="宋体" w:hAnsi="宋体" w:cs="宋体"/>
          <w:b/>
          <w:bCs/>
          <w:color w:val="auto"/>
          <w:szCs w:val="21"/>
        </w:rPr>
        <w:t>投标</w:t>
      </w:r>
      <w:r>
        <w:rPr>
          <w:rFonts w:hint="eastAsia" w:ascii="宋体" w:hAnsi="宋体" w:cs="宋体"/>
          <w:b/>
          <w:bCs/>
          <w:color w:val="auto"/>
          <w:szCs w:val="21"/>
          <w:lang w:val="en-US" w:eastAsia="zh-CN"/>
        </w:rPr>
        <w:t>企业</w:t>
      </w:r>
      <w:r>
        <w:rPr>
          <w:rFonts w:hint="eastAsia" w:ascii="宋体" w:hAnsi="宋体" w:cs="宋体"/>
          <w:b/>
          <w:bCs/>
          <w:color w:val="auto"/>
          <w:szCs w:val="21"/>
        </w:rPr>
        <w:t>名称：</w:t>
      </w:r>
    </w:p>
    <w:tbl>
      <w:tblPr>
        <w:tblStyle w:val="26"/>
        <w:tblW w:w="9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1313"/>
        <w:gridCol w:w="1871"/>
        <w:gridCol w:w="3810"/>
        <w:gridCol w:w="1890"/>
      </w:tblGrid>
      <w:tr w14:paraId="1110F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9" w:type="dxa"/>
            <w:noWrap w:val="0"/>
            <w:vAlign w:val="center"/>
          </w:tcPr>
          <w:p w14:paraId="5D0C611A">
            <w:pPr>
              <w:jc w:val="center"/>
              <w:rPr>
                <w:rFonts w:ascii="宋体" w:hAnsi="宋体" w:cs="宋体"/>
                <w:color w:val="auto"/>
                <w:szCs w:val="21"/>
              </w:rPr>
            </w:pPr>
            <w:r>
              <w:rPr>
                <w:rFonts w:hint="eastAsia" w:ascii="宋体" w:hAnsi="宋体" w:cs="宋体"/>
                <w:color w:val="auto"/>
                <w:szCs w:val="21"/>
              </w:rPr>
              <w:t>序号</w:t>
            </w:r>
          </w:p>
        </w:tc>
        <w:tc>
          <w:tcPr>
            <w:tcW w:w="3184" w:type="dxa"/>
            <w:gridSpan w:val="2"/>
            <w:noWrap w:val="0"/>
            <w:vAlign w:val="center"/>
          </w:tcPr>
          <w:p w14:paraId="1A312B73">
            <w:pPr>
              <w:jc w:val="center"/>
              <w:rPr>
                <w:rFonts w:ascii="宋体" w:hAnsi="宋体" w:cs="宋体"/>
                <w:color w:val="auto"/>
                <w:szCs w:val="21"/>
              </w:rPr>
            </w:pPr>
            <w:r>
              <w:rPr>
                <w:rFonts w:hint="eastAsia" w:ascii="宋体" w:hAnsi="宋体" w:cs="宋体"/>
                <w:color w:val="auto"/>
                <w:szCs w:val="21"/>
              </w:rPr>
              <w:t>清标内容</w:t>
            </w:r>
          </w:p>
        </w:tc>
        <w:tc>
          <w:tcPr>
            <w:tcW w:w="3810" w:type="dxa"/>
            <w:noWrap w:val="0"/>
            <w:vAlign w:val="center"/>
          </w:tcPr>
          <w:p w14:paraId="147C01D2">
            <w:pPr>
              <w:jc w:val="center"/>
              <w:rPr>
                <w:rFonts w:ascii="宋体" w:hAnsi="宋体" w:cs="宋体"/>
                <w:color w:val="auto"/>
                <w:szCs w:val="21"/>
              </w:rPr>
            </w:pPr>
            <w:r>
              <w:rPr>
                <w:rFonts w:hint="eastAsia" w:ascii="宋体" w:hAnsi="宋体" w:cs="宋体"/>
                <w:color w:val="auto"/>
                <w:szCs w:val="21"/>
              </w:rPr>
              <w:t>投标单位具体情况</w:t>
            </w:r>
          </w:p>
        </w:tc>
        <w:tc>
          <w:tcPr>
            <w:tcW w:w="1890" w:type="dxa"/>
            <w:noWrap w:val="0"/>
            <w:vAlign w:val="center"/>
          </w:tcPr>
          <w:p w14:paraId="49492532">
            <w:pPr>
              <w:jc w:val="center"/>
              <w:rPr>
                <w:rFonts w:ascii="宋体" w:hAnsi="宋体" w:cs="宋体"/>
                <w:color w:val="auto"/>
                <w:szCs w:val="21"/>
              </w:rPr>
            </w:pPr>
            <w:r>
              <w:rPr>
                <w:rFonts w:hint="eastAsia" w:ascii="宋体" w:hAnsi="宋体" w:cs="宋体"/>
                <w:color w:val="auto"/>
                <w:szCs w:val="21"/>
              </w:rPr>
              <w:t>备注</w:t>
            </w:r>
          </w:p>
        </w:tc>
      </w:tr>
      <w:tr w14:paraId="7DEA5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restart"/>
            <w:noWrap w:val="0"/>
            <w:vAlign w:val="center"/>
          </w:tcPr>
          <w:p w14:paraId="100DB1D9">
            <w:pPr>
              <w:jc w:val="center"/>
              <w:rPr>
                <w:rFonts w:hint="eastAsia" w:ascii="宋体" w:hAnsi="宋体" w:cs="宋体"/>
                <w:color w:val="auto"/>
                <w:szCs w:val="21"/>
              </w:rPr>
            </w:pPr>
            <w:r>
              <w:rPr>
                <w:rFonts w:hint="eastAsia" w:ascii="宋体" w:hAnsi="宋体" w:cs="宋体"/>
                <w:color w:val="auto"/>
                <w:szCs w:val="21"/>
              </w:rPr>
              <w:t>1</w:t>
            </w:r>
          </w:p>
          <w:p w14:paraId="392B5460">
            <w:pPr>
              <w:jc w:val="center"/>
              <w:rPr>
                <w:rFonts w:hint="eastAsia" w:ascii="宋体" w:hAnsi="宋体" w:eastAsia="宋体" w:cs="宋体"/>
                <w:color w:val="auto"/>
                <w:szCs w:val="21"/>
                <w:lang w:eastAsia="zh-CN"/>
              </w:rPr>
            </w:pPr>
          </w:p>
        </w:tc>
        <w:tc>
          <w:tcPr>
            <w:tcW w:w="1313" w:type="dxa"/>
            <w:vMerge w:val="restart"/>
            <w:noWrap w:val="0"/>
            <w:vAlign w:val="center"/>
          </w:tcPr>
          <w:p w14:paraId="2F3449A6">
            <w:pPr>
              <w:jc w:val="center"/>
              <w:rPr>
                <w:rFonts w:hint="eastAsia" w:ascii="宋体" w:hAnsi="宋体" w:eastAsia="宋体" w:cs="宋体"/>
                <w:color w:val="auto"/>
                <w:szCs w:val="21"/>
                <w:lang w:val="en-US" w:eastAsia="zh-CN"/>
              </w:rPr>
            </w:pPr>
            <w:r>
              <w:rPr>
                <w:rFonts w:hint="eastAsia" w:ascii="宋体" w:hAnsi="宋体" w:cs="宋体"/>
                <w:color w:val="auto"/>
                <w:szCs w:val="21"/>
              </w:rPr>
              <w:t>企业</w:t>
            </w:r>
            <w:r>
              <w:rPr>
                <w:rFonts w:hint="eastAsia" w:ascii="宋体" w:hAnsi="宋体" w:cs="宋体"/>
                <w:color w:val="auto"/>
                <w:szCs w:val="21"/>
                <w:lang w:val="en-US" w:eastAsia="zh-CN"/>
              </w:rPr>
              <w:t>资质</w:t>
            </w:r>
          </w:p>
        </w:tc>
        <w:tc>
          <w:tcPr>
            <w:tcW w:w="1871" w:type="dxa"/>
            <w:noWrap w:val="0"/>
            <w:vAlign w:val="center"/>
          </w:tcPr>
          <w:p w14:paraId="08EDC8F0">
            <w:pPr>
              <w:jc w:val="center"/>
              <w:rPr>
                <w:rFonts w:ascii="宋体" w:hAnsi="宋体" w:cs="宋体"/>
                <w:color w:val="auto"/>
                <w:szCs w:val="21"/>
              </w:rPr>
            </w:pPr>
            <w:r>
              <w:rPr>
                <w:rFonts w:hint="eastAsia" w:ascii="宋体" w:hAnsi="宋体" w:cs="宋体"/>
                <w:color w:val="auto"/>
                <w:szCs w:val="21"/>
              </w:rPr>
              <w:t>注册资本</w:t>
            </w:r>
          </w:p>
        </w:tc>
        <w:tc>
          <w:tcPr>
            <w:tcW w:w="3810" w:type="dxa"/>
            <w:noWrap w:val="0"/>
            <w:vAlign w:val="center"/>
          </w:tcPr>
          <w:p w14:paraId="373413AD">
            <w:pPr>
              <w:jc w:val="center"/>
              <w:rPr>
                <w:rFonts w:ascii="宋体" w:hAnsi="宋体" w:cs="宋体"/>
                <w:color w:val="auto"/>
                <w:szCs w:val="21"/>
              </w:rPr>
            </w:pPr>
          </w:p>
        </w:tc>
        <w:tc>
          <w:tcPr>
            <w:tcW w:w="1890" w:type="dxa"/>
            <w:noWrap w:val="0"/>
            <w:vAlign w:val="center"/>
          </w:tcPr>
          <w:p w14:paraId="2D5F58AB">
            <w:pPr>
              <w:jc w:val="center"/>
              <w:rPr>
                <w:rFonts w:ascii="宋体" w:hAnsi="宋体" w:cs="宋体"/>
                <w:color w:val="auto"/>
                <w:szCs w:val="21"/>
              </w:rPr>
            </w:pPr>
          </w:p>
        </w:tc>
      </w:tr>
      <w:tr w14:paraId="18D2C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vMerge w:val="continue"/>
            <w:noWrap w:val="0"/>
            <w:vAlign w:val="center"/>
          </w:tcPr>
          <w:p w14:paraId="5D96AF3D">
            <w:pPr>
              <w:jc w:val="center"/>
              <w:rPr>
                <w:rFonts w:ascii="宋体" w:hAnsi="宋体" w:cs="宋体"/>
                <w:color w:val="auto"/>
                <w:szCs w:val="21"/>
              </w:rPr>
            </w:pPr>
          </w:p>
        </w:tc>
        <w:tc>
          <w:tcPr>
            <w:tcW w:w="1313" w:type="dxa"/>
            <w:vMerge w:val="continue"/>
            <w:noWrap w:val="0"/>
            <w:vAlign w:val="center"/>
          </w:tcPr>
          <w:p w14:paraId="5EEC31DF">
            <w:pPr>
              <w:jc w:val="center"/>
              <w:rPr>
                <w:rFonts w:ascii="宋体" w:hAnsi="宋体" w:cs="宋体"/>
                <w:color w:val="auto"/>
                <w:szCs w:val="21"/>
              </w:rPr>
            </w:pPr>
          </w:p>
        </w:tc>
        <w:tc>
          <w:tcPr>
            <w:tcW w:w="1871" w:type="dxa"/>
            <w:noWrap w:val="0"/>
            <w:vAlign w:val="center"/>
          </w:tcPr>
          <w:p w14:paraId="492A2C70">
            <w:pPr>
              <w:jc w:val="center"/>
              <w:rPr>
                <w:rFonts w:ascii="宋体" w:hAnsi="宋体" w:cs="宋体"/>
                <w:color w:val="auto"/>
                <w:szCs w:val="21"/>
              </w:rPr>
            </w:pPr>
            <w:r>
              <w:rPr>
                <w:rFonts w:hint="eastAsia" w:ascii="宋体" w:hAnsi="宋体" w:cs="宋体"/>
                <w:color w:val="auto"/>
                <w:szCs w:val="21"/>
              </w:rPr>
              <w:t>资质情况</w:t>
            </w:r>
          </w:p>
        </w:tc>
        <w:tc>
          <w:tcPr>
            <w:tcW w:w="3810" w:type="dxa"/>
            <w:noWrap w:val="0"/>
            <w:vAlign w:val="center"/>
          </w:tcPr>
          <w:p w14:paraId="30C769D7">
            <w:pPr>
              <w:jc w:val="center"/>
              <w:rPr>
                <w:rFonts w:ascii="宋体" w:hAnsi="宋体" w:cs="宋体"/>
                <w:color w:val="auto"/>
                <w:szCs w:val="21"/>
              </w:rPr>
            </w:pPr>
          </w:p>
        </w:tc>
        <w:tc>
          <w:tcPr>
            <w:tcW w:w="1890" w:type="dxa"/>
            <w:noWrap w:val="0"/>
            <w:vAlign w:val="center"/>
          </w:tcPr>
          <w:p w14:paraId="5C194EA9">
            <w:pPr>
              <w:jc w:val="center"/>
              <w:rPr>
                <w:rFonts w:ascii="宋体" w:hAnsi="宋体" w:cs="宋体"/>
                <w:color w:val="auto"/>
                <w:szCs w:val="21"/>
              </w:rPr>
            </w:pPr>
          </w:p>
        </w:tc>
      </w:tr>
      <w:tr w14:paraId="2EF5C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7" w:hRule="atLeast"/>
        </w:trPr>
        <w:tc>
          <w:tcPr>
            <w:tcW w:w="729" w:type="dxa"/>
            <w:vMerge w:val="continue"/>
            <w:noWrap w:val="0"/>
            <w:vAlign w:val="center"/>
          </w:tcPr>
          <w:p w14:paraId="671D761D">
            <w:pPr>
              <w:jc w:val="center"/>
              <w:rPr>
                <w:rFonts w:hint="eastAsia" w:ascii="宋体" w:hAnsi="宋体" w:eastAsia="宋体" w:cs="宋体"/>
                <w:color w:val="auto"/>
                <w:szCs w:val="21"/>
                <w:lang w:eastAsia="zh-CN"/>
              </w:rPr>
            </w:pPr>
          </w:p>
        </w:tc>
        <w:tc>
          <w:tcPr>
            <w:tcW w:w="1313" w:type="dxa"/>
            <w:vMerge w:val="continue"/>
            <w:noWrap w:val="0"/>
            <w:vAlign w:val="center"/>
          </w:tcPr>
          <w:p w14:paraId="2FCA21F3">
            <w:pPr>
              <w:jc w:val="center"/>
              <w:rPr>
                <w:rFonts w:ascii="宋体" w:hAnsi="宋体" w:cs="宋体"/>
                <w:color w:val="auto"/>
                <w:szCs w:val="21"/>
              </w:rPr>
            </w:pPr>
          </w:p>
        </w:tc>
        <w:tc>
          <w:tcPr>
            <w:tcW w:w="1871" w:type="dxa"/>
            <w:noWrap w:val="0"/>
            <w:vAlign w:val="center"/>
          </w:tcPr>
          <w:p w14:paraId="1BE1E70E">
            <w:pPr>
              <w:jc w:val="center"/>
              <w:rPr>
                <w:rFonts w:hint="eastAsia" w:ascii="宋体" w:hAnsi="宋体" w:cs="宋体"/>
                <w:color w:val="auto"/>
                <w:szCs w:val="21"/>
              </w:rPr>
            </w:pPr>
            <w:r>
              <w:rPr>
                <w:rFonts w:hint="eastAsia" w:ascii="宋体" w:hAnsi="宋体" w:cs="宋体"/>
                <w:color w:val="auto"/>
                <w:szCs w:val="21"/>
              </w:rPr>
              <w:t>企业基本信息</w:t>
            </w:r>
          </w:p>
        </w:tc>
        <w:tc>
          <w:tcPr>
            <w:tcW w:w="3810" w:type="dxa"/>
            <w:noWrap w:val="0"/>
            <w:vAlign w:val="top"/>
          </w:tcPr>
          <w:p w14:paraId="29682B4D">
            <w:pPr>
              <w:jc w:val="left"/>
              <w:rPr>
                <w:rFonts w:ascii="宋体" w:hAnsi="宋体" w:cs="宋体"/>
                <w:color w:val="auto"/>
                <w:szCs w:val="21"/>
              </w:rPr>
            </w:pPr>
            <w:r>
              <w:rPr>
                <w:rFonts w:hint="eastAsia" w:ascii="宋体" w:hAnsi="宋体" w:cs="宋体"/>
                <w:color w:val="auto"/>
                <w:szCs w:val="21"/>
              </w:rPr>
              <w:t>机构名称：</w:t>
            </w:r>
          </w:p>
          <w:p w14:paraId="13FB6B14">
            <w:pPr>
              <w:jc w:val="left"/>
              <w:rPr>
                <w:rFonts w:ascii="宋体" w:hAnsi="宋体" w:cs="宋体"/>
                <w:color w:val="auto"/>
                <w:szCs w:val="21"/>
              </w:rPr>
            </w:pPr>
            <w:r>
              <w:rPr>
                <w:rFonts w:hint="eastAsia" w:ascii="宋体" w:hAnsi="宋体" w:cs="宋体"/>
                <w:color w:val="auto"/>
                <w:szCs w:val="21"/>
              </w:rPr>
              <w:t>分支机构分布情况：(如有，请逐一列明分支机构企业名称、地址，提供分支机构数量不超过3个。)</w:t>
            </w:r>
          </w:p>
          <w:p w14:paraId="71A10454">
            <w:pPr>
              <w:jc w:val="left"/>
              <w:rPr>
                <w:rFonts w:ascii="宋体" w:hAnsi="宋体" w:cs="宋体"/>
                <w:color w:val="auto"/>
                <w:szCs w:val="21"/>
              </w:rPr>
            </w:pPr>
            <w:r>
              <w:rPr>
                <w:rFonts w:hint="eastAsia" w:ascii="宋体" w:hAnsi="宋体" w:cs="宋体"/>
                <w:color w:val="auto"/>
                <w:szCs w:val="21"/>
              </w:rPr>
              <w:t>地址：</w:t>
            </w:r>
          </w:p>
        </w:tc>
        <w:tc>
          <w:tcPr>
            <w:tcW w:w="1890" w:type="dxa"/>
            <w:noWrap w:val="0"/>
            <w:vAlign w:val="top"/>
          </w:tcPr>
          <w:p w14:paraId="71B52D5B">
            <w:pPr>
              <w:jc w:val="left"/>
              <w:rPr>
                <w:rFonts w:ascii="宋体" w:hAnsi="宋体" w:cs="宋体"/>
                <w:color w:val="auto"/>
                <w:szCs w:val="21"/>
              </w:rPr>
            </w:pPr>
          </w:p>
        </w:tc>
      </w:tr>
      <w:tr w14:paraId="49EFD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729" w:type="dxa"/>
            <w:noWrap w:val="0"/>
            <w:vAlign w:val="center"/>
          </w:tcPr>
          <w:p w14:paraId="211E806B">
            <w:pPr>
              <w:jc w:val="center"/>
              <w:rPr>
                <w:rFonts w:ascii="宋体" w:hAnsi="宋体" w:cs="宋体"/>
                <w:color w:val="auto"/>
                <w:szCs w:val="21"/>
              </w:rPr>
            </w:pPr>
            <w:r>
              <w:rPr>
                <w:rFonts w:hint="eastAsia" w:ascii="宋体" w:hAnsi="宋体" w:cs="宋体"/>
                <w:color w:val="auto"/>
                <w:szCs w:val="21"/>
                <w:lang w:val="en-US" w:eastAsia="zh-CN"/>
              </w:rPr>
              <w:t>2</w:t>
            </w:r>
          </w:p>
        </w:tc>
        <w:tc>
          <w:tcPr>
            <w:tcW w:w="3184" w:type="dxa"/>
            <w:gridSpan w:val="2"/>
            <w:noWrap w:val="0"/>
            <w:vAlign w:val="center"/>
          </w:tcPr>
          <w:p w14:paraId="31F18299">
            <w:pPr>
              <w:jc w:val="center"/>
              <w:rPr>
                <w:rFonts w:ascii="宋体" w:hAnsi="宋体" w:cs="宋体"/>
                <w:color w:val="auto"/>
                <w:szCs w:val="21"/>
              </w:rPr>
            </w:pPr>
            <w:r>
              <w:rPr>
                <w:rFonts w:hint="eastAsia" w:ascii="宋体" w:hAnsi="宋体" w:cs="宋体"/>
                <w:color w:val="auto"/>
                <w:szCs w:val="21"/>
              </w:rPr>
              <w:t>投标报价（元）</w:t>
            </w:r>
          </w:p>
        </w:tc>
        <w:tc>
          <w:tcPr>
            <w:tcW w:w="3810" w:type="dxa"/>
            <w:noWrap w:val="0"/>
            <w:vAlign w:val="top"/>
          </w:tcPr>
          <w:p w14:paraId="6F4F94B5">
            <w:pPr>
              <w:jc w:val="left"/>
              <w:rPr>
                <w:rFonts w:ascii="宋体" w:hAnsi="宋体" w:cs="宋体"/>
                <w:color w:val="auto"/>
                <w:szCs w:val="21"/>
              </w:rPr>
            </w:pPr>
          </w:p>
        </w:tc>
        <w:tc>
          <w:tcPr>
            <w:tcW w:w="1890" w:type="dxa"/>
            <w:noWrap w:val="0"/>
            <w:vAlign w:val="top"/>
          </w:tcPr>
          <w:p w14:paraId="031E00D1">
            <w:pPr>
              <w:jc w:val="left"/>
              <w:rPr>
                <w:rFonts w:ascii="宋体" w:hAnsi="宋体" w:cs="宋体"/>
                <w:color w:val="auto"/>
                <w:szCs w:val="21"/>
              </w:rPr>
            </w:pPr>
          </w:p>
        </w:tc>
      </w:tr>
      <w:tr w14:paraId="76A0A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trPr>
        <w:tc>
          <w:tcPr>
            <w:tcW w:w="729" w:type="dxa"/>
            <w:vMerge w:val="restart"/>
            <w:noWrap w:val="0"/>
            <w:vAlign w:val="center"/>
          </w:tcPr>
          <w:p w14:paraId="0BEC6C80">
            <w:pPr>
              <w:jc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3</w:t>
            </w:r>
          </w:p>
        </w:tc>
        <w:tc>
          <w:tcPr>
            <w:tcW w:w="3184" w:type="dxa"/>
            <w:gridSpan w:val="2"/>
            <w:vMerge w:val="restart"/>
            <w:noWrap w:val="0"/>
            <w:vAlign w:val="center"/>
          </w:tcPr>
          <w:p w14:paraId="758D25C4">
            <w:pPr>
              <w:jc w:val="center"/>
              <w:rPr>
                <w:rFonts w:ascii="宋体" w:hAnsi="宋体" w:cs="宋体"/>
                <w:color w:val="auto"/>
                <w:szCs w:val="21"/>
              </w:rPr>
            </w:pPr>
            <w:r>
              <w:rPr>
                <w:color w:val="auto"/>
              </w:rPr>
              <w:t>拟派</w:t>
            </w:r>
            <w:r>
              <w:rPr>
                <w:rFonts w:hint="eastAsia"/>
                <w:color w:val="auto"/>
                <w:lang w:val="en-US" w:eastAsia="zh-CN"/>
              </w:rPr>
              <w:t>项目管理</w:t>
            </w:r>
            <w:r>
              <w:rPr>
                <w:color w:val="auto"/>
              </w:rPr>
              <w:t>团队</w:t>
            </w:r>
            <w:r>
              <w:rPr>
                <w:rFonts w:hint="eastAsia"/>
                <w:color w:val="auto"/>
                <w:lang w:val="en-US" w:eastAsia="zh-CN"/>
              </w:rPr>
              <w:t>人员</w:t>
            </w:r>
            <w:r>
              <w:rPr>
                <w:color w:val="auto"/>
              </w:rPr>
              <w:t>水平</w:t>
            </w:r>
          </w:p>
        </w:tc>
        <w:tc>
          <w:tcPr>
            <w:tcW w:w="3810" w:type="dxa"/>
            <w:noWrap w:val="0"/>
            <w:vAlign w:val="top"/>
          </w:tcPr>
          <w:p w14:paraId="3E65D03D">
            <w:pPr>
              <w:tabs>
                <w:tab w:val="left" w:pos="-951"/>
                <w:tab w:val="left" w:pos="4267"/>
                <w:tab w:val="left" w:pos="7925"/>
              </w:tabs>
              <w:adjustRightInd w:val="0"/>
              <w:snapToGrid w:val="0"/>
              <w:spacing w:line="360" w:lineRule="auto"/>
              <w:ind w:right="-6"/>
              <w:jc w:val="both"/>
              <w:rPr>
                <w:rFonts w:hint="eastAsia" w:ascii="宋体" w:hAnsi="宋体" w:eastAsia="宋体" w:cs="宋体"/>
                <w:b w:val="0"/>
                <w:bCs w:val="0"/>
                <w:color w:val="auto"/>
                <w:szCs w:val="21"/>
                <w:highlight w:val="none"/>
                <w:lang w:eastAsia="zh-CN"/>
              </w:rPr>
            </w:pPr>
            <w:r>
              <w:rPr>
                <w:rFonts w:hint="eastAsia" w:ascii="宋体" w:hAnsi="宋体" w:eastAsia="宋体" w:cs="宋体"/>
                <w:color w:val="auto"/>
                <w:szCs w:val="21"/>
                <w:highlight w:val="none"/>
              </w:rPr>
              <w:t>姓名</w:t>
            </w:r>
            <w:r>
              <w:rPr>
                <w:rFonts w:hint="eastAsia" w:ascii="宋体" w:hAnsi="宋体" w:eastAsia="宋体" w:cs="宋体"/>
                <w:color w:val="auto"/>
                <w:szCs w:val="21"/>
                <w:highlight w:val="none"/>
                <w:lang w:eastAsia="zh-CN"/>
              </w:rPr>
              <w:t>：</w:t>
            </w:r>
          </w:p>
          <w:p w14:paraId="3662C5E0">
            <w:pPr>
              <w:pStyle w:val="5"/>
              <w:rPr>
                <w:rFonts w:hint="default"/>
                <w:b w:val="0"/>
                <w:bCs w:val="0"/>
                <w:color w:val="auto"/>
                <w:lang w:val="en-US" w:eastAsia="zh-CN"/>
              </w:rPr>
            </w:pPr>
            <w:r>
              <w:rPr>
                <w:rFonts w:hint="eastAsia"/>
                <w:b w:val="0"/>
                <w:bCs w:val="0"/>
                <w:color w:val="auto"/>
                <w:lang w:val="en-US" w:eastAsia="zh-CN"/>
              </w:rPr>
              <w:t>职务：项目负责人</w:t>
            </w:r>
          </w:p>
          <w:p w14:paraId="39D82E71">
            <w:pPr>
              <w:pStyle w:val="5"/>
              <w:rPr>
                <w:rFonts w:hint="eastAsia"/>
                <w:b w:val="0"/>
                <w:bCs w:val="0"/>
                <w:color w:val="auto"/>
                <w:lang w:val="en-US" w:eastAsia="zh-CN"/>
              </w:rPr>
            </w:pPr>
            <w:r>
              <w:rPr>
                <w:rFonts w:hint="eastAsia"/>
                <w:b w:val="0"/>
                <w:bCs w:val="0"/>
                <w:color w:val="auto"/>
                <w:lang w:val="en-US" w:eastAsia="zh-CN"/>
              </w:rPr>
              <w:t>注册资格：</w:t>
            </w:r>
          </w:p>
          <w:p w14:paraId="159608D6">
            <w:pPr>
              <w:rPr>
                <w:rFonts w:hint="default"/>
                <w:color w:val="auto"/>
                <w:lang w:val="en-US" w:eastAsia="zh-CN"/>
              </w:rPr>
            </w:pPr>
            <w:r>
              <w:rPr>
                <w:rFonts w:hint="eastAsia"/>
                <w:b w:val="0"/>
                <w:bCs w:val="0"/>
                <w:color w:val="auto"/>
                <w:lang w:val="en-US" w:eastAsia="zh-CN"/>
              </w:rPr>
              <w:t>注册资格专业：</w:t>
            </w:r>
          </w:p>
          <w:p w14:paraId="09B35396">
            <w:pPr>
              <w:rPr>
                <w:rFonts w:hint="eastAsia"/>
                <w:b w:val="0"/>
                <w:bCs w:val="0"/>
                <w:color w:val="auto"/>
                <w:lang w:val="en-US" w:eastAsia="zh-CN"/>
              </w:rPr>
            </w:pPr>
            <w:r>
              <w:rPr>
                <w:rFonts w:hint="eastAsia"/>
                <w:b w:val="0"/>
                <w:bCs w:val="0"/>
                <w:color w:val="auto"/>
                <w:lang w:val="en-US" w:eastAsia="zh-CN"/>
              </w:rPr>
              <w:t>职称证：</w:t>
            </w:r>
          </w:p>
          <w:p w14:paraId="2DB1D227">
            <w:pPr>
              <w:pStyle w:val="16"/>
              <w:spacing w:after="0" w:line="360" w:lineRule="auto"/>
              <w:ind w:left="0" w:leftChars="0"/>
              <w:rPr>
                <w:rFonts w:hint="eastAsia" w:ascii="Calibri" w:hAnsi="Calibri"/>
                <w:color w:val="auto"/>
              </w:rPr>
            </w:pPr>
            <w:r>
              <w:rPr>
                <w:rFonts w:hint="eastAsia"/>
                <w:b w:val="0"/>
                <w:bCs w:val="0"/>
                <w:color w:val="auto"/>
                <w:lang w:val="en-US" w:eastAsia="zh-CN"/>
              </w:rPr>
              <w:t>职称专业：</w:t>
            </w:r>
          </w:p>
        </w:tc>
        <w:tc>
          <w:tcPr>
            <w:tcW w:w="1890" w:type="dxa"/>
            <w:noWrap w:val="0"/>
            <w:vAlign w:val="top"/>
          </w:tcPr>
          <w:p w14:paraId="6B8CF0D4">
            <w:pPr>
              <w:jc w:val="left"/>
              <w:rPr>
                <w:rFonts w:ascii="宋体" w:hAnsi="宋体" w:cs="宋体"/>
                <w:color w:val="auto"/>
                <w:szCs w:val="21"/>
              </w:rPr>
            </w:pPr>
          </w:p>
        </w:tc>
      </w:tr>
      <w:tr w14:paraId="0C1E8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2" w:hRule="atLeast"/>
        </w:trPr>
        <w:tc>
          <w:tcPr>
            <w:tcW w:w="729" w:type="dxa"/>
            <w:vMerge w:val="continue"/>
            <w:noWrap w:val="0"/>
            <w:vAlign w:val="center"/>
          </w:tcPr>
          <w:p w14:paraId="32C5D845">
            <w:pPr>
              <w:jc w:val="center"/>
              <w:rPr>
                <w:rFonts w:ascii="宋体" w:hAnsi="宋体" w:cs="宋体"/>
                <w:color w:val="auto"/>
                <w:szCs w:val="21"/>
              </w:rPr>
            </w:pPr>
          </w:p>
        </w:tc>
        <w:tc>
          <w:tcPr>
            <w:tcW w:w="3184" w:type="dxa"/>
            <w:gridSpan w:val="2"/>
            <w:vMerge w:val="continue"/>
            <w:noWrap w:val="0"/>
            <w:vAlign w:val="center"/>
          </w:tcPr>
          <w:p w14:paraId="46229276">
            <w:pPr>
              <w:jc w:val="center"/>
              <w:rPr>
                <w:rFonts w:ascii="宋体" w:hAnsi="宋体" w:cs="宋体"/>
                <w:color w:val="auto"/>
                <w:szCs w:val="21"/>
              </w:rPr>
            </w:pPr>
          </w:p>
        </w:tc>
        <w:tc>
          <w:tcPr>
            <w:tcW w:w="3810" w:type="dxa"/>
            <w:noWrap w:val="0"/>
            <w:vAlign w:val="top"/>
          </w:tcPr>
          <w:p w14:paraId="6BA943DA">
            <w:pPr>
              <w:tabs>
                <w:tab w:val="left" w:pos="-951"/>
                <w:tab w:val="left" w:pos="4267"/>
                <w:tab w:val="left" w:pos="7925"/>
              </w:tabs>
              <w:adjustRightInd w:val="0"/>
              <w:snapToGrid w:val="0"/>
              <w:spacing w:line="360" w:lineRule="auto"/>
              <w:ind w:right="-6"/>
              <w:jc w:val="both"/>
              <w:rPr>
                <w:rFonts w:hint="eastAsia" w:ascii="宋体" w:hAnsi="宋体" w:eastAsia="宋体" w:cs="宋体"/>
                <w:b w:val="0"/>
                <w:bCs w:val="0"/>
                <w:color w:val="auto"/>
                <w:szCs w:val="21"/>
                <w:highlight w:val="none"/>
                <w:lang w:eastAsia="zh-CN"/>
              </w:rPr>
            </w:pPr>
            <w:r>
              <w:rPr>
                <w:rFonts w:hint="eastAsia" w:ascii="宋体" w:hAnsi="宋体" w:eastAsia="宋体" w:cs="宋体"/>
                <w:color w:val="auto"/>
                <w:szCs w:val="21"/>
                <w:highlight w:val="none"/>
              </w:rPr>
              <w:t>姓名</w:t>
            </w:r>
            <w:r>
              <w:rPr>
                <w:rFonts w:hint="eastAsia" w:ascii="宋体" w:hAnsi="宋体" w:eastAsia="宋体" w:cs="宋体"/>
                <w:color w:val="auto"/>
                <w:szCs w:val="21"/>
                <w:highlight w:val="none"/>
                <w:lang w:eastAsia="zh-CN"/>
              </w:rPr>
              <w:t>：</w:t>
            </w:r>
          </w:p>
          <w:p w14:paraId="2B255CB3">
            <w:pPr>
              <w:pStyle w:val="5"/>
              <w:rPr>
                <w:rFonts w:hint="default"/>
                <w:b w:val="0"/>
                <w:bCs w:val="0"/>
                <w:color w:val="auto"/>
                <w:lang w:val="en-US" w:eastAsia="zh-CN"/>
              </w:rPr>
            </w:pPr>
            <w:r>
              <w:rPr>
                <w:rFonts w:hint="eastAsia"/>
                <w:b w:val="0"/>
                <w:bCs w:val="0"/>
                <w:color w:val="auto"/>
                <w:lang w:val="en-US" w:eastAsia="zh-CN"/>
              </w:rPr>
              <w:t>职务：技术负责人</w:t>
            </w:r>
          </w:p>
          <w:p w14:paraId="5FE50D8E">
            <w:pPr>
              <w:pStyle w:val="5"/>
              <w:rPr>
                <w:rFonts w:hint="eastAsia"/>
                <w:b w:val="0"/>
                <w:bCs w:val="0"/>
                <w:color w:val="auto"/>
                <w:lang w:val="en-US" w:eastAsia="zh-CN"/>
              </w:rPr>
            </w:pPr>
            <w:r>
              <w:rPr>
                <w:rFonts w:hint="eastAsia"/>
                <w:b w:val="0"/>
                <w:bCs w:val="0"/>
                <w:color w:val="auto"/>
                <w:lang w:val="en-US" w:eastAsia="zh-CN"/>
              </w:rPr>
              <w:t>注册资格：</w:t>
            </w:r>
          </w:p>
          <w:p w14:paraId="4BAFFB00">
            <w:pPr>
              <w:rPr>
                <w:rFonts w:hint="default"/>
                <w:color w:val="auto"/>
                <w:lang w:val="en-US" w:eastAsia="zh-CN"/>
              </w:rPr>
            </w:pPr>
            <w:r>
              <w:rPr>
                <w:rFonts w:hint="eastAsia"/>
                <w:b w:val="0"/>
                <w:bCs w:val="0"/>
                <w:color w:val="auto"/>
                <w:lang w:val="en-US" w:eastAsia="zh-CN"/>
              </w:rPr>
              <w:t>注册资格专业：</w:t>
            </w:r>
          </w:p>
          <w:p w14:paraId="05EFE46E">
            <w:pPr>
              <w:rPr>
                <w:rFonts w:hint="eastAsia"/>
                <w:b w:val="0"/>
                <w:bCs w:val="0"/>
                <w:color w:val="auto"/>
                <w:lang w:val="en-US" w:eastAsia="zh-CN"/>
              </w:rPr>
            </w:pPr>
            <w:r>
              <w:rPr>
                <w:rFonts w:hint="eastAsia"/>
                <w:b w:val="0"/>
                <w:bCs w:val="0"/>
                <w:color w:val="auto"/>
                <w:lang w:val="en-US" w:eastAsia="zh-CN"/>
              </w:rPr>
              <w:t>职称证：</w:t>
            </w:r>
          </w:p>
          <w:p w14:paraId="7E5DB6C2">
            <w:pPr>
              <w:pStyle w:val="16"/>
              <w:spacing w:after="0" w:line="360" w:lineRule="auto"/>
              <w:ind w:left="0" w:leftChars="0"/>
              <w:rPr>
                <w:rFonts w:ascii="Calibri" w:hAnsi="Calibri"/>
                <w:color w:val="auto"/>
              </w:rPr>
            </w:pPr>
            <w:r>
              <w:rPr>
                <w:rFonts w:hint="eastAsia"/>
                <w:b w:val="0"/>
                <w:bCs w:val="0"/>
                <w:color w:val="auto"/>
                <w:lang w:val="en-US" w:eastAsia="zh-CN"/>
              </w:rPr>
              <w:t>职称专业：</w:t>
            </w:r>
          </w:p>
        </w:tc>
        <w:tc>
          <w:tcPr>
            <w:tcW w:w="1890" w:type="dxa"/>
            <w:noWrap w:val="0"/>
            <w:vAlign w:val="top"/>
          </w:tcPr>
          <w:p w14:paraId="00F305BE">
            <w:pPr>
              <w:jc w:val="left"/>
              <w:rPr>
                <w:rFonts w:ascii="宋体" w:hAnsi="宋体" w:cs="宋体"/>
                <w:color w:val="auto"/>
                <w:szCs w:val="21"/>
              </w:rPr>
            </w:pPr>
          </w:p>
        </w:tc>
      </w:tr>
      <w:tr w14:paraId="14CA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trPr>
        <w:tc>
          <w:tcPr>
            <w:tcW w:w="729" w:type="dxa"/>
            <w:noWrap w:val="0"/>
            <w:vAlign w:val="center"/>
          </w:tcPr>
          <w:p w14:paraId="13801791">
            <w:pPr>
              <w:jc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4</w:t>
            </w:r>
          </w:p>
        </w:tc>
        <w:tc>
          <w:tcPr>
            <w:tcW w:w="3184" w:type="dxa"/>
            <w:gridSpan w:val="2"/>
            <w:noWrap w:val="0"/>
            <w:vAlign w:val="center"/>
          </w:tcPr>
          <w:p w14:paraId="492869AE">
            <w:pPr>
              <w:jc w:val="center"/>
              <w:rPr>
                <w:rFonts w:hint="eastAsia" w:ascii="宋体" w:hAnsi="宋体" w:eastAsia="宋体" w:cs="宋体"/>
                <w:color w:val="auto"/>
                <w:szCs w:val="21"/>
                <w:lang w:eastAsia="zh-CN"/>
              </w:rPr>
            </w:pPr>
            <w:r>
              <w:rPr>
                <w:rFonts w:hint="eastAsia" w:hAnsi="宋体" w:cs="宋体"/>
                <w:color w:val="auto"/>
                <w:szCs w:val="21"/>
                <w:lang w:eastAsia="zh-CN"/>
              </w:rPr>
              <w:t>同类工程</w:t>
            </w:r>
            <w:r>
              <w:rPr>
                <w:rFonts w:hint="eastAsia" w:hAnsi="宋体" w:cs="宋体"/>
                <w:color w:val="auto"/>
                <w:szCs w:val="21"/>
                <w:lang w:val="en-US" w:eastAsia="zh-CN"/>
              </w:rPr>
              <w:t>经验（</w:t>
            </w:r>
            <w:r>
              <w:rPr>
                <w:rFonts w:hint="eastAsia" w:hAnsi="宋体" w:cs="宋体"/>
                <w:color w:val="auto"/>
                <w:szCs w:val="21"/>
                <w:lang w:eastAsia="zh-CN"/>
              </w:rPr>
              <w:t>业绩）及获奖情况</w:t>
            </w:r>
          </w:p>
        </w:tc>
        <w:tc>
          <w:tcPr>
            <w:tcW w:w="3810" w:type="dxa"/>
            <w:noWrap w:val="0"/>
            <w:vAlign w:val="top"/>
          </w:tcPr>
          <w:p w14:paraId="1FD792F3">
            <w:pPr>
              <w:jc w:val="left"/>
              <w:rPr>
                <w:rFonts w:ascii="宋体" w:hAnsi="宋体" w:cs="宋体"/>
                <w:color w:val="auto"/>
                <w:szCs w:val="21"/>
              </w:rPr>
            </w:pPr>
            <w:r>
              <w:rPr>
                <w:rFonts w:hint="eastAsia" w:ascii="宋体" w:hAnsi="宋体" w:cs="宋体"/>
                <w:color w:val="auto"/>
                <w:szCs w:val="21"/>
              </w:rPr>
              <w:t>（1）项目名称：</w:t>
            </w:r>
          </w:p>
          <w:p w14:paraId="05254B90">
            <w:pPr>
              <w:jc w:val="left"/>
              <w:rPr>
                <w:rFonts w:ascii="宋体" w:hAnsi="宋体" w:cs="宋体"/>
                <w:color w:val="auto"/>
                <w:szCs w:val="21"/>
              </w:rPr>
            </w:pPr>
            <w:r>
              <w:rPr>
                <w:rFonts w:hint="eastAsia" w:ascii="宋体" w:hAnsi="宋体" w:cs="宋体"/>
                <w:color w:val="auto"/>
                <w:szCs w:val="21"/>
              </w:rPr>
              <w:t xml:space="preserve">项目概况：                </w:t>
            </w:r>
          </w:p>
          <w:p w14:paraId="26F67921">
            <w:pPr>
              <w:jc w:val="left"/>
              <w:rPr>
                <w:rFonts w:hint="eastAsia" w:ascii="宋体" w:hAnsi="宋体" w:cs="宋体"/>
                <w:color w:val="auto"/>
                <w:szCs w:val="21"/>
                <w:highlight w:val="none"/>
              </w:rPr>
            </w:pPr>
            <w:r>
              <w:rPr>
                <w:rFonts w:hint="eastAsia" w:ascii="宋体" w:hAnsi="宋体" w:cs="宋体"/>
                <w:color w:val="auto"/>
                <w:szCs w:val="21"/>
              </w:rPr>
              <w:t xml:space="preserve">合同价： </w:t>
            </w:r>
          </w:p>
          <w:p w14:paraId="16F0E67E">
            <w:pPr>
              <w:pStyle w:val="6"/>
              <w:ind w:left="0" w:leftChars="0" w:firstLine="0" w:firstLineChars="0"/>
              <w:rPr>
                <w:rFonts w:hint="eastAsia" w:eastAsia="宋体"/>
                <w:color w:val="auto"/>
                <w:highlight w:val="none"/>
                <w:lang w:eastAsia="zh-CN"/>
              </w:rPr>
            </w:pPr>
            <w:r>
              <w:rPr>
                <w:rFonts w:hAnsi="宋体" w:cs="宋体"/>
                <w:color w:val="auto"/>
                <w:szCs w:val="21"/>
                <w:highlight w:val="none"/>
              </w:rPr>
              <w:t>合同签订时间</w:t>
            </w:r>
            <w:r>
              <w:rPr>
                <w:rFonts w:hint="eastAsia" w:hAnsi="宋体" w:cs="宋体"/>
                <w:color w:val="auto"/>
                <w:szCs w:val="21"/>
                <w:highlight w:val="none"/>
                <w:lang w:eastAsia="zh-CN"/>
              </w:rPr>
              <w:t>：</w:t>
            </w:r>
          </w:p>
          <w:p w14:paraId="1AF1D601">
            <w:pPr>
              <w:jc w:val="left"/>
              <w:rPr>
                <w:rFonts w:ascii="宋体" w:hAnsi="宋体" w:cs="宋体"/>
                <w:color w:val="auto"/>
                <w:highlight w:val="none"/>
              </w:rPr>
            </w:pPr>
            <w:r>
              <w:rPr>
                <w:rFonts w:hint="eastAsia" w:ascii="宋体" w:hAnsi="宋体" w:cs="宋体"/>
                <w:color w:val="auto"/>
                <w:szCs w:val="21"/>
                <w:highlight w:val="none"/>
              </w:rPr>
              <w:t xml:space="preserve">竣工验收报告时间：          </w:t>
            </w:r>
          </w:p>
          <w:p w14:paraId="576CCB86">
            <w:pPr>
              <w:jc w:val="left"/>
              <w:rPr>
                <w:rFonts w:hint="eastAsia" w:ascii="宋体" w:hAnsi="宋体" w:cs="宋体"/>
                <w:color w:val="auto"/>
                <w:szCs w:val="21"/>
                <w:highlight w:val="none"/>
              </w:rPr>
            </w:pPr>
            <w:r>
              <w:rPr>
                <w:rFonts w:hint="eastAsia" w:ascii="宋体" w:hAnsi="宋体" w:cs="宋体"/>
                <w:color w:val="auto"/>
                <w:szCs w:val="21"/>
                <w:highlight w:val="none"/>
              </w:rPr>
              <w:t>……</w:t>
            </w:r>
          </w:p>
          <w:p w14:paraId="67A3A00A">
            <w:pPr>
              <w:jc w:val="left"/>
              <w:rPr>
                <w:color w:val="auto"/>
                <w:highlight w:val="none"/>
              </w:rPr>
            </w:pPr>
            <w:r>
              <w:rPr>
                <w:rFonts w:hint="eastAsia"/>
                <w:color w:val="auto"/>
                <w:highlight w:val="none"/>
              </w:rPr>
              <w:t>（</w:t>
            </w:r>
            <w:r>
              <w:rPr>
                <w:rFonts w:hint="eastAsia"/>
                <w:color w:val="auto"/>
                <w:highlight w:val="none"/>
                <w:lang w:val="en-US" w:eastAsia="zh-CN"/>
              </w:rPr>
              <w:t>2</w:t>
            </w:r>
            <w:r>
              <w:rPr>
                <w:rFonts w:hint="eastAsia"/>
                <w:color w:val="auto"/>
                <w:highlight w:val="none"/>
              </w:rPr>
              <w:t>）奖项名称：</w:t>
            </w:r>
          </w:p>
          <w:p w14:paraId="12AFF4F2">
            <w:pPr>
              <w:jc w:val="left"/>
              <w:rPr>
                <w:color w:val="auto"/>
              </w:rPr>
            </w:pPr>
            <w:r>
              <w:rPr>
                <w:rFonts w:hint="eastAsia"/>
                <w:color w:val="auto"/>
              </w:rPr>
              <w:t>获奖</w:t>
            </w:r>
            <w:r>
              <w:rPr>
                <w:rFonts w:hint="eastAsia"/>
                <w:color w:val="auto"/>
                <w:lang w:val="en-US" w:eastAsia="zh-CN"/>
              </w:rPr>
              <w:t>的</w:t>
            </w:r>
            <w:r>
              <w:rPr>
                <w:rFonts w:hint="eastAsia"/>
                <w:color w:val="auto"/>
              </w:rPr>
              <w:t>项目名称：</w:t>
            </w:r>
          </w:p>
          <w:p w14:paraId="1C31B6E6">
            <w:pPr>
              <w:jc w:val="left"/>
              <w:rPr>
                <w:rFonts w:hint="eastAsia"/>
                <w:color w:val="auto"/>
              </w:rPr>
            </w:pPr>
            <w:bookmarkStart w:id="2661" w:name="_GoBack"/>
            <w:bookmarkEnd w:id="2661"/>
            <w:r>
              <w:rPr>
                <w:rFonts w:hint="eastAsia"/>
                <w:color w:val="auto"/>
              </w:rPr>
              <w:t>获奖时间：</w:t>
            </w:r>
          </w:p>
          <w:p w14:paraId="0E7EEBF4">
            <w:pPr>
              <w:pStyle w:val="6"/>
              <w:ind w:left="0" w:leftChars="0" w:firstLine="0" w:firstLineChars="0"/>
              <w:rPr>
                <w:rFonts w:hint="default" w:eastAsia="宋体"/>
                <w:color w:val="auto"/>
                <w:lang w:val="en-US" w:eastAsia="zh-CN"/>
              </w:rPr>
            </w:pPr>
            <w:r>
              <w:rPr>
                <w:rFonts w:hint="eastAsia"/>
                <w:color w:val="auto"/>
                <w:lang w:val="en-US" w:eastAsia="zh-CN"/>
              </w:rPr>
              <w:t>奖项颁发部门：</w:t>
            </w:r>
          </w:p>
          <w:p w14:paraId="22DBD1D6">
            <w:pPr>
              <w:pStyle w:val="5"/>
              <w:rPr>
                <w:color w:val="auto"/>
              </w:rPr>
            </w:pPr>
            <w:r>
              <w:rPr>
                <w:rFonts w:hint="eastAsia" w:ascii="宋体" w:hAnsi="宋体" w:cs="宋体"/>
                <w:color w:val="auto"/>
                <w:szCs w:val="21"/>
              </w:rPr>
              <w:t>……</w:t>
            </w:r>
          </w:p>
        </w:tc>
        <w:tc>
          <w:tcPr>
            <w:tcW w:w="1890" w:type="dxa"/>
            <w:noWrap w:val="0"/>
            <w:vAlign w:val="top"/>
          </w:tcPr>
          <w:p w14:paraId="12CCADC1">
            <w:pPr>
              <w:jc w:val="left"/>
              <w:rPr>
                <w:rFonts w:ascii="宋体" w:hAnsi="宋体" w:cs="宋体"/>
                <w:color w:val="auto"/>
                <w:szCs w:val="21"/>
              </w:rPr>
            </w:pPr>
          </w:p>
        </w:tc>
      </w:tr>
      <w:tr w14:paraId="56891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729" w:type="dxa"/>
            <w:noWrap w:val="0"/>
            <w:vAlign w:val="center"/>
          </w:tcPr>
          <w:p w14:paraId="21E3EAC7">
            <w:pPr>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5</w:t>
            </w:r>
          </w:p>
        </w:tc>
        <w:tc>
          <w:tcPr>
            <w:tcW w:w="3184" w:type="dxa"/>
            <w:gridSpan w:val="2"/>
            <w:noWrap w:val="0"/>
            <w:vAlign w:val="center"/>
          </w:tcPr>
          <w:p w14:paraId="68AC388E">
            <w:pPr>
              <w:jc w:val="center"/>
              <w:rPr>
                <w:rFonts w:hint="eastAsia" w:ascii="宋体" w:hAnsi="宋体" w:cs="宋体"/>
                <w:color w:val="auto"/>
                <w:szCs w:val="21"/>
              </w:rPr>
            </w:pPr>
            <w:r>
              <w:rPr>
                <w:rFonts w:hint="eastAsia" w:ascii="宋体" w:hAnsi="宋体" w:cs="宋体"/>
                <w:color w:val="auto"/>
                <w:szCs w:val="21"/>
                <w:lang w:val="en-US" w:eastAsia="zh-CN"/>
              </w:rPr>
              <w:t>工期及施工保障方案</w:t>
            </w:r>
          </w:p>
        </w:tc>
        <w:tc>
          <w:tcPr>
            <w:tcW w:w="3810" w:type="dxa"/>
            <w:noWrap w:val="0"/>
            <w:vAlign w:val="top"/>
          </w:tcPr>
          <w:p w14:paraId="62C2F017">
            <w:pPr>
              <w:jc w:val="left"/>
              <w:rPr>
                <w:rFonts w:hint="eastAsia" w:ascii="宋体" w:hAnsi="宋体" w:cs="宋体"/>
                <w:color w:val="auto"/>
                <w:szCs w:val="21"/>
              </w:rPr>
            </w:pPr>
          </w:p>
        </w:tc>
        <w:tc>
          <w:tcPr>
            <w:tcW w:w="1890" w:type="dxa"/>
            <w:noWrap w:val="0"/>
            <w:vAlign w:val="top"/>
          </w:tcPr>
          <w:p w14:paraId="055314BA">
            <w:pPr>
              <w:jc w:val="left"/>
              <w:rPr>
                <w:rFonts w:ascii="宋体" w:hAnsi="宋体" w:cs="宋体"/>
                <w:color w:val="auto"/>
                <w:szCs w:val="21"/>
              </w:rPr>
            </w:pPr>
          </w:p>
        </w:tc>
      </w:tr>
      <w:tr w14:paraId="1F108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729" w:type="dxa"/>
            <w:noWrap w:val="0"/>
            <w:vAlign w:val="center"/>
          </w:tcPr>
          <w:p w14:paraId="3D86F0BB">
            <w:pPr>
              <w:jc w:val="center"/>
              <w:rPr>
                <w:rFonts w:hint="eastAsia" w:ascii="宋体" w:hAnsi="宋体" w:eastAsia="宋体" w:cs="宋体"/>
                <w:color w:val="auto"/>
                <w:kern w:val="2"/>
                <w:sz w:val="21"/>
                <w:szCs w:val="21"/>
                <w:lang w:val="en-US" w:eastAsia="zh-CN" w:bidi="ar-SA"/>
              </w:rPr>
            </w:pPr>
            <w:r>
              <w:rPr>
                <w:rFonts w:hint="eastAsia" w:ascii="宋体" w:hAnsi="宋体" w:cs="宋体"/>
                <w:color w:val="auto"/>
                <w:szCs w:val="21"/>
                <w:lang w:val="en-US" w:eastAsia="zh-CN"/>
              </w:rPr>
              <w:t>6</w:t>
            </w:r>
          </w:p>
        </w:tc>
        <w:tc>
          <w:tcPr>
            <w:tcW w:w="3184" w:type="dxa"/>
            <w:gridSpan w:val="2"/>
            <w:noWrap w:val="0"/>
            <w:vAlign w:val="center"/>
          </w:tcPr>
          <w:p w14:paraId="242102A5">
            <w:pPr>
              <w:jc w:val="center"/>
              <w:rPr>
                <w:rFonts w:hint="default" w:ascii="宋体" w:hAnsi="宋体" w:eastAsia="宋体" w:cs="宋体"/>
                <w:color w:val="auto"/>
                <w:kern w:val="2"/>
                <w:sz w:val="21"/>
                <w:szCs w:val="21"/>
                <w:lang w:val="en-US" w:eastAsia="zh-CN" w:bidi="ar-SA"/>
              </w:rPr>
            </w:pPr>
            <w:r>
              <w:rPr>
                <w:rFonts w:hint="eastAsia" w:ascii="宋体" w:hAnsi="宋体" w:cs="宋体"/>
                <w:color w:val="auto"/>
                <w:szCs w:val="21"/>
                <w:lang w:val="en-US" w:eastAsia="zh-CN"/>
              </w:rPr>
              <w:t>项目业主履约评价</w:t>
            </w:r>
          </w:p>
        </w:tc>
        <w:tc>
          <w:tcPr>
            <w:tcW w:w="3810" w:type="dxa"/>
            <w:noWrap w:val="0"/>
            <w:vAlign w:val="top"/>
          </w:tcPr>
          <w:p w14:paraId="309937FD">
            <w:pPr>
              <w:jc w:val="left"/>
              <w:rPr>
                <w:rFonts w:hint="default" w:ascii="宋体" w:hAnsi="宋体" w:eastAsia="宋体" w:cs="宋体"/>
                <w:color w:val="auto"/>
                <w:kern w:val="2"/>
                <w:sz w:val="21"/>
                <w:szCs w:val="21"/>
                <w:lang w:val="en-US" w:eastAsia="zh-CN" w:bidi="ar-SA"/>
              </w:rPr>
            </w:pPr>
          </w:p>
        </w:tc>
        <w:tc>
          <w:tcPr>
            <w:tcW w:w="1890" w:type="dxa"/>
            <w:noWrap w:val="0"/>
            <w:vAlign w:val="top"/>
          </w:tcPr>
          <w:p w14:paraId="01D6599D">
            <w:pPr>
              <w:jc w:val="left"/>
              <w:rPr>
                <w:rFonts w:ascii="宋体" w:hAnsi="宋体" w:eastAsia="宋体" w:cs="宋体"/>
                <w:color w:val="auto"/>
                <w:kern w:val="2"/>
                <w:sz w:val="21"/>
                <w:szCs w:val="21"/>
                <w:lang w:val="en-US" w:eastAsia="zh-CN" w:bidi="ar-SA"/>
              </w:rPr>
            </w:pPr>
          </w:p>
        </w:tc>
      </w:tr>
    </w:tbl>
    <w:p w14:paraId="27BFD7F4">
      <w:pPr>
        <w:rPr>
          <w:rFonts w:hint="eastAsia" w:ascii="宋体" w:hAnsi="宋体"/>
          <w:b/>
          <w:color w:val="auto"/>
          <w:kern w:val="0"/>
          <w:szCs w:val="21"/>
        </w:rPr>
      </w:pPr>
    </w:p>
    <w:p w14:paraId="77F59D58">
      <w:pPr>
        <w:tabs>
          <w:tab w:val="left" w:pos="9354"/>
        </w:tabs>
        <w:spacing w:line="360" w:lineRule="auto"/>
        <w:ind w:right="-2" w:firstLine="422" w:firstLineChars="200"/>
        <w:jc w:val="left"/>
        <w:rPr>
          <w:rFonts w:hint="eastAsia" w:ascii="宋体" w:hAnsi="宋体"/>
          <w:color w:val="auto"/>
          <w:szCs w:val="21"/>
          <w:highlight w:val="none"/>
        </w:rPr>
      </w:pPr>
      <w:r>
        <w:rPr>
          <w:rFonts w:hint="eastAsia" w:ascii="宋体" w:hAnsi="宋体"/>
          <w:b/>
          <w:color w:val="auto"/>
          <w:kern w:val="0"/>
          <w:szCs w:val="21"/>
        </w:rPr>
        <w:t>注：</w:t>
      </w:r>
      <w:r>
        <w:rPr>
          <w:rFonts w:hint="eastAsia" w:ascii="宋体" w:hAnsi="宋体" w:cs="宋体"/>
          <w:color w:val="auto"/>
          <w:szCs w:val="21"/>
        </w:rPr>
        <w:t>具体要求参照《资信要素一览表》</w:t>
      </w:r>
      <w:r>
        <w:rPr>
          <w:rFonts w:hint="eastAsia" w:ascii="宋体" w:hAnsi="宋体"/>
          <w:bCs/>
          <w:color w:val="auto"/>
          <w:kern w:val="0"/>
          <w:szCs w:val="21"/>
        </w:rPr>
        <w:t>中的有关要求或说明</w:t>
      </w:r>
      <w:r>
        <w:rPr>
          <w:rFonts w:hint="eastAsia" w:ascii="宋体" w:hAnsi="宋体" w:cs="宋体"/>
          <w:color w:val="auto"/>
          <w:szCs w:val="21"/>
        </w:rPr>
        <w:t>，要求提供的证明材料在《投标人资信情况汇总表》后附；未按要求填写及提供相关证明材料的或填写内容不清晰、不明确、难以分辨的，清标、定标时将不予认可。此项不作为废标条款。</w:t>
      </w:r>
      <w:permEnd w:id="198"/>
    </w:p>
    <w:bookmarkEnd w:id="2600"/>
    <w:bookmarkEnd w:id="2601"/>
    <w:bookmarkEnd w:id="2616"/>
    <w:bookmarkEnd w:id="2617"/>
    <w:bookmarkEnd w:id="2618"/>
    <w:bookmarkEnd w:id="2619"/>
    <w:bookmarkEnd w:id="2620"/>
    <w:bookmarkEnd w:id="2621"/>
    <w:bookmarkEnd w:id="2622"/>
    <w:bookmarkEnd w:id="2623"/>
    <w:p w14:paraId="5E03EA94">
      <w:pPr>
        <w:tabs>
          <w:tab w:val="left" w:pos="9354"/>
        </w:tabs>
        <w:spacing w:line="360" w:lineRule="auto"/>
        <w:ind w:right="-2"/>
        <w:jc w:val="center"/>
        <w:rPr>
          <w:rFonts w:hint="eastAsia" w:ascii="宋体" w:hAnsi="宋体" w:eastAsia="宋体" w:cs="宋体"/>
          <w:color w:val="auto"/>
          <w:highlight w:val="none"/>
        </w:rPr>
      </w:pPr>
      <w:bookmarkStart w:id="2624" w:name="_Toc1944559865"/>
      <w:bookmarkStart w:id="2625" w:name="_Toc585193586"/>
      <w:bookmarkStart w:id="2626" w:name="_Toc307348516"/>
      <w:bookmarkStart w:id="2627" w:name="_Toc507986081"/>
      <w:bookmarkStart w:id="2628" w:name="_Toc734672864_WPSOffice_Level1"/>
      <w:bookmarkStart w:id="2629" w:name="_Toc931010740"/>
      <w:bookmarkStart w:id="2630" w:name="_Toc2063027084"/>
      <w:bookmarkStart w:id="2631" w:name="_Toc363820530"/>
      <w:bookmarkStart w:id="2632" w:name="_Toc2087663094"/>
      <w:bookmarkStart w:id="2633" w:name="_Toc967251208"/>
      <w:bookmarkStart w:id="2634" w:name="_Toc1739028580"/>
      <w:bookmarkStart w:id="2635" w:name="_Toc2010061449"/>
      <w:bookmarkStart w:id="2636" w:name="_Toc1852650702"/>
      <w:bookmarkStart w:id="2637" w:name="_Toc896042718"/>
      <w:bookmarkStart w:id="2638" w:name="_Toc358651349"/>
      <w:bookmarkStart w:id="2639" w:name="_Toc1935011398"/>
      <w:bookmarkStart w:id="2640" w:name="_Toc1491307641"/>
      <w:bookmarkStart w:id="2641" w:name="_Toc804784327"/>
      <w:bookmarkStart w:id="2642" w:name="_Toc459755006"/>
      <w:bookmarkStart w:id="2643" w:name="_Toc1495058614"/>
      <w:bookmarkStart w:id="2644" w:name="_Toc206744371"/>
      <w:bookmarkStart w:id="2645" w:name="_Toc1021516275"/>
      <w:bookmarkStart w:id="2646" w:name="_Toc459466690"/>
      <w:bookmarkStart w:id="2647" w:name="_Toc1581720163_WPSOffice_Level1"/>
      <w:bookmarkStart w:id="2648" w:name="_Toc477885053"/>
      <w:bookmarkStart w:id="2649" w:name="_Toc674496577"/>
      <w:bookmarkStart w:id="2650" w:name="_Toc45538663"/>
      <w:bookmarkStart w:id="2651" w:name="_Toc1592052326"/>
      <w:bookmarkStart w:id="2652" w:name="_Toc198660781"/>
      <w:r>
        <w:rPr>
          <w:rFonts w:hint="eastAsia" w:ascii="宋体" w:hAnsi="宋体"/>
          <w:color w:val="auto"/>
          <w:szCs w:val="21"/>
          <w:highlight w:val="none"/>
        </w:rPr>
        <w:br w:type="page"/>
      </w:r>
      <w:bookmarkStart w:id="2653" w:name="_Toc1930917640"/>
      <w:bookmarkStart w:id="2654" w:name="_Toc113"/>
      <w:bookmarkStart w:id="2655" w:name="_Toc1932803409"/>
      <w:bookmarkStart w:id="2656" w:name="_Toc897355537"/>
      <w:bookmarkStart w:id="2657" w:name="_Toc227079779"/>
      <w:bookmarkStart w:id="2658" w:name="_Toc1093462872"/>
      <w:bookmarkStart w:id="2659" w:name="_Toc911776337"/>
      <w:bookmarkStart w:id="2660" w:name="_Toc1407228154"/>
      <w:r>
        <w:rPr>
          <w:rStyle w:val="36"/>
          <w:rFonts w:hint="eastAsia"/>
          <w:color w:val="auto"/>
          <w:highlight w:val="none"/>
          <w:lang w:val="en-US" w:eastAsia="zh-CN"/>
        </w:rPr>
        <w:t>第九章 招标人对招标文件范本条款的修改</w:t>
      </w:r>
      <w:bookmarkEnd w:id="2602"/>
      <w:bookmarkEnd w:id="2603"/>
      <w:bookmarkEnd w:id="2604"/>
      <w:bookmarkEnd w:id="2605"/>
      <w:bookmarkEnd w:id="2606"/>
      <w:bookmarkEnd w:id="2607"/>
      <w:bookmarkEnd w:id="2608"/>
      <w:bookmarkEnd w:id="2609"/>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14:paraId="5C60E620">
      <w:pPr>
        <w:tabs>
          <w:tab w:val="left" w:pos="6635"/>
        </w:tabs>
        <w:spacing w:line="360" w:lineRule="auto"/>
        <w:ind w:firstLine="57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声明：根据项目需要，招标人对《</w:t>
      </w:r>
      <w:r>
        <w:rPr>
          <w:rFonts w:hint="eastAsia" w:ascii="宋体" w:hAnsi="宋体" w:eastAsia="宋体" w:cs="宋体"/>
          <w:b/>
          <w:bCs/>
          <w:color w:val="auto"/>
          <w:sz w:val="24"/>
          <w:highlight w:val="none"/>
          <w:lang w:eastAsia="zh-CN"/>
        </w:rPr>
        <w:t>施工</w:t>
      </w:r>
      <w:r>
        <w:rPr>
          <w:rFonts w:hint="eastAsia" w:ascii="宋体" w:hAnsi="宋体" w:eastAsia="宋体" w:cs="宋体"/>
          <w:b/>
          <w:bCs/>
          <w:color w:val="auto"/>
          <w:sz w:val="24"/>
          <w:highlight w:val="none"/>
        </w:rPr>
        <w:t>招标文件》作了修改，与范本条款不同之处，均在本章中列明，并以本章为准，原文不再有效。</w:t>
      </w:r>
    </w:p>
    <w:p w14:paraId="2D0F8E63">
      <w:pPr>
        <w:spacing w:line="480" w:lineRule="auto"/>
        <w:rPr>
          <w:b/>
          <w:color w:val="auto"/>
          <w:szCs w:val="21"/>
          <w:highlight w:val="none"/>
        </w:rPr>
      </w:pPr>
      <w:permStart w:id="199" w:edGrp="everyone"/>
      <w:r>
        <w:rPr>
          <w:rFonts w:hint="eastAsia"/>
          <w:b/>
          <w:color w:val="auto"/>
          <w:szCs w:val="21"/>
          <w:highlight w:val="none"/>
          <w:lang w:val="en-US" w:eastAsia="zh-CN"/>
        </w:rPr>
        <w:t>1</w:t>
      </w:r>
      <w:r>
        <w:rPr>
          <w:rFonts w:hint="eastAsia"/>
          <w:b/>
          <w:color w:val="auto"/>
          <w:szCs w:val="21"/>
          <w:highlight w:val="none"/>
        </w:rPr>
        <w:t>.1 章节条款号：第二章 投标人须知</w:t>
      </w:r>
      <w:r>
        <w:rPr>
          <w:rFonts w:hint="eastAsia"/>
          <w:b/>
          <w:color w:val="auto"/>
          <w:szCs w:val="21"/>
          <w:highlight w:val="none"/>
          <w:lang w:val="en-US" w:eastAsia="zh-CN"/>
        </w:rPr>
        <w:t>/</w:t>
      </w:r>
      <w:r>
        <w:rPr>
          <w:rFonts w:hint="eastAsia"/>
          <w:b/>
          <w:color w:val="auto"/>
          <w:szCs w:val="21"/>
          <w:highlight w:val="none"/>
        </w:rPr>
        <w:t>（一）投标人须知前附表</w:t>
      </w:r>
      <w:r>
        <w:rPr>
          <w:rFonts w:hint="eastAsia"/>
          <w:b/>
          <w:color w:val="auto"/>
          <w:szCs w:val="21"/>
          <w:highlight w:val="none"/>
          <w:lang w:val="en-US" w:eastAsia="zh-CN"/>
        </w:rPr>
        <w:t>/</w:t>
      </w:r>
      <w:r>
        <w:rPr>
          <w:rFonts w:hint="eastAsia"/>
          <w:b/>
          <w:color w:val="auto"/>
          <w:szCs w:val="21"/>
          <w:highlight w:val="none"/>
        </w:rPr>
        <w:t>增加条款</w:t>
      </w:r>
      <w:r>
        <w:rPr>
          <w:rFonts w:hint="eastAsia"/>
          <w:b/>
          <w:color w:val="auto"/>
          <w:szCs w:val="21"/>
          <w:highlight w:val="none"/>
          <w:lang w:val="en-US" w:eastAsia="zh-CN"/>
        </w:rPr>
        <w:t>14.7其他</w:t>
      </w:r>
      <w:r>
        <w:rPr>
          <w:b/>
          <w:color w:val="auto"/>
          <w:szCs w:val="21"/>
          <w:highlight w:val="none"/>
        </w:rPr>
        <w:t xml:space="preserve">    </w:t>
      </w:r>
    </w:p>
    <w:p w14:paraId="1CDBE28C">
      <w:pPr>
        <w:pStyle w:val="5"/>
        <w:ind w:firstLine="422" w:firstLineChars="200"/>
        <w:rPr>
          <w:rFonts w:hint="eastAsia"/>
          <w:b/>
          <w:color w:val="auto"/>
          <w:szCs w:val="21"/>
          <w:highlight w:val="none"/>
        </w:rPr>
      </w:pPr>
      <w:r>
        <w:rPr>
          <w:rFonts w:hint="eastAsia"/>
          <w:b/>
          <w:color w:val="auto"/>
          <w:szCs w:val="21"/>
          <w:highlight w:val="none"/>
        </w:rPr>
        <w:t>现文：</w:t>
      </w:r>
    </w:p>
    <w:tbl>
      <w:tblPr>
        <w:tblStyle w:val="26"/>
        <w:tblW w:w="4993"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893"/>
        <w:gridCol w:w="7929"/>
      </w:tblGrid>
      <w:tr w14:paraId="0FA0F6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85" w:type="pct"/>
            <w:vMerge w:val="restart"/>
            <w:tcBorders>
              <w:tl2br w:val="nil"/>
              <w:tr2bl w:val="nil"/>
            </w:tcBorders>
            <w:noWrap w:val="0"/>
            <w:vAlign w:val="center"/>
          </w:tcPr>
          <w:p w14:paraId="35A30B03">
            <w:pPr>
              <w:jc w:val="center"/>
              <w:rPr>
                <w:rFonts w:hint="default" w:ascii="宋体" w:hAnsi="宋体" w:eastAsia="宋体"/>
                <w:color w:val="auto"/>
                <w:kern w:val="2"/>
                <w:sz w:val="21"/>
                <w:szCs w:val="21"/>
                <w:lang w:val="en-US" w:eastAsia="zh-CN" w:bidi="ar-SA"/>
              </w:rPr>
            </w:pPr>
            <w:r>
              <w:rPr>
                <w:rFonts w:hint="eastAsia" w:ascii="宋体" w:hAnsi="宋体" w:eastAsia="宋体"/>
                <w:color w:val="auto"/>
                <w:kern w:val="2"/>
                <w:sz w:val="21"/>
                <w:szCs w:val="21"/>
                <w:lang w:val="en-US" w:eastAsia="zh-CN" w:bidi="ar-SA"/>
              </w:rPr>
              <w:t>14.7</w:t>
            </w:r>
          </w:p>
        </w:tc>
        <w:tc>
          <w:tcPr>
            <w:tcW w:w="467" w:type="pct"/>
            <w:vMerge w:val="restart"/>
            <w:tcBorders>
              <w:tl2br w:val="nil"/>
              <w:tr2bl w:val="nil"/>
            </w:tcBorders>
            <w:noWrap w:val="0"/>
            <w:vAlign w:val="center"/>
          </w:tcPr>
          <w:p w14:paraId="4851A6B6">
            <w:pPr>
              <w:keepNext w:val="0"/>
              <w:keepLines w:val="0"/>
              <w:pageBreakBefore w:val="0"/>
              <w:widowControl w:val="0"/>
              <w:kinsoku/>
              <w:wordWrap/>
              <w:overflowPunct/>
              <w:topLinePunct w:val="0"/>
              <w:autoSpaceDN/>
              <w:bidi w:val="0"/>
              <w:adjustRightInd/>
              <w:snapToGrid/>
              <w:spacing w:line="360" w:lineRule="auto"/>
              <w:jc w:val="center"/>
              <w:textAlignment w:val="auto"/>
              <w:rPr>
                <w:rFonts w:hint="default" w:ascii="宋体" w:hAnsi="宋体"/>
                <w:color w:val="auto"/>
                <w:szCs w:val="21"/>
                <w:lang w:val="en-US" w:eastAsia="zh-CN"/>
              </w:rPr>
            </w:pPr>
            <w:r>
              <w:rPr>
                <w:rFonts w:hint="eastAsia" w:ascii="宋体" w:hAnsi="宋体"/>
                <w:color w:val="auto"/>
                <w:szCs w:val="21"/>
                <w:lang w:val="en-US" w:eastAsia="zh-CN"/>
              </w:rPr>
              <w:t>其他</w:t>
            </w:r>
          </w:p>
        </w:tc>
        <w:tc>
          <w:tcPr>
            <w:tcW w:w="4147" w:type="pct"/>
            <w:tcBorders>
              <w:tl2br w:val="nil"/>
              <w:tr2bl w:val="nil"/>
            </w:tcBorders>
            <w:noWrap w:val="0"/>
            <w:vAlign w:val="center"/>
          </w:tcPr>
          <w:p w14:paraId="3E614366">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分包要求：</w:t>
            </w:r>
          </w:p>
          <w:p w14:paraId="53B531A6">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（1）中标人应当按照合同约定履行义务，完成中标项目。中标人不得向他人转让中标项目，也不得将中标项目肢解分别向他人转让。</w:t>
            </w:r>
          </w:p>
          <w:p w14:paraId="4CB3341D">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（2）中标人按照合同约定或者经</w:t>
            </w:r>
            <w:r>
              <w:rPr>
                <w:rFonts w:hint="eastAsia" w:ascii="宋体" w:hAnsi="宋体" w:cs="宋体"/>
                <w:bCs/>
                <w:color w:val="auto"/>
                <w:szCs w:val="21"/>
                <w:highlight w:val="none"/>
                <w:lang w:val="en-US" w:eastAsia="zh-CN" w:bidi="ar"/>
              </w:rPr>
              <w:t>代建单位</w:t>
            </w:r>
            <w:r>
              <w:rPr>
                <w:rFonts w:hint="eastAsia" w:ascii="宋体" w:hAnsi="宋体" w:eastAsia="宋体" w:cs="宋体"/>
                <w:bCs/>
                <w:color w:val="auto"/>
                <w:szCs w:val="21"/>
                <w:highlight w:val="none"/>
                <w:lang w:val="en-US" w:eastAsia="zh-CN" w:bidi="ar"/>
              </w:rPr>
              <w:t>同意，可以将中标项目的部分非主体、非关键性工作分包给他人完成。接受分包的人应当具备相应的资格条件，并不得再次分包。</w:t>
            </w:r>
          </w:p>
          <w:p w14:paraId="6C8633BD">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（3）中标人应当就分包项目向招标人负责，接受分包的人就分包项目承担连带责任。</w:t>
            </w:r>
          </w:p>
          <w:p w14:paraId="285D6E68">
            <w:pPr>
              <w:keepNext w:val="0"/>
              <w:keepLines w:val="0"/>
              <w:pageBreakBefore w:val="0"/>
              <w:widowControl w:val="0"/>
              <w:kinsoku/>
              <w:wordWrap/>
              <w:overflowPunct/>
              <w:topLinePunct w:val="0"/>
              <w:autoSpaceDN/>
              <w:bidi w:val="0"/>
              <w:adjustRightInd/>
              <w:snapToGrid/>
              <w:spacing w:line="360" w:lineRule="auto"/>
              <w:textAlignment w:val="auto"/>
              <w:rPr>
                <w:rFonts w:hint="eastAsia" w:ascii="宋体" w:hAnsi="宋体" w:cs="宋体"/>
                <w:color w:val="auto"/>
                <w:highlight w:val="none"/>
              </w:rPr>
            </w:pPr>
            <w:r>
              <w:rPr>
                <w:rFonts w:hint="eastAsia" w:ascii="宋体" w:hAnsi="宋体" w:eastAsia="宋体" w:cs="宋体"/>
                <w:bCs/>
                <w:color w:val="auto"/>
                <w:szCs w:val="21"/>
                <w:highlight w:val="none"/>
                <w:lang w:val="en-US" w:eastAsia="zh-CN" w:bidi="ar"/>
              </w:rPr>
              <w:t>（4）发包人对承包人分包工程的同意或批准并不免除承包人合同规定的任何责任和义务。</w:t>
            </w:r>
          </w:p>
        </w:tc>
      </w:tr>
      <w:tr w14:paraId="7BA8B8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85" w:type="pct"/>
            <w:vMerge w:val="continue"/>
            <w:tcBorders>
              <w:tl2br w:val="nil"/>
              <w:tr2bl w:val="nil"/>
            </w:tcBorders>
            <w:noWrap w:val="0"/>
            <w:vAlign w:val="center"/>
          </w:tcPr>
          <w:p w14:paraId="7E920D07">
            <w:pPr>
              <w:jc w:val="center"/>
              <w:rPr>
                <w:rFonts w:hint="default" w:ascii="宋体" w:hAnsi="宋体" w:eastAsia="宋体"/>
                <w:color w:val="auto"/>
                <w:kern w:val="2"/>
                <w:sz w:val="21"/>
                <w:szCs w:val="21"/>
                <w:lang w:val="en-US" w:eastAsia="zh-CN" w:bidi="ar-SA"/>
              </w:rPr>
            </w:pPr>
          </w:p>
        </w:tc>
        <w:tc>
          <w:tcPr>
            <w:tcW w:w="467" w:type="pct"/>
            <w:vMerge w:val="continue"/>
            <w:tcBorders>
              <w:tl2br w:val="nil"/>
              <w:tr2bl w:val="nil"/>
            </w:tcBorders>
            <w:noWrap w:val="0"/>
            <w:vAlign w:val="center"/>
          </w:tcPr>
          <w:p w14:paraId="3A19735E">
            <w:pPr>
              <w:keepNext w:val="0"/>
              <w:keepLines w:val="0"/>
              <w:pageBreakBefore w:val="0"/>
              <w:widowControl w:val="0"/>
              <w:kinsoku/>
              <w:wordWrap/>
              <w:overflowPunct/>
              <w:topLinePunct w:val="0"/>
              <w:autoSpaceDN/>
              <w:bidi w:val="0"/>
              <w:adjustRightInd/>
              <w:snapToGrid/>
              <w:spacing w:line="360" w:lineRule="auto"/>
              <w:jc w:val="center"/>
              <w:textAlignment w:val="auto"/>
              <w:rPr>
                <w:rFonts w:hint="eastAsia" w:ascii="宋体" w:hAnsi="宋体"/>
                <w:color w:val="auto"/>
                <w:szCs w:val="21"/>
                <w:lang w:val="en-US" w:eastAsia="zh-CN"/>
              </w:rPr>
            </w:pPr>
          </w:p>
        </w:tc>
        <w:tc>
          <w:tcPr>
            <w:tcW w:w="4147" w:type="pct"/>
            <w:tcBorders>
              <w:tl2br w:val="nil"/>
              <w:tr2bl w:val="nil"/>
            </w:tcBorders>
            <w:noWrap w:val="0"/>
            <w:vAlign w:val="center"/>
          </w:tcPr>
          <w:p w14:paraId="79B6D388">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中标人须遵守《中山市房屋市政公用工程文明施工管理实施细则》、《中山市建筑工地扬尘污染防治技术指南（试行）》、《中山市住房和城乡建设局关于建筑工地进一步推广使用装配式围挡的通知》等安全文明施工有关规定，未按规定实施的，招标人有权责令其限期改正，逾期未改正的，可以责令其暂停施工，由此增加的费用和延误的工期由中标人承担。</w:t>
            </w:r>
          </w:p>
        </w:tc>
      </w:tr>
      <w:tr w14:paraId="3497B5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85" w:type="pct"/>
            <w:vMerge w:val="continue"/>
            <w:tcBorders>
              <w:tl2br w:val="nil"/>
              <w:tr2bl w:val="nil"/>
            </w:tcBorders>
            <w:noWrap w:val="0"/>
            <w:vAlign w:val="center"/>
          </w:tcPr>
          <w:p w14:paraId="400A84E8">
            <w:pPr>
              <w:jc w:val="center"/>
              <w:rPr>
                <w:rFonts w:hint="default" w:ascii="宋体" w:hAnsi="宋体"/>
                <w:color w:val="auto"/>
                <w:szCs w:val="21"/>
                <w:lang w:val="en-US" w:eastAsia="zh-CN"/>
              </w:rPr>
            </w:pPr>
          </w:p>
        </w:tc>
        <w:tc>
          <w:tcPr>
            <w:tcW w:w="467" w:type="pct"/>
            <w:vMerge w:val="continue"/>
            <w:tcBorders>
              <w:tl2br w:val="nil"/>
              <w:tr2bl w:val="nil"/>
            </w:tcBorders>
            <w:noWrap w:val="0"/>
            <w:vAlign w:val="center"/>
          </w:tcPr>
          <w:p w14:paraId="1BBBF41C">
            <w:pPr>
              <w:keepNext w:val="0"/>
              <w:keepLines w:val="0"/>
              <w:pageBreakBefore w:val="0"/>
              <w:widowControl w:val="0"/>
              <w:kinsoku/>
              <w:wordWrap/>
              <w:overflowPunct/>
              <w:topLinePunct w:val="0"/>
              <w:autoSpaceDN/>
              <w:bidi w:val="0"/>
              <w:adjustRightInd/>
              <w:snapToGrid/>
              <w:spacing w:line="360" w:lineRule="auto"/>
              <w:jc w:val="center"/>
              <w:textAlignment w:val="auto"/>
              <w:rPr>
                <w:rFonts w:hint="eastAsia" w:ascii="宋体" w:hAnsi="宋体"/>
                <w:color w:val="auto"/>
                <w:szCs w:val="21"/>
                <w:lang w:val="en-US" w:eastAsia="zh-CN"/>
              </w:rPr>
            </w:pPr>
          </w:p>
        </w:tc>
        <w:tc>
          <w:tcPr>
            <w:tcW w:w="4147" w:type="pct"/>
            <w:tcBorders>
              <w:tl2br w:val="nil"/>
              <w:tr2bl w:val="nil"/>
            </w:tcBorders>
            <w:noWrap w:val="0"/>
            <w:vAlign w:val="center"/>
          </w:tcPr>
          <w:p w14:paraId="7E7A8491">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①工人工资专用账户管理约定：总包单位应当在工程施工合同签订之日起30日内开立专用账户，并与建设单位、开户银行签订资金管理三方协议。具体按照《工程建设领域农民工工资专用账户管理暂行办法》（人社部发【2021】53号）执行。</w:t>
            </w:r>
          </w:p>
          <w:p w14:paraId="64E15BCD">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②工人工资保证金缴纳具体按照《保障农民工工资支付条例》、《关于进一步推进我市工程建设领域工人工资保证金管理有关事项的通知》（中人社发【2021】33号）执行，中标人应当按照有关规定存储工资保证金或按要求出具有效保函，专项用于支付为所承包工程提供劳动的农民工被拖欠的工资。</w:t>
            </w:r>
          </w:p>
        </w:tc>
      </w:tr>
      <w:tr w14:paraId="1B0E44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85" w:type="pct"/>
            <w:vMerge w:val="continue"/>
            <w:tcBorders>
              <w:tl2br w:val="nil"/>
              <w:tr2bl w:val="nil"/>
            </w:tcBorders>
            <w:noWrap w:val="0"/>
            <w:vAlign w:val="center"/>
          </w:tcPr>
          <w:p w14:paraId="3535DC00">
            <w:pPr>
              <w:jc w:val="center"/>
              <w:rPr>
                <w:rFonts w:hint="default" w:ascii="宋体" w:hAnsi="宋体"/>
                <w:color w:val="auto"/>
                <w:szCs w:val="21"/>
                <w:lang w:val="en-US" w:eastAsia="zh-CN"/>
              </w:rPr>
            </w:pPr>
          </w:p>
        </w:tc>
        <w:tc>
          <w:tcPr>
            <w:tcW w:w="467" w:type="pct"/>
            <w:vMerge w:val="continue"/>
            <w:tcBorders>
              <w:tl2br w:val="nil"/>
              <w:tr2bl w:val="nil"/>
            </w:tcBorders>
            <w:noWrap w:val="0"/>
            <w:vAlign w:val="center"/>
          </w:tcPr>
          <w:p w14:paraId="2B4989A3">
            <w:pPr>
              <w:keepNext w:val="0"/>
              <w:keepLines w:val="0"/>
              <w:pageBreakBefore w:val="0"/>
              <w:widowControl w:val="0"/>
              <w:kinsoku/>
              <w:wordWrap/>
              <w:overflowPunct/>
              <w:topLinePunct w:val="0"/>
              <w:autoSpaceDN/>
              <w:bidi w:val="0"/>
              <w:adjustRightInd/>
              <w:snapToGrid/>
              <w:spacing w:line="360" w:lineRule="auto"/>
              <w:jc w:val="center"/>
              <w:textAlignment w:val="auto"/>
              <w:rPr>
                <w:rFonts w:hint="eastAsia" w:ascii="宋体" w:hAnsi="宋体"/>
                <w:color w:val="auto"/>
                <w:szCs w:val="21"/>
                <w:lang w:val="en-US" w:eastAsia="zh-CN"/>
              </w:rPr>
            </w:pPr>
          </w:p>
        </w:tc>
        <w:tc>
          <w:tcPr>
            <w:tcW w:w="4147" w:type="pct"/>
            <w:tcBorders>
              <w:tl2br w:val="nil"/>
              <w:tr2bl w:val="nil"/>
            </w:tcBorders>
            <w:noWrap w:val="0"/>
            <w:vAlign w:val="center"/>
          </w:tcPr>
          <w:p w14:paraId="7FF50110">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依据《国家税务总局关于发布〈纳税人跨县（市、区）提供建筑服务增值税征收管理暂行办法〉的公告》（税务总局公告2016年第17号）以及《国家税务总局关于进一步明确营改增有关征管问题的公告》（国家税务总局公告2017年第11号）第三条规定，纳税人跨地市提供建筑服务，应按规定向建筑服务发生地主管税务机关预缴税款，一般纳税人跨地市提供建筑服务，适用一般计税方法计税的，以取得的全部价款和价外费用扣除支付的分包款后的余额，按照2%的预征率计算增值税预缴税款；一般纳税人跨地市提供建筑服务，选择适用简易计税方法计税的，应以取得的全部价款和价外费用扣除支付分包款后的余额为销售额，按照3%预征率计算增值税预缴税款。承包人应严格按照税收政策规定向建筑服务发生地主管税务机关预缴税款，在申请进度款时，承包人须提供在中山市范围内预缴税款的完税凭证及其对应的《增值税及附加税费预缴表》。</w:t>
            </w:r>
          </w:p>
        </w:tc>
      </w:tr>
      <w:tr w14:paraId="33A056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85" w:type="pct"/>
            <w:vMerge w:val="continue"/>
            <w:tcBorders>
              <w:tl2br w:val="nil"/>
              <w:tr2bl w:val="nil"/>
            </w:tcBorders>
            <w:noWrap w:val="0"/>
            <w:vAlign w:val="center"/>
          </w:tcPr>
          <w:p w14:paraId="0B4E95B1">
            <w:pPr>
              <w:jc w:val="center"/>
              <w:rPr>
                <w:rFonts w:hint="default" w:ascii="宋体" w:hAnsi="宋体"/>
                <w:color w:val="auto"/>
                <w:szCs w:val="21"/>
                <w:lang w:val="en-US" w:eastAsia="zh-CN"/>
              </w:rPr>
            </w:pPr>
          </w:p>
        </w:tc>
        <w:tc>
          <w:tcPr>
            <w:tcW w:w="467" w:type="pct"/>
            <w:vMerge w:val="continue"/>
            <w:tcBorders>
              <w:tl2br w:val="nil"/>
              <w:tr2bl w:val="nil"/>
            </w:tcBorders>
            <w:noWrap w:val="0"/>
            <w:vAlign w:val="center"/>
          </w:tcPr>
          <w:p w14:paraId="3551E0D2">
            <w:pPr>
              <w:keepNext w:val="0"/>
              <w:keepLines w:val="0"/>
              <w:pageBreakBefore w:val="0"/>
              <w:widowControl w:val="0"/>
              <w:kinsoku/>
              <w:wordWrap/>
              <w:overflowPunct/>
              <w:topLinePunct w:val="0"/>
              <w:autoSpaceDN/>
              <w:bidi w:val="0"/>
              <w:adjustRightInd/>
              <w:snapToGrid/>
              <w:spacing w:line="360" w:lineRule="auto"/>
              <w:jc w:val="center"/>
              <w:textAlignment w:val="auto"/>
              <w:rPr>
                <w:rFonts w:hint="eastAsia" w:ascii="宋体" w:hAnsi="宋体"/>
                <w:color w:val="auto"/>
                <w:szCs w:val="21"/>
                <w:lang w:val="en-US" w:eastAsia="zh-CN"/>
              </w:rPr>
            </w:pPr>
          </w:p>
        </w:tc>
        <w:tc>
          <w:tcPr>
            <w:tcW w:w="4147" w:type="pct"/>
            <w:tcBorders>
              <w:tl2br w:val="nil"/>
              <w:tr2bl w:val="nil"/>
            </w:tcBorders>
            <w:noWrap w:val="0"/>
            <w:vAlign w:val="center"/>
          </w:tcPr>
          <w:p w14:paraId="39568FEC">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投标人应按照《关于做好我市诚信管理平台建设工程企业资质延期工作的通知》（中建通〔2022〕1号）的要求做好更新诚信平台企业信息工作，如因不及时更新诚信平台企业信息所造成的后果由企业自行承担。</w:t>
            </w:r>
          </w:p>
        </w:tc>
      </w:tr>
      <w:tr w14:paraId="7249A6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85" w:type="pct"/>
            <w:vMerge w:val="continue"/>
            <w:tcBorders>
              <w:tl2br w:val="nil"/>
              <w:tr2bl w:val="nil"/>
            </w:tcBorders>
            <w:noWrap w:val="0"/>
            <w:vAlign w:val="center"/>
          </w:tcPr>
          <w:p w14:paraId="694ECAFF">
            <w:pPr>
              <w:jc w:val="center"/>
              <w:rPr>
                <w:rFonts w:hint="eastAsia" w:ascii="宋体" w:hAnsi="宋体" w:eastAsia="宋体"/>
                <w:color w:val="auto"/>
                <w:kern w:val="2"/>
                <w:sz w:val="21"/>
                <w:szCs w:val="21"/>
                <w:lang w:val="en-US" w:eastAsia="zh-CN" w:bidi="ar-SA"/>
              </w:rPr>
            </w:pPr>
          </w:p>
        </w:tc>
        <w:tc>
          <w:tcPr>
            <w:tcW w:w="467" w:type="pct"/>
            <w:vMerge w:val="continue"/>
            <w:tcBorders>
              <w:tl2br w:val="nil"/>
              <w:tr2bl w:val="nil"/>
            </w:tcBorders>
            <w:noWrap w:val="0"/>
            <w:vAlign w:val="center"/>
          </w:tcPr>
          <w:p w14:paraId="57845D82">
            <w:pPr>
              <w:keepNext w:val="0"/>
              <w:keepLines w:val="0"/>
              <w:pageBreakBefore w:val="0"/>
              <w:widowControl w:val="0"/>
              <w:kinsoku/>
              <w:wordWrap/>
              <w:overflowPunct/>
              <w:topLinePunct w:val="0"/>
              <w:autoSpaceDN/>
              <w:bidi w:val="0"/>
              <w:adjustRightInd/>
              <w:snapToGrid/>
              <w:spacing w:line="360" w:lineRule="auto"/>
              <w:jc w:val="center"/>
              <w:textAlignment w:val="auto"/>
              <w:rPr>
                <w:rFonts w:hint="eastAsia" w:ascii="宋体" w:hAnsi="宋体"/>
                <w:color w:val="auto"/>
                <w:szCs w:val="21"/>
                <w:lang w:val="en-US" w:eastAsia="zh-CN"/>
              </w:rPr>
            </w:pPr>
          </w:p>
        </w:tc>
        <w:tc>
          <w:tcPr>
            <w:tcW w:w="4147" w:type="pct"/>
            <w:tcBorders>
              <w:tl2br w:val="nil"/>
              <w:tr2bl w:val="nil"/>
            </w:tcBorders>
            <w:noWrap w:val="0"/>
            <w:vAlign w:val="center"/>
          </w:tcPr>
          <w:p w14:paraId="067A99C1">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本工程属于</w:t>
            </w:r>
            <w:r>
              <w:rPr>
                <w:rFonts w:hint="eastAsia" w:ascii="宋体" w:hAnsi="宋体" w:cs="宋体"/>
                <w:bCs/>
                <w:color w:val="auto"/>
                <w:szCs w:val="21"/>
                <w:highlight w:val="none"/>
                <w:lang w:val="en-US" w:eastAsia="zh-CN" w:bidi="ar"/>
              </w:rPr>
              <w:t>建筑</w:t>
            </w:r>
            <w:r>
              <w:rPr>
                <w:rFonts w:hint="eastAsia" w:ascii="宋体" w:hAnsi="宋体" w:eastAsia="宋体" w:cs="宋体"/>
                <w:bCs/>
                <w:color w:val="auto"/>
                <w:szCs w:val="21"/>
                <w:highlight w:val="none"/>
                <w:lang w:val="en-US" w:eastAsia="zh-CN" w:bidi="ar"/>
              </w:rPr>
              <w:t>工程，质量、安全监督和施工许可证向中山市坦洲镇城市建设和管理局申报。</w:t>
            </w:r>
          </w:p>
        </w:tc>
      </w:tr>
      <w:tr w14:paraId="75D929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85" w:type="pct"/>
            <w:vMerge w:val="continue"/>
            <w:tcBorders>
              <w:tl2br w:val="nil"/>
              <w:tr2bl w:val="nil"/>
            </w:tcBorders>
            <w:noWrap w:val="0"/>
            <w:vAlign w:val="center"/>
          </w:tcPr>
          <w:p w14:paraId="1F0A6300">
            <w:pPr>
              <w:jc w:val="center"/>
              <w:rPr>
                <w:rFonts w:hint="default" w:ascii="宋体" w:hAnsi="宋体" w:eastAsia="宋体"/>
                <w:color w:val="auto"/>
                <w:kern w:val="2"/>
                <w:sz w:val="21"/>
                <w:szCs w:val="21"/>
                <w:lang w:val="en-US" w:eastAsia="zh-CN" w:bidi="ar-SA"/>
              </w:rPr>
            </w:pPr>
          </w:p>
        </w:tc>
        <w:tc>
          <w:tcPr>
            <w:tcW w:w="467" w:type="pct"/>
            <w:vMerge w:val="continue"/>
            <w:tcBorders>
              <w:tl2br w:val="nil"/>
              <w:tr2bl w:val="nil"/>
            </w:tcBorders>
            <w:noWrap w:val="0"/>
            <w:vAlign w:val="center"/>
          </w:tcPr>
          <w:p w14:paraId="0C0DEF4B">
            <w:pPr>
              <w:keepNext w:val="0"/>
              <w:keepLines w:val="0"/>
              <w:pageBreakBefore w:val="0"/>
              <w:widowControl w:val="0"/>
              <w:kinsoku/>
              <w:wordWrap/>
              <w:overflowPunct/>
              <w:topLinePunct w:val="0"/>
              <w:autoSpaceDN/>
              <w:bidi w:val="0"/>
              <w:adjustRightInd/>
              <w:snapToGrid/>
              <w:spacing w:line="360" w:lineRule="auto"/>
              <w:jc w:val="center"/>
              <w:textAlignment w:val="auto"/>
              <w:rPr>
                <w:rFonts w:hint="eastAsia" w:ascii="宋体" w:hAnsi="宋体"/>
                <w:color w:val="auto"/>
                <w:szCs w:val="21"/>
                <w:lang w:val="en-US" w:eastAsia="zh-CN"/>
              </w:rPr>
            </w:pPr>
          </w:p>
        </w:tc>
        <w:tc>
          <w:tcPr>
            <w:tcW w:w="4147" w:type="pct"/>
            <w:tcBorders>
              <w:tl2br w:val="nil"/>
              <w:tr2bl w:val="nil"/>
            </w:tcBorders>
            <w:noWrap w:val="0"/>
            <w:vAlign w:val="center"/>
          </w:tcPr>
          <w:p w14:paraId="4F65A10A">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 xml:space="preserve">施工单位开工前需编制详细施工组织设计，施工进度计划细化任务，明确具体关键完成节点，约定工期延误扣罚。 </w:t>
            </w:r>
          </w:p>
        </w:tc>
      </w:tr>
      <w:tr w14:paraId="18AFE3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85" w:type="pct"/>
            <w:vMerge w:val="continue"/>
            <w:tcBorders>
              <w:tl2br w:val="nil"/>
              <w:tr2bl w:val="nil"/>
            </w:tcBorders>
            <w:noWrap w:val="0"/>
            <w:vAlign w:val="center"/>
          </w:tcPr>
          <w:p w14:paraId="619A5B6C">
            <w:pPr>
              <w:spacing w:line="360" w:lineRule="auto"/>
              <w:jc w:val="center"/>
              <w:rPr>
                <w:rFonts w:hint="default" w:ascii="宋体" w:hAnsi="宋体" w:eastAsia="宋体" w:cs="宋体"/>
                <w:color w:val="auto"/>
                <w:kern w:val="2"/>
                <w:sz w:val="21"/>
                <w:szCs w:val="21"/>
                <w:lang w:val="en-US" w:eastAsia="zh-CN" w:bidi="ar-SA"/>
              </w:rPr>
            </w:pPr>
          </w:p>
        </w:tc>
        <w:tc>
          <w:tcPr>
            <w:tcW w:w="467" w:type="pct"/>
            <w:vMerge w:val="continue"/>
            <w:tcBorders>
              <w:tl2br w:val="nil"/>
              <w:tr2bl w:val="nil"/>
            </w:tcBorders>
            <w:noWrap w:val="0"/>
            <w:vAlign w:val="center"/>
          </w:tcPr>
          <w:p w14:paraId="145EAC60">
            <w:pPr>
              <w:keepNext w:val="0"/>
              <w:keepLines w:val="0"/>
              <w:pageBreakBefore w:val="0"/>
              <w:widowControl w:val="0"/>
              <w:kinsoku/>
              <w:wordWrap/>
              <w:overflowPunct/>
              <w:topLinePunct w:val="0"/>
              <w:autoSpaceDN/>
              <w:bidi w:val="0"/>
              <w:adjustRightInd/>
              <w:snapToGrid/>
              <w:spacing w:line="360" w:lineRule="auto"/>
              <w:jc w:val="center"/>
              <w:textAlignment w:val="auto"/>
              <w:rPr>
                <w:rFonts w:hint="eastAsia" w:ascii="宋体" w:hAnsi="宋体" w:cs="宋体"/>
                <w:color w:val="auto"/>
                <w:szCs w:val="21"/>
                <w:lang w:val="en-US" w:eastAsia="zh-CN"/>
              </w:rPr>
            </w:pPr>
          </w:p>
        </w:tc>
        <w:tc>
          <w:tcPr>
            <w:tcW w:w="4147" w:type="pct"/>
            <w:tcBorders>
              <w:tl2br w:val="nil"/>
              <w:tr2bl w:val="nil"/>
            </w:tcBorders>
            <w:noWrap w:val="0"/>
            <w:vAlign w:val="center"/>
          </w:tcPr>
          <w:p w14:paraId="7BAD1DBB">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招标代理服务费：</w:t>
            </w:r>
          </w:p>
          <w:p w14:paraId="65DA11A1">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1）中标单位向招标代理机构交纳招标代理服务费，招标代理服务费的收费标准参照《招标代理服务收费管理暂行办法》（国家计委计价格【2002】1980号）和《国家发展改革委关于降低部分建设项目收费标准规范收费行为等有关问题的通知》（发改价格【2011】534号）文件的收费标准，以中标通知书的中标金额作为收费的计算依据，以工程类按差额定率累进法下浮50%计算（若费用超出10万元的，则最高按10万元计取），由中标人在领取中标通知书前一次性支付给招标代理机构。</w:t>
            </w:r>
          </w:p>
          <w:p w14:paraId="4006DB2C">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（2）相关费用应在中标单位领取中标通知书前交纳。投标单位参与本项目投标的，则视为同意本项规定。如中标人需开具增值税专用发票，税费由中标人承担。</w:t>
            </w:r>
          </w:p>
          <w:p w14:paraId="7DBA1E7A">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（3）相关费用不在投标报价中单列，投标单位在报价时自行考虑该笔费用。</w:t>
            </w:r>
          </w:p>
        </w:tc>
      </w:tr>
      <w:tr w14:paraId="6A6C5F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85" w:type="pct"/>
            <w:vMerge w:val="continue"/>
            <w:tcBorders>
              <w:tl2br w:val="nil"/>
              <w:tr2bl w:val="nil"/>
            </w:tcBorders>
            <w:noWrap w:val="0"/>
            <w:vAlign w:val="center"/>
          </w:tcPr>
          <w:p w14:paraId="0013EBF1">
            <w:pPr>
              <w:jc w:val="center"/>
              <w:rPr>
                <w:rFonts w:hint="default" w:ascii="宋体" w:hAnsi="宋体" w:eastAsia="宋体" w:cs="宋体"/>
                <w:color w:val="auto"/>
                <w:kern w:val="2"/>
                <w:sz w:val="21"/>
                <w:szCs w:val="21"/>
                <w:lang w:val="en-US" w:eastAsia="zh-CN" w:bidi="ar-SA"/>
              </w:rPr>
            </w:pPr>
          </w:p>
        </w:tc>
        <w:tc>
          <w:tcPr>
            <w:tcW w:w="467" w:type="pct"/>
            <w:vMerge w:val="continue"/>
            <w:tcBorders>
              <w:tl2br w:val="nil"/>
              <w:tr2bl w:val="nil"/>
            </w:tcBorders>
            <w:noWrap w:val="0"/>
            <w:vAlign w:val="center"/>
          </w:tcPr>
          <w:p w14:paraId="38FADE66">
            <w:pPr>
              <w:keepNext w:val="0"/>
              <w:keepLines w:val="0"/>
              <w:pageBreakBefore w:val="0"/>
              <w:widowControl w:val="0"/>
              <w:kinsoku/>
              <w:wordWrap/>
              <w:overflowPunct/>
              <w:topLinePunct w:val="0"/>
              <w:autoSpaceDN/>
              <w:bidi w:val="0"/>
              <w:adjustRightInd/>
              <w:snapToGrid/>
              <w:spacing w:line="360" w:lineRule="auto"/>
              <w:jc w:val="center"/>
              <w:textAlignment w:val="auto"/>
              <w:rPr>
                <w:rFonts w:hint="eastAsia" w:ascii="宋体" w:hAnsi="宋体"/>
                <w:color w:val="auto"/>
                <w:szCs w:val="21"/>
                <w:lang w:val="en-US" w:eastAsia="zh-CN"/>
              </w:rPr>
            </w:pPr>
          </w:p>
        </w:tc>
        <w:tc>
          <w:tcPr>
            <w:tcW w:w="4147" w:type="pct"/>
            <w:tcBorders>
              <w:tl2br w:val="nil"/>
              <w:tr2bl w:val="nil"/>
            </w:tcBorders>
            <w:noWrap w:val="0"/>
            <w:vAlign w:val="center"/>
          </w:tcPr>
          <w:p w14:paraId="2D78B352">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本项目投标时无须提供纸质标书，中标单位须在中标候选人公示结束后至发出中标通知书前向招标代理机构提交资格标、经济标、技术标、资信标的纸质投标文件各一式五份（正本1份，须为原件，副本4份，可为正本的复印件，且须在封面加盖投标单位公章。正副本封面均须加盖投标人公章，在正副本的封面右上角注明“正本”或“副本”，</w:t>
            </w:r>
            <w:r>
              <w:rPr>
                <w:rFonts w:hint="eastAsia" w:ascii="宋体" w:hAnsi="宋体" w:eastAsia="宋体" w:cs="宋体"/>
                <w:bCs/>
                <w:color w:val="auto"/>
                <w:szCs w:val="21"/>
                <w:highlight w:val="none"/>
                <w:lang w:val="zh-CN" w:eastAsia="zh-CN" w:bidi="ar"/>
              </w:rPr>
              <w:t>并胶装及</w:t>
            </w:r>
            <w:r>
              <w:rPr>
                <w:rFonts w:hint="eastAsia" w:ascii="宋体" w:hAnsi="宋体" w:eastAsia="宋体" w:cs="宋体"/>
                <w:bCs/>
                <w:color w:val="auto"/>
                <w:szCs w:val="21"/>
                <w:highlight w:val="none"/>
                <w:lang w:val="en-US" w:eastAsia="zh-CN" w:bidi="ar"/>
              </w:rPr>
              <w:t>需有连续页码）。除招标文件约定外，中标单位提交的纸质标书必须与电子投标文件内容一致、完整。</w:t>
            </w:r>
          </w:p>
          <w:p w14:paraId="09572A62">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eastAsia" w:ascii="宋体" w:hAnsi="宋体" w:eastAsia="宋体" w:cs="宋体"/>
                <w:bCs/>
                <w:color w:val="auto"/>
                <w:szCs w:val="21"/>
                <w:highlight w:val="none"/>
                <w:lang w:val="en-US" w:eastAsia="zh-CN" w:bidi="ar"/>
              </w:rPr>
              <w:t>投标单位予以投标即视为接受本条款，并对其完整性、真实性、合法性负责。</w:t>
            </w:r>
          </w:p>
        </w:tc>
      </w:tr>
      <w:tr w14:paraId="108EC5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85" w:type="pct"/>
            <w:vMerge w:val="continue"/>
            <w:tcBorders>
              <w:tl2br w:val="nil"/>
              <w:tr2bl w:val="nil"/>
            </w:tcBorders>
            <w:noWrap w:val="0"/>
            <w:vAlign w:val="center"/>
          </w:tcPr>
          <w:p w14:paraId="10A003F0">
            <w:pPr>
              <w:jc w:val="center"/>
              <w:rPr>
                <w:rFonts w:hint="default" w:ascii="宋体" w:hAnsi="宋体" w:eastAsia="宋体" w:cs="宋体"/>
                <w:color w:val="auto"/>
                <w:kern w:val="2"/>
                <w:sz w:val="21"/>
                <w:szCs w:val="21"/>
                <w:lang w:val="en-US" w:eastAsia="zh-CN" w:bidi="ar-SA"/>
              </w:rPr>
            </w:pPr>
          </w:p>
        </w:tc>
        <w:tc>
          <w:tcPr>
            <w:tcW w:w="467" w:type="pct"/>
            <w:vMerge w:val="continue"/>
            <w:tcBorders>
              <w:tl2br w:val="nil"/>
              <w:tr2bl w:val="nil"/>
            </w:tcBorders>
            <w:noWrap w:val="0"/>
            <w:vAlign w:val="center"/>
          </w:tcPr>
          <w:p w14:paraId="33EE5C20">
            <w:pPr>
              <w:keepNext w:val="0"/>
              <w:keepLines w:val="0"/>
              <w:pageBreakBefore w:val="0"/>
              <w:widowControl w:val="0"/>
              <w:kinsoku/>
              <w:wordWrap/>
              <w:overflowPunct/>
              <w:topLinePunct w:val="0"/>
              <w:autoSpaceDN/>
              <w:bidi w:val="0"/>
              <w:adjustRightInd/>
              <w:snapToGrid/>
              <w:spacing w:line="360" w:lineRule="auto"/>
              <w:jc w:val="center"/>
              <w:textAlignment w:val="auto"/>
              <w:rPr>
                <w:rFonts w:hint="eastAsia" w:ascii="宋体" w:hAnsi="宋体"/>
                <w:color w:val="auto"/>
                <w:szCs w:val="21"/>
                <w:lang w:val="en-US" w:eastAsia="zh-CN"/>
              </w:rPr>
            </w:pPr>
          </w:p>
        </w:tc>
        <w:tc>
          <w:tcPr>
            <w:tcW w:w="4147" w:type="pct"/>
            <w:tcBorders>
              <w:tl2br w:val="nil"/>
              <w:tr2bl w:val="nil"/>
            </w:tcBorders>
            <w:noWrap w:val="0"/>
            <w:vAlign w:val="center"/>
          </w:tcPr>
          <w:p w14:paraId="51C87CF0">
            <w:pPr>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Autospacing="0" w:after="0" w:afterAutospacing="0" w:line="360" w:lineRule="auto"/>
              <w:ind w:right="0" w:rightChars="0"/>
              <w:jc w:val="both"/>
              <w:textAlignment w:val="auto"/>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lang w:val="en-US" w:eastAsia="zh-CN" w:bidi="ar"/>
              </w:rPr>
              <w:t>1、投标人需额外提供1份可编辑的word版本资信标与资信标电子标书一同上传到电子招标投标交易平台（word版资信标无需提供标书中的图片或复印件或扫描件，不作为投标文件的组成部分，不作为否决性评审内容，仅供清标工作使用）。</w:t>
            </w:r>
          </w:p>
          <w:p w14:paraId="1EC6C052">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360" w:lineRule="auto"/>
              <w:ind w:left="0" w:right="0"/>
              <w:jc w:val="both"/>
              <w:textAlignment w:val="auto"/>
              <w:outlineLvl w:val="3"/>
              <w:rPr>
                <w:rFonts w:hint="default"/>
                <w:color w:val="auto"/>
                <w:lang w:val="en-US" w:eastAsia="zh-CN"/>
              </w:rPr>
            </w:pPr>
            <w:r>
              <w:rPr>
                <w:rFonts w:hint="eastAsia" w:ascii="宋体" w:hAnsi="宋体" w:eastAsia="宋体" w:cs="宋体"/>
                <w:b w:val="0"/>
                <w:bCs w:val="0"/>
                <w:color w:val="auto"/>
                <w:kern w:val="2"/>
                <w:sz w:val="21"/>
                <w:szCs w:val="21"/>
                <w:lang w:val="en-US" w:eastAsia="zh-CN" w:bidi="ar"/>
              </w:rPr>
              <w:t>2、投标人上传投标文件时需在交易系统正确填写“为本投标文件提供企业电子印章认证服务的电子认证服务机构名称以及验章客户端下载网址”和“为本投标文件提供个人电子签名认证服务的电子认证服务机构名称以及验章客户端下载网址”，并在上传完成后再次下载投标文件确保企业电子印章和个人电子签名核验正常有效，否则投标人自行承担后果。</w:t>
            </w:r>
          </w:p>
        </w:tc>
      </w:tr>
      <w:tr w14:paraId="13E240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85" w:type="pct"/>
            <w:vMerge w:val="continue"/>
            <w:tcBorders>
              <w:tl2br w:val="nil"/>
              <w:tr2bl w:val="nil"/>
            </w:tcBorders>
            <w:noWrap w:val="0"/>
            <w:vAlign w:val="center"/>
          </w:tcPr>
          <w:p w14:paraId="5AB3E6D6">
            <w:pPr>
              <w:jc w:val="center"/>
              <w:rPr>
                <w:rFonts w:hint="eastAsia" w:ascii="宋体" w:hAnsi="宋体" w:eastAsia="宋体"/>
                <w:color w:val="auto"/>
                <w:kern w:val="2"/>
                <w:sz w:val="21"/>
                <w:szCs w:val="21"/>
                <w:lang w:val="en-US" w:eastAsia="zh-CN" w:bidi="ar-SA"/>
              </w:rPr>
            </w:pPr>
          </w:p>
        </w:tc>
        <w:tc>
          <w:tcPr>
            <w:tcW w:w="467" w:type="pct"/>
            <w:vMerge w:val="continue"/>
            <w:tcBorders>
              <w:tl2br w:val="nil"/>
              <w:tr2bl w:val="nil"/>
            </w:tcBorders>
            <w:noWrap w:val="0"/>
            <w:vAlign w:val="center"/>
          </w:tcPr>
          <w:p w14:paraId="4BFFD8AF">
            <w:pPr>
              <w:keepNext w:val="0"/>
              <w:keepLines w:val="0"/>
              <w:pageBreakBefore w:val="0"/>
              <w:widowControl w:val="0"/>
              <w:kinsoku/>
              <w:wordWrap/>
              <w:overflowPunct/>
              <w:topLinePunct w:val="0"/>
              <w:autoSpaceDN/>
              <w:bidi w:val="0"/>
              <w:adjustRightInd/>
              <w:snapToGrid/>
              <w:spacing w:line="360" w:lineRule="auto"/>
              <w:jc w:val="center"/>
              <w:textAlignment w:val="auto"/>
              <w:rPr>
                <w:rFonts w:hint="eastAsia" w:ascii="宋体" w:hAnsi="宋体"/>
                <w:color w:val="auto"/>
                <w:szCs w:val="21"/>
                <w:lang w:val="en-US" w:eastAsia="zh-CN"/>
              </w:rPr>
            </w:pPr>
          </w:p>
        </w:tc>
        <w:tc>
          <w:tcPr>
            <w:tcW w:w="4147" w:type="pct"/>
            <w:tcBorders>
              <w:tl2br w:val="nil"/>
              <w:tr2bl w:val="nil"/>
            </w:tcBorders>
            <w:noWrap w:val="0"/>
            <w:vAlign w:val="center"/>
          </w:tcPr>
          <w:p w14:paraId="5AECEE08">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eastAsia" w:ascii="宋体" w:hAnsi="宋体" w:eastAsia="宋体" w:cs="宋体"/>
                <w:bCs/>
                <w:color w:val="auto"/>
                <w:szCs w:val="21"/>
                <w:highlight w:val="none"/>
                <w:lang w:val="en-US" w:eastAsia="zh-CN" w:bidi="ar"/>
              </w:rPr>
            </w:pPr>
            <w:r>
              <w:rPr>
                <w:rFonts w:hint="default" w:ascii="宋体" w:hAnsi="宋体" w:eastAsia="宋体" w:cs="宋体"/>
                <w:b/>
                <w:bCs w:val="0"/>
                <w:color w:val="auto"/>
                <w:szCs w:val="21"/>
                <w:highlight w:val="none"/>
                <w:lang w:val="en-US" w:eastAsia="zh-CN" w:bidi="ar"/>
              </w:rPr>
              <w:t>本项目已启用“单方解密”新方式。投标人在规定的解密时间内，凭数字证书通过工程建设交易系统自行解密已递交的电子投标文件。解密起止时间请查询广东省公共资源交易平台(中山市)或工程建设项目交易业务系统。投标人应提前检查数字证书、电脑、网络等自备的设备设施正常稳定，确保按时完成解密。因投标人自身原因导致解密失败的，后果由投标人自行承担。</w:t>
            </w:r>
          </w:p>
        </w:tc>
      </w:tr>
      <w:tr w14:paraId="560576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85" w:type="pct"/>
            <w:vMerge w:val="continue"/>
            <w:tcBorders>
              <w:tl2br w:val="nil"/>
              <w:tr2bl w:val="nil"/>
            </w:tcBorders>
            <w:noWrap w:val="0"/>
            <w:vAlign w:val="center"/>
          </w:tcPr>
          <w:p w14:paraId="66DCF597">
            <w:pPr>
              <w:jc w:val="center"/>
              <w:rPr>
                <w:rFonts w:hint="eastAsia" w:ascii="宋体" w:hAnsi="宋体" w:eastAsia="宋体"/>
                <w:color w:val="auto"/>
                <w:kern w:val="2"/>
                <w:sz w:val="21"/>
                <w:szCs w:val="21"/>
                <w:lang w:val="en-US" w:eastAsia="zh-CN" w:bidi="ar-SA"/>
              </w:rPr>
            </w:pPr>
          </w:p>
        </w:tc>
        <w:tc>
          <w:tcPr>
            <w:tcW w:w="467" w:type="pct"/>
            <w:vMerge w:val="continue"/>
            <w:tcBorders>
              <w:tl2br w:val="nil"/>
              <w:tr2bl w:val="nil"/>
            </w:tcBorders>
            <w:noWrap w:val="0"/>
            <w:vAlign w:val="center"/>
          </w:tcPr>
          <w:p w14:paraId="1954E0C2">
            <w:pPr>
              <w:keepNext w:val="0"/>
              <w:keepLines w:val="0"/>
              <w:pageBreakBefore w:val="0"/>
              <w:widowControl w:val="0"/>
              <w:kinsoku/>
              <w:wordWrap/>
              <w:overflowPunct/>
              <w:topLinePunct w:val="0"/>
              <w:autoSpaceDN/>
              <w:bidi w:val="0"/>
              <w:adjustRightInd/>
              <w:snapToGrid/>
              <w:spacing w:line="360" w:lineRule="auto"/>
              <w:jc w:val="center"/>
              <w:textAlignment w:val="auto"/>
              <w:rPr>
                <w:rFonts w:hint="eastAsia" w:ascii="宋体" w:hAnsi="宋体"/>
                <w:color w:val="auto"/>
                <w:szCs w:val="21"/>
                <w:lang w:val="en-US" w:eastAsia="zh-CN"/>
              </w:rPr>
            </w:pPr>
          </w:p>
        </w:tc>
        <w:tc>
          <w:tcPr>
            <w:tcW w:w="4147" w:type="pct"/>
            <w:tcBorders>
              <w:tl2br w:val="nil"/>
              <w:tr2bl w:val="nil"/>
            </w:tcBorders>
            <w:noWrap w:val="0"/>
            <w:vAlign w:val="center"/>
          </w:tcPr>
          <w:p w14:paraId="48CD6179">
            <w:pPr>
              <w:keepNext w:val="0"/>
              <w:keepLines w:val="0"/>
              <w:pageBreakBefore w:val="0"/>
              <w:widowControl w:val="0"/>
              <w:kinsoku/>
              <w:wordWrap/>
              <w:overflowPunct/>
              <w:topLinePunct w:val="0"/>
              <w:autoSpaceDN/>
              <w:bidi w:val="0"/>
              <w:adjustRightInd/>
              <w:snapToGrid/>
              <w:spacing w:after="78" w:afterLines="25" w:line="360" w:lineRule="auto"/>
              <w:textAlignment w:val="auto"/>
              <w:rPr>
                <w:rFonts w:hint="default" w:ascii="宋体" w:hAnsi="宋体" w:eastAsia="宋体" w:cs="宋体"/>
                <w:b/>
                <w:bCs w:val="0"/>
                <w:color w:val="auto"/>
                <w:szCs w:val="21"/>
                <w:highlight w:val="none"/>
                <w:lang w:val="en-US" w:eastAsia="zh-CN" w:bidi="ar"/>
              </w:rPr>
            </w:pPr>
            <w:r>
              <w:rPr>
                <w:rFonts w:hint="eastAsia" w:ascii="宋体" w:hAnsi="宋体" w:cs="宋体"/>
                <w:b/>
                <w:bCs w:val="0"/>
                <w:color w:val="auto"/>
                <w:szCs w:val="21"/>
                <w:highlight w:val="none"/>
                <w:lang w:val="en-US" w:eastAsia="zh-CN" w:bidi="ar"/>
              </w:rPr>
              <w:t>本项目施工图等相关资料单位信息如有不一致的，统一以建设单位中山市坦能科技有限公司、代建单位中山市坦建工程有限公司为准。</w:t>
            </w:r>
          </w:p>
        </w:tc>
      </w:tr>
    </w:tbl>
    <w:p w14:paraId="39F9425E">
      <w:pPr>
        <w:pBdr>
          <w:bottom w:val="single" w:color="auto" w:sz="6" w:space="1"/>
        </w:pBdr>
        <w:spacing w:line="480" w:lineRule="auto"/>
        <w:ind w:firstLine="472" w:firstLineChars="224"/>
        <w:rPr>
          <w:rFonts w:hint="eastAsia"/>
          <w:b/>
          <w:color w:val="auto"/>
          <w:szCs w:val="21"/>
          <w:highlight w:val="none"/>
        </w:rPr>
      </w:pPr>
    </w:p>
    <w:p w14:paraId="3E2AAD6F">
      <w:pPr>
        <w:numPr>
          <w:ilvl w:val="0"/>
          <w:numId w:val="0"/>
        </w:numPr>
        <w:spacing w:line="480" w:lineRule="auto"/>
        <w:rPr>
          <w:rFonts w:hint="eastAsia"/>
          <w:b/>
          <w:color w:val="auto"/>
          <w:szCs w:val="21"/>
          <w:highlight w:val="none"/>
        </w:rPr>
      </w:pPr>
      <w:r>
        <w:rPr>
          <w:rFonts w:hint="eastAsia"/>
          <w:b/>
          <w:color w:val="auto"/>
          <w:szCs w:val="21"/>
          <w:highlight w:val="none"/>
          <w:lang w:val="en-US" w:eastAsia="zh-CN"/>
        </w:rPr>
        <w:t xml:space="preserve">2. </w:t>
      </w:r>
      <w:r>
        <w:rPr>
          <w:rFonts w:hint="eastAsia"/>
          <w:b/>
          <w:color w:val="auto"/>
          <w:szCs w:val="21"/>
          <w:highlight w:val="none"/>
        </w:rPr>
        <w:t>删除内容</w:t>
      </w:r>
    </w:p>
    <w:p w14:paraId="17C28879">
      <w:pPr>
        <w:spacing w:line="480" w:lineRule="auto"/>
        <w:rPr>
          <w:b/>
          <w:color w:val="auto"/>
          <w:szCs w:val="21"/>
          <w:highlight w:val="none"/>
        </w:rPr>
      </w:pPr>
      <w:r>
        <w:rPr>
          <w:rFonts w:hint="eastAsia"/>
          <w:b/>
          <w:color w:val="auto"/>
          <w:szCs w:val="21"/>
          <w:highlight w:val="none"/>
        </w:rPr>
        <w:t>2.1 章节条款号：</w:t>
      </w:r>
      <w:r>
        <w:rPr>
          <w:rFonts w:hint="eastAsia"/>
          <w:b/>
          <w:color w:val="auto"/>
          <w:szCs w:val="21"/>
          <w:highlight w:val="none"/>
          <w:lang w:val="en-US" w:eastAsia="zh-CN"/>
        </w:rPr>
        <w:t>删除</w:t>
      </w:r>
      <w:r>
        <w:rPr>
          <w:rFonts w:hint="eastAsia"/>
          <w:b/>
          <w:color w:val="auto"/>
          <w:szCs w:val="21"/>
          <w:highlight w:val="none"/>
        </w:rPr>
        <w:t xml:space="preserve"> 第二章 投标人须知 /（二）资格审查要素表</w:t>
      </w:r>
      <w:r>
        <w:rPr>
          <w:rFonts w:hint="eastAsia"/>
          <w:b/>
          <w:color w:val="auto"/>
          <w:szCs w:val="21"/>
          <w:highlight w:val="none"/>
          <w:lang w:val="en-US" w:eastAsia="zh-CN"/>
        </w:rPr>
        <w:t xml:space="preserve"> </w:t>
      </w:r>
      <w:r>
        <w:rPr>
          <w:rFonts w:hint="eastAsia"/>
          <w:b/>
          <w:color w:val="auto"/>
          <w:szCs w:val="21"/>
          <w:highlight w:val="none"/>
        </w:rPr>
        <w:t>/</w:t>
      </w:r>
      <w:r>
        <w:rPr>
          <w:rFonts w:hint="eastAsia"/>
          <w:b/>
          <w:color w:val="auto"/>
          <w:szCs w:val="21"/>
          <w:highlight w:val="none"/>
          <w:lang w:val="en-US" w:eastAsia="zh-CN"/>
        </w:rPr>
        <w:t xml:space="preserve"> </w:t>
      </w:r>
      <w:r>
        <w:rPr>
          <w:rFonts w:hint="eastAsia"/>
          <w:b/>
          <w:color w:val="auto"/>
          <w:szCs w:val="21"/>
          <w:highlight w:val="none"/>
          <w:lang w:eastAsia="zh-CN"/>
        </w:rPr>
        <w:t>序号</w:t>
      </w:r>
      <w:r>
        <w:rPr>
          <w:rFonts w:hint="eastAsia"/>
          <w:b/>
          <w:color w:val="auto"/>
          <w:szCs w:val="21"/>
          <w:highlight w:val="none"/>
          <w:lang w:val="en-US" w:eastAsia="zh-CN"/>
        </w:rPr>
        <w:t>8内容</w:t>
      </w:r>
      <w:r>
        <w:rPr>
          <w:b/>
          <w:color w:val="auto"/>
          <w:szCs w:val="21"/>
          <w:highlight w:val="none"/>
        </w:rPr>
        <w:t xml:space="preserve">        </w:t>
      </w:r>
    </w:p>
    <w:p w14:paraId="0644EBC0">
      <w:pPr>
        <w:pBdr>
          <w:bottom w:val="single" w:color="auto" w:sz="6" w:space="1"/>
        </w:pBdr>
        <w:spacing w:line="480" w:lineRule="auto"/>
        <w:ind w:firstLine="472" w:firstLineChars="224"/>
        <w:rPr>
          <w:rFonts w:hint="eastAsia"/>
          <w:b/>
          <w:color w:val="auto"/>
          <w:szCs w:val="21"/>
          <w:highlight w:val="none"/>
        </w:rPr>
      </w:pPr>
      <w:r>
        <w:rPr>
          <w:rFonts w:hint="eastAsia"/>
          <w:b/>
          <w:color w:val="auto"/>
          <w:szCs w:val="21"/>
          <w:highlight w:val="none"/>
        </w:rPr>
        <w:t>原文：</w:t>
      </w:r>
    </w:p>
    <w:tbl>
      <w:tblPr>
        <w:tblStyle w:val="26"/>
        <w:tblW w:w="9243" w:type="dxa"/>
        <w:tblInd w:w="59" w:type="dxa"/>
        <w:tblLayout w:type="fixed"/>
        <w:tblCellMar>
          <w:top w:w="39" w:type="dxa"/>
          <w:left w:w="0" w:type="dxa"/>
          <w:bottom w:w="0" w:type="dxa"/>
          <w:right w:w="29" w:type="dxa"/>
        </w:tblCellMar>
      </w:tblPr>
      <w:tblGrid>
        <w:gridCol w:w="564"/>
        <w:gridCol w:w="1325"/>
        <w:gridCol w:w="4104"/>
        <w:gridCol w:w="1175"/>
        <w:gridCol w:w="1263"/>
        <w:gridCol w:w="812"/>
      </w:tblGrid>
      <w:tr w14:paraId="0D011CA6">
        <w:tblPrEx>
          <w:tblCellMar>
            <w:top w:w="39" w:type="dxa"/>
            <w:left w:w="0" w:type="dxa"/>
            <w:bottom w:w="0" w:type="dxa"/>
            <w:right w:w="29" w:type="dxa"/>
          </w:tblCellMar>
        </w:tblPrEx>
        <w:trPr>
          <w:trHeight w:val="932" w:hRule="atLeast"/>
        </w:trPr>
        <w:tc>
          <w:tcPr>
            <w:tcW w:w="564" w:type="dxa"/>
            <w:tcBorders>
              <w:top w:val="single" w:color="000000" w:sz="2" w:space="0"/>
              <w:left w:val="single" w:color="000000" w:sz="2" w:space="0"/>
              <w:bottom w:val="single" w:color="000000" w:sz="2" w:space="0"/>
              <w:right w:val="single" w:color="000000" w:sz="2" w:space="0"/>
            </w:tcBorders>
            <w:noWrap w:val="0"/>
            <w:vAlign w:val="center"/>
          </w:tcPr>
          <w:p w14:paraId="7D38BB61">
            <w:pPr>
              <w:keepNext w:val="0"/>
              <w:keepLines w:val="0"/>
              <w:pageBreakBefore w:val="0"/>
              <w:widowControl/>
              <w:kinsoku/>
              <w:wordWrap/>
              <w:overflowPunct/>
              <w:topLinePunct w:val="0"/>
              <w:autoSpaceDE/>
              <w:autoSpaceDN/>
              <w:bidi w:val="0"/>
              <w:adjustRightInd w:val="0"/>
              <w:snapToGrid w:val="0"/>
              <w:spacing w:line="240" w:lineRule="auto"/>
              <w:ind w:left="21" w:leftChars="1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8</w:t>
            </w:r>
          </w:p>
        </w:tc>
        <w:tc>
          <w:tcPr>
            <w:tcW w:w="1325" w:type="dxa"/>
            <w:tcBorders>
              <w:top w:val="single" w:color="000000" w:sz="2" w:space="0"/>
              <w:left w:val="single" w:color="000000" w:sz="2" w:space="0"/>
              <w:bottom w:val="single" w:color="000000" w:sz="2" w:space="0"/>
              <w:right w:val="single" w:color="000000" w:sz="2" w:space="0"/>
            </w:tcBorders>
            <w:noWrap w:val="0"/>
            <w:vAlign w:val="center"/>
          </w:tcPr>
          <w:p w14:paraId="500FE7FF">
            <w:pPr>
              <w:keepNext w:val="0"/>
              <w:keepLines w:val="0"/>
              <w:pageBreakBefore w:val="0"/>
              <w:kinsoku/>
              <w:wordWrap/>
              <w:overflowPunct/>
              <w:topLinePunct w:val="0"/>
              <w:autoSpaceDE/>
              <w:autoSpaceDN/>
              <w:bidi w:val="0"/>
              <w:spacing w:line="240" w:lineRule="auto"/>
              <w:jc w:val="center"/>
              <w:textAlignment w:val="auto"/>
              <w:rPr>
                <w:rFonts w:hint="eastAsia"/>
                <w:color w:val="auto"/>
                <w:lang w:val="en-US" w:eastAsia="zh-CN"/>
              </w:rPr>
            </w:pPr>
            <w:r>
              <w:rPr>
                <w:rFonts w:hint="eastAsia"/>
                <w:color w:val="auto"/>
                <w:lang w:val="en-US" w:eastAsia="zh-CN"/>
              </w:rPr>
              <w:t>联合体投标人</w:t>
            </w:r>
          </w:p>
        </w:tc>
        <w:tc>
          <w:tcPr>
            <w:tcW w:w="4104" w:type="dxa"/>
            <w:tcBorders>
              <w:top w:val="single" w:color="000000" w:sz="2" w:space="0"/>
              <w:left w:val="single" w:color="000000" w:sz="2" w:space="0"/>
              <w:bottom w:val="single" w:color="000000" w:sz="2" w:space="0"/>
              <w:right w:val="single" w:color="000000" w:sz="2" w:space="0"/>
            </w:tcBorders>
            <w:noWrap w:val="0"/>
            <w:vAlign w:val="center"/>
          </w:tcPr>
          <w:p w14:paraId="7A7A4A63">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42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color w:val="auto"/>
                <w:szCs w:val="21"/>
                <w:highlight w:val="none"/>
                <w:lang w:eastAsia="zh-CN"/>
              </w:rPr>
              <w:t>联合体投标的，</w:t>
            </w:r>
            <w:r>
              <w:rPr>
                <w:rFonts w:hint="eastAsia" w:ascii="宋体" w:hAnsi="宋体" w:eastAsia="宋体" w:cs="宋体"/>
                <w:color w:val="auto"/>
                <w:szCs w:val="21"/>
                <w:highlight w:val="none"/>
              </w:rPr>
              <w:t>提交符合招标文件要求的联合体协议书，明确各方承担责任，并明确联合体牵头人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符合第二章“投标人须知”第1.4.2项规定</w:t>
            </w:r>
            <w:r>
              <w:rPr>
                <w:rFonts w:hint="eastAsia" w:ascii="宋体" w:hAnsi="宋体" w:eastAsia="宋体" w:cs="宋体"/>
                <w:color w:val="auto"/>
                <w:szCs w:val="21"/>
                <w:highlight w:val="none"/>
                <w:lang w:eastAsia="zh-CN"/>
              </w:rPr>
              <w:t>。</w:t>
            </w:r>
          </w:p>
        </w:tc>
        <w:tc>
          <w:tcPr>
            <w:tcW w:w="1175" w:type="dxa"/>
            <w:tcBorders>
              <w:top w:val="single" w:color="000000" w:sz="2" w:space="0"/>
              <w:left w:val="single" w:color="000000" w:sz="2" w:space="0"/>
              <w:bottom w:val="single" w:color="000000" w:sz="2" w:space="0"/>
              <w:right w:val="single" w:color="000000" w:sz="2" w:space="0"/>
            </w:tcBorders>
            <w:noWrap w:val="0"/>
            <w:vAlign w:val="center"/>
          </w:tcPr>
          <w:p w14:paraId="6D68138F">
            <w:pPr>
              <w:keepNext w:val="0"/>
              <w:keepLines w:val="0"/>
              <w:pageBreakBefore w:val="0"/>
              <w:widowControl/>
              <w:kinsoku/>
              <w:wordWrap/>
              <w:overflowPunct/>
              <w:topLinePunct w:val="0"/>
              <w:autoSpaceDE/>
              <w:autoSpaceDN/>
              <w:bidi w:val="0"/>
              <w:adjustRightInd w:val="0"/>
              <w:snapToGrid w:val="0"/>
              <w:spacing w:after="0" w:line="240" w:lineRule="auto"/>
              <w:ind w:left="21" w:leftChars="10" w:right="0" w:rightChars="0" w:firstLine="0" w:firstLineChars="0"/>
              <w:jc w:val="both"/>
              <w:textAlignment w:val="auto"/>
              <w:outlineLvl w:val="9"/>
              <w:rPr>
                <w:rFonts w:hint="eastAsia" w:ascii="宋体" w:hAnsi="宋体" w:eastAsia="宋体" w:cs="宋体"/>
                <w:b w:val="0"/>
                <w:bCs w:val="0"/>
                <w:color w:val="auto"/>
                <w:kern w:val="0"/>
                <w:sz w:val="21"/>
                <w:szCs w:val="21"/>
                <w:highlight w:val="none"/>
                <w:u w:val="none" w:color="auto"/>
                <w:lang w:val="en-US" w:eastAsia="zh-CN"/>
              </w:rPr>
            </w:pPr>
            <w:r>
              <w:rPr>
                <w:rFonts w:hint="eastAsia" w:ascii="宋体" w:hAnsi="宋体" w:eastAsia="宋体" w:cs="宋体"/>
                <w:b w:val="0"/>
                <w:bCs w:val="0"/>
                <w:color w:val="auto"/>
                <w:kern w:val="0"/>
                <w:sz w:val="21"/>
                <w:szCs w:val="21"/>
                <w:highlight w:val="none"/>
                <w:u w:val="none" w:color="auto"/>
                <w:lang w:val="en-US" w:eastAsia="zh-CN"/>
              </w:rPr>
              <w:t>囗合格</w:t>
            </w:r>
          </w:p>
          <w:p w14:paraId="1A828F34">
            <w:pPr>
              <w:keepNext w:val="0"/>
              <w:keepLines w:val="0"/>
              <w:pageBreakBefore w:val="0"/>
              <w:widowControl/>
              <w:kinsoku/>
              <w:wordWrap/>
              <w:overflowPunct/>
              <w:topLinePunct w:val="0"/>
              <w:autoSpaceDE/>
              <w:autoSpaceDN/>
              <w:bidi w:val="0"/>
              <w:adjustRightInd w:val="0"/>
              <w:snapToGrid w:val="0"/>
              <w:spacing w:line="240" w:lineRule="auto"/>
              <w:ind w:left="21" w:leftChars="1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bCs w:val="0"/>
                <w:color w:val="auto"/>
                <w:kern w:val="0"/>
                <w:sz w:val="21"/>
                <w:szCs w:val="21"/>
                <w:highlight w:val="none"/>
                <w:u w:val="none" w:color="auto"/>
                <w:lang w:val="en-US" w:eastAsia="zh-CN"/>
              </w:rPr>
              <w:t>囗不合格</w:t>
            </w:r>
          </w:p>
        </w:tc>
        <w:tc>
          <w:tcPr>
            <w:tcW w:w="1263" w:type="dxa"/>
            <w:tcBorders>
              <w:top w:val="single" w:color="000000" w:sz="2" w:space="0"/>
              <w:left w:val="single" w:color="000000" w:sz="2" w:space="0"/>
              <w:bottom w:val="single" w:color="000000" w:sz="2" w:space="0"/>
              <w:right w:val="single" w:color="000000" w:sz="2" w:space="0"/>
            </w:tcBorders>
            <w:noWrap w:val="0"/>
            <w:vAlign w:val="center"/>
          </w:tcPr>
          <w:p w14:paraId="22EA4DC1">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c>
          <w:tcPr>
            <w:tcW w:w="812" w:type="dxa"/>
            <w:tcBorders>
              <w:top w:val="single" w:color="000000" w:sz="2" w:space="0"/>
              <w:left w:val="single" w:color="000000" w:sz="2" w:space="0"/>
              <w:bottom w:val="single" w:color="000000" w:sz="2" w:space="0"/>
              <w:right w:val="single" w:color="000000" w:sz="2" w:space="0"/>
            </w:tcBorders>
            <w:noWrap w:val="0"/>
            <w:vAlign w:val="center"/>
          </w:tcPr>
          <w:p w14:paraId="3EF07D2E">
            <w:pPr>
              <w:keepNext w:val="0"/>
              <w:keepLines w:val="0"/>
              <w:pageBreakBefore w:val="0"/>
              <w:widowControl/>
              <w:kinsoku/>
              <w:wordWrap/>
              <w:overflowPunct/>
              <w:topLinePunct w:val="0"/>
              <w:autoSpaceDE/>
              <w:autoSpaceDN/>
              <w:bidi w:val="0"/>
              <w:adjustRightInd w:val="0"/>
              <w:snapToGrid w:val="0"/>
              <w:spacing w:line="240" w:lineRule="auto"/>
              <w:ind w:left="21" w:leftChars="10"/>
              <w:textAlignment w:val="auto"/>
              <w:rPr>
                <w:rFonts w:hint="eastAsia" w:ascii="宋体" w:hAnsi="宋体" w:eastAsia="宋体" w:cs="宋体"/>
                <w:color w:val="auto"/>
                <w:szCs w:val="21"/>
                <w:highlight w:val="none"/>
              </w:rPr>
            </w:pPr>
          </w:p>
        </w:tc>
      </w:tr>
    </w:tbl>
    <w:p w14:paraId="6241904F">
      <w:pPr>
        <w:pBdr>
          <w:bottom w:val="single" w:color="auto" w:sz="6" w:space="1"/>
        </w:pBdr>
        <w:spacing w:line="480" w:lineRule="auto"/>
        <w:ind w:firstLine="472" w:firstLineChars="224"/>
        <w:rPr>
          <w:rFonts w:hint="eastAsia"/>
          <w:b/>
          <w:color w:val="auto"/>
          <w:szCs w:val="21"/>
          <w:highlight w:val="none"/>
        </w:rPr>
      </w:pPr>
    </w:p>
    <w:p w14:paraId="44268615">
      <w:pPr>
        <w:pBdr>
          <w:bottom w:val="single" w:color="auto" w:sz="6" w:space="1"/>
        </w:pBdr>
        <w:spacing w:line="480" w:lineRule="auto"/>
        <w:rPr>
          <w:rFonts w:hint="eastAsia" w:eastAsia="宋体"/>
          <w:b/>
          <w:color w:val="auto"/>
          <w:szCs w:val="21"/>
          <w:highlight w:val="none"/>
          <w:lang w:val="en-US" w:eastAsia="zh-CN"/>
        </w:rPr>
      </w:pPr>
      <w:r>
        <w:rPr>
          <w:rFonts w:hint="eastAsia"/>
          <w:b/>
          <w:color w:val="auto"/>
          <w:szCs w:val="21"/>
          <w:highlight w:val="none"/>
        </w:rPr>
        <w:t>2.2 章节条款号：</w:t>
      </w:r>
      <w:r>
        <w:rPr>
          <w:rFonts w:hint="eastAsia"/>
          <w:b/>
          <w:bCs w:val="0"/>
          <w:color w:val="auto"/>
          <w:szCs w:val="21"/>
          <w:highlight w:val="none"/>
          <w:lang w:val="en-US" w:eastAsia="zh-CN"/>
        </w:rPr>
        <w:t>删除</w:t>
      </w:r>
      <w:r>
        <w:rPr>
          <w:rFonts w:hint="eastAsia"/>
          <w:b/>
          <w:bCs w:val="0"/>
          <w:color w:val="auto"/>
          <w:szCs w:val="21"/>
          <w:highlight w:val="none"/>
        </w:rPr>
        <w:t xml:space="preserve"> 第八章 投标文件格式 / 资格标函 /  四、联合体协议书</w:t>
      </w:r>
    </w:p>
    <w:p w14:paraId="41FD8793">
      <w:pPr>
        <w:tabs>
          <w:tab w:val="left" w:pos="-951"/>
          <w:tab w:val="left" w:pos="4267"/>
          <w:tab w:val="left" w:pos="7925"/>
        </w:tabs>
        <w:adjustRightInd w:val="0"/>
        <w:snapToGrid w:val="0"/>
        <w:spacing w:line="360" w:lineRule="auto"/>
        <w:ind w:right="-6" w:firstLine="422" w:firstLineChars="200"/>
        <w:jc w:val="left"/>
        <w:rPr>
          <w:rFonts w:hint="eastAsia"/>
          <w:b/>
          <w:color w:val="auto"/>
          <w:szCs w:val="21"/>
          <w:highlight w:val="none"/>
        </w:rPr>
      </w:pPr>
      <w:r>
        <w:rPr>
          <w:rFonts w:hint="eastAsia"/>
          <w:b/>
          <w:color w:val="auto"/>
          <w:szCs w:val="21"/>
          <w:highlight w:val="none"/>
        </w:rPr>
        <w:t>原文：</w:t>
      </w:r>
    </w:p>
    <w:p w14:paraId="17827394">
      <w:pPr>
        <w:tabs>
          <w:tab w:val="left" w:pos="-951"/>
          <w:tab w:val="left" w:pos="4267"/>
          <w:tab w:val="left" w:pos="7925"/>
        </w:tabs>
        <w:adjustRightInd w:val="0"/>
        <w:snapToGrid w:val="0"/>
        <w:spacing w:line="360" w:lineRule="auto"/>
        <w:ind w:right="-6"/>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t>四、</w:t>
      </w:r>
      <w:r>
        <w:rPr>
          <w:rFonts w:hint="eastAsia" w:ascii="宋体" w:hAnsi="宋体" w:eastAsia="宋体" w:cs="宋体"/>
          <w:b/>
          <w:bCs/>
          <w:color w:val="auto"/>
          <w:sz w:val="28"/>
          <w:szCs w:val="28"/>
          <w:highlight w:val="none"/>
        </w:rPr>
        <w:t>联合体协议书</w:t>
      </w:r>
    </w:p>
    <w:p w14:paraId="30BA61C9">
      <w:pPr>
        <w:tabs>
          <w:tab w:val="left" w:pos="-951"/>
          <w:tab w:val="left" w:pos="4267"/>
          <w:tab w:val="left" w:pos="7925"/>
        </w:tabs>
        <w:adjustRightInd w:val="0"/>
        <w:snapToGrid w:val="0"/>
        <w:spacing w:line="360" w:lineRule="auto"/>
        <w:ind w:right="-6"/>
        <w:rPr>
          <w:rFonts w:hint="eastAsia" w:ascii="宋体" w:hAnsi="宋体" w:eastAsia="宋体" w:cs="宋体"/>
          <w:bCs/>
          <w:color w:val="auto"/>
          <w:szCs w:val="21"/>
          <w:highlight w:val="none"/>
        </w:rPr>
      </w:pPr>
    </w:p>
    <w:p w14:paraId="427A04B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（所有成员单位名称）自愿组成联合体，共同参加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（项目名称）投标。现就联合体投标事宜订立如下协议。</w:t>
      </w:r>
    </w:p>
    <w:p w14:paraId="6D42737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（某成员单位名称）为本项目联合体牵头人。</w:t>
      </w:r>
    </w:p>
    <w:p w14:paraId="57EC419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7115025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联合体将严格按照招标文件的各项要求，递交投标文件，履行合同，并对外承担连带责任。</w:t>
      </w:r>
    </w:p>
    <w:p w14:paraId="5B3C19A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联合体</w:t>
      </w:r>
      <w:r>
        <w:rPr>
          <w:rFonts w:hint="eastAsia" w:ascii="宋体" w:hAnsi="宋体"/>
          <w:color w:val="auto"/>
          <w:szCs w:val="21"/>
          <w:highlight w:val="none"/>
          <w:lang w:eastAsia="zh-CN"/>
        </w:rPr>
        <w:t>牵头单位的职责分工：</w:t>
      </w:r>
      <w:r>
        <w:rPr>
          <w:rFonts w:hint="eastAsia" w:ascii="宋体" w:hAnsi="宋体"/>
          <w:color w:val="auto"/>
          <w:szCs w:val="21"/>
          <w:highlight w:val="none"/>
          <w:u w:val="single"/>
        </w:rPr>
        <w:t xml:space="preserve">                              </w:t>
      </w:r>
      <w:r>
        <w:rPr>
          <w:rFonts w:hint="eastAsia" w:ascii="宋体" w:hAnsi="宋体"/>
          <w:color w:val="auto"/>
          <w:szCs w:val="21"/>
          <w:highlight w:val="none"/>
          <w:u w:val="none"/>
          <w:lang w:eastAsia="zh-CN"/>
        </w:rPr>
        <w:t>；联合体内其余</w:t>
      </w:r>
      <w:r>
        <w:rPr>
          <w:rFonts w:hint="eastAsia" w:ascii="宋体" w:hAnsi="宋体"/>
          <w:color w:val="auto"/>
          <w:szCs w:val="21"/>
          <w:highlight w:val="none"/>
        </w:rPr>
        <w:t>成员单位的职责分工：</w:t>
      </w:r>
      <w:r>
        <w:rPr>
          <w:rFonts w:hint="eastAsia" w:ascii="宋体" w:hAnsi="宋体"/>
          <w:color w:val="auto"/>
          <w:szCs w:val="21"/>
          <w:highlight w:val="none"/>
          <w:u w:val="single"/>
        </w:rPr>
        <w:t xml:space="preserve">                              </w:t>
      </w:r>
    </w:p>
    <w:p w14:paraId="2045BD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本协议书自签署之日起生效，合同履行完毕后自动失效。</w:t>
      </w:r>
    </w:p>
    <w:p w14:paraId="1609912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本协议书一式</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份，联合体成员和招标人各执一份。</w:t>
      </w:r>
    </w:p>
    <w:p w14:paraId="334578F3">
      <w:pPr>
        <w:spacing w:line="360" w:lineRule="auto"/>
        <w:rPr>
          <w:rFonts w:hint="eastAsia" w:ascii="宋体" w:hAnsi="宋体" w:eastAsia="宋体" w:cs="宋体"/>
          <w:color w:val="auto"/>
          <w:szCs w:val="21"/>
          <w:highlight w:val="none"/>
        </w:rPr>
      </w:pPr>
    </w:p>
    <w:p w14:paraId="1D6F1AF4">
      <w:pPr>
        <w:spacing w:line="360" w:lineRule="auto"/>
        <w:rPr>
          <w:rFonts w:hint="eastAsia" w:ascii="宋体" w:hAnsi="宋体" w:eastAsia="宋体" w:cs="宋体"/>
          <w:color w:val="auto"/>
          <w:szCs w:val="21"/>
          <w:highlight w:val="none"/>
        </w:rPr>
      </w:pPr>
    </w:p>
    <w:p w14:paraId="542771E5">
      <w:pPr>
        <w:spacing w:line="360" w:lineRule="auto"/>
        <w:ind w:firstLine="3360" w:firstLineChars="16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联合体牵头人名称：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加盖电子印章</w:t>
      </w:r>
      <w:r>
        <w:rPr>
          <w:rFonts w:hint="eastAsia" w:ascii="宋体" w:hAnsi="宋体" w:eastAsia="宋体" w:cs="宋体"/>
          <w:color w:val="auto"/>
          <w:szCs w:val="21"/>
          <w:highlight w:val="none"/>
        </w:rPr>
        <w:t>）</w:t>
      </w:r>
    </w:p>
    <w:p w14:paraId="6785BFAA">
      <w:pPr>
        <w:spacing w:line="360" w:lineRule="auto"/>
        <w:ind w:firstLine="3360" w:firstLineChars="16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电子签名</w:t>
      </w:r>
      <w:r>
        <w:rPr>
          <w:rFonts w:hint="eastAsia" w:ascii="宋体" w:hAnsi="宋体" w:eastAsia="宋体" w:cs="宋体"/>
          <w:color w:val="auto"/>
          <w:szCs w:val="21"/>
          <w:highlight w:val="none"/>
        </w:rPr>
        <w:t>）</w:t>
      </w:r>
    </w:p>
    <w:p w14:paraId="6FED34DA">
      <w:pPr>
        <w:spacing w:line="360" w:lineRule="auto"/>
        <w:rPr>
          <w:rFonts w:hint="eastAsia" w:ascii="宋体" w:hAnsi="宋体" w:eastAsia="宋体" w:cs="宋体"/>
          <w:color w:val="auto"/>
          <w:szCs w:val="21"/>
          <w:highlight w:val="none"/>
        </w:rPr>
      </w:pPr>
    </w:p>
    <w:p w14:paraId="610204A9">
      <w:pPr>
        <w:spacing w:line="360" w:lineRule="auto"/>
        <w:ind w:firstLine="3360" w:firstLineChars="16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联合体成员名称：</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加盖电子印章</w:t>
      </w:r>
      <w:r>
        <w:rPr>
          <w:rFonts w:hint="eastAsia" w:ascii="宋体" w:hAnsi="宋体" w:eastAsia="宋体" w:cs="宋体"/>
          <w:color w:val="auto"/>
          <w:szCs w:val="21"/>
          <w:highlight w:val="none"/>
        </w:rPr>
        <w:t>）</w:t>
      </w:r>
    </w:p>
    <w:p w14:paraId="09A46071">
      <w:pPr>
        <w:spacing w:line="360" w:lineRule="auto"/>
        <w:ind w:firstLine="3360" w:firstLineChars="16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电子签名</w:t>
      </w:r>
      <w:r>
        <w:rPr>
          <w:rFonts w:hint="eastAsia" w:ascii="宋体" w:hAnsi="宋体" w:eastAsia="宋体" w:cs="宋体"/>
          <w:color w:val="auto"/>
          <w:szCs w:val="21"/>
          <w:highlight w:val="none"/>
        </w:rPr>
        <w:t>）</w:t>
      </w:r>
    </w:p>
    <w:p w14:paraId="5D5C4C02">
      <w:pPr>
        <w:spacing w:line="360" w:lineRule="auto"/>
        <w:rPr>
          <w:rFonts w:hint="eastAsia" w:ascii="宋体" w:hAnsi="宋体" w:eastAsia="宋体" w:cs="宋体"/>
          <w:color w:val="auto"/>
          <w:szCs w:val="21"/>
          <w:highlight w:val="none"/>
        </w:rPr>
      </w:pPr>
    </w:p>
    <w:p w14:paraId="166B0AF3">
      <w:pPr>
        <w:spacing w:line="360" w:lineRule="auto"/>
        <w:ind w:firstLine="3360" w:firstLineChars="16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联合体成员名称：</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加盖电子印章</w:t>
      </w:r>
      <w:r>
        <w:rPr>
          <w:rFonts w:hint="eastAsia" w:ascii="宋体" w:hAnsi="宋体" w:eastAsia="宋体" w:cs="宋体"/>
          <w:color w:val="auto"/>
          <w:szCs w:val="21"/>
          <w:highlight w:val="none"/>
        </w:rPr>
        <w:t>）</w:t>
      </w:r>
    </w:p>
    <w:p w14:paraId="62757C62">
      <w:pPr>
        <w:spacing w:line="360" w:lineRule="auto"/>
        <w:ind w:firstLine="3360" w:firstLineChars="16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电子签名</w:t>
      </w:r>
      <w:r>
        <w:rPr>
          <w:rFonts w:hint="eastAsia" w:ascii="宋体" w:hAnsi="宋体" w:eastAsia="宋体" w:cs="宋体"/>
          <w:color w:val="auto"/>
          <w:szCs w:val="21"/>
          <w:highlight w:val="none"/>
        </w:rPr>
        <w:t>）</w:t>
      </w:r>
    </w:p>
    <w:p w14:paraId="41419457">
      <w:pPr>
        <w:spacing w:line="360" w:lineRule="auto"/>
        <w:rPr>
          <w:rFonts w:hint="eastAsia" w:ascii="宋体" w:hAnsi="宋体" w:eastAsia="宋体" w:cs="宋体"/>
          <w:color w:val="auto"/>
          <w:szCs w:val="21"/>
          <w:highlight w:val="none"/>
        </w:rPr>
      </w:pPr>
    </w:p>
    <w:p w14:paraId="767B3437">
      <w:pPr>
        <w:pStyle w:val="10"/>
        <w:ind w:firstLine="5460" w:firstLineChars="2600"/>
        <w:rPr>
          <w:rFonts w:hint="eastAsia" w:ascii="宋体" w:hAnsi="宋体" w:eastAsia="宋体" w:cs="宋体"/>
          <w:color w:val="auto"/>
          <w:highlight w:val="none"/>
        </w:rPr>
      </w:pPr>
      <w:r>
        <w:rPr>
          <w:rFonts w:hint="eastAsia" w:ascii="宋体" w:hAnsi="宋体" w:eastAsia="宋体" w:cs="宋体"/>
          <w:color w:val="auto"/>
          <w:highlight w:val="none"/>
        </w:rPr>
        <w:t>年    月    日</w:t>
      </w:r>
    </w:p>
    <w:p w14:paraId="1AAB1A13">
      <w:pPr>
        <w:pBdr>
          <w:top w:val="none" w:color="auto" w:sz="0" w:space="0"/>
          <w:left w:val="none" w:color="auto" w:sz="0" w:space="0"/>
          <w:bottom w:val="none" w:color="auto" w:sz="0" w:space="0"/>
          <w:right w:val="none" w:color="auto" w:sz="0" w:space="0"/>
          <w:between w:val="none" w:color="auto" w:sz="0" w:space="0"/>
        </w:pBdr>
        <w:spacing w:line="480" w:lineRule="auto"/>
        <w:rPr>
          <w:rFonts w:hint="eastAsia"/>
          <w:b/>
          <w:color w:val="auto"/>
          <w:szCs w:val="21"/>
          <w:highlight w:val="none"/>
        </w:rPr>
      </w:pPr>
      <w:r>
        <w:rPr>
          <w:rFonts w:hint="eastAsia"/>
          <w:b/>
          <w:color w:val="auto"/>
          <w:szCs w:val="21"/>
          <w:highlight w:val="none"/>
        </w:rPr>
        <w:t>2.</w:t>
      </w:r>
      <w:r>
        <w:rPr>
          <w:rFonts w:hint="eastAsia"/>
          <w:b/>
          <w:color w:val="auto"/>
          <w:szCs w:val="21"/>
          <w:highlight w:val="none"/>
          <w:lang w:val="en-US" w:eastAsia="zh-CN"/>
        </w:rPr>
        <w:t>3</w:t>
      </w:r>
      <w:r>
        <w:rPr>
          <w:rFonts w:hint="eastAsia"/>
          <w:b/>
          <w:color w:val="auto"/>
          <w:szCs w:val="21"/>
          <w:highlight w:val="none"/>
        </w:rPr>
        <w:t>章节条款号：</w:t>
      </w:r>
      <w:r>
        <w:rPr>
          <w:rFonts w:hint="eastAsia"/>
          <w:b/>
          <w:bCs w:val="0"/>
          <w:color w:val="auto"/>
          <w:szCs w:val="21"/>
          <w:highlight w:val="none"/>
          <w:lang w:val="en-US" w:eastAsia="zh-CN"/>
        </w:rPr>
        <w:t>删除</w:t>
      </w:r>
      <w:r>
        <w:rPr>
          <w:rFonts w:hint="eastAsia"/>
          <w:b/>
          <w:bCs w:val="0"/>
          <w:color w:val="auto"/>
          <w:szCs w:val="21"/>
          <w:highlight w:val="none"/>
        </w:rPr>
        <w:t xml:space="preserve">  第八章 投标文件格式 / 资格标函 /  </w:t>
      </w:r>
      <w:r>
        <w:rPr>
          <w:rFonts w:hint="eastAsia"/>
          <w:b/>
          <w:bCs w:val="0"/>
          <w:color w:val="auto"/>
          <w:szCs w:val="21"/>
          <w:highlight w:val="none"/>
          <w:lang w:val="en-US" w:eastAsia="zh-CN"/>
        </w:rPr>
        <w:t>七</w:t>
      </w:r>
      <w:r>
        <w:rPr>
          <w:rFonts w:hint="eastAsia"/>
          <w:b/>
          <w:bCs w:val="0"/>
          <w:color w:val="auto"/>
          <w:szCs w:val="21"/>
          <w:highlight w:val="none"/>
          <w:lang w:eastAsia="zh-CN"/>
        </w:rPr>
        <w:t>、</w:t>
      </w:r>
      <w:r>
        <w:rPr>
          <w:rFonts w:hint="eastAsia"/>
          <w:b/>
          <w:bCs w:val="0"/>
          <w:color w:val="auto"/>
          <w:szCs w:val="21"/>
          <w:highlight w:val="none"/>
        </w:rPr>
        <w:t>类似工程业绩表</w:t>
      </w:r>
      <w:r>
        <w:rPr>
          <w:rFonts w:hint="eastAsia"/>
          <w:b/>
          <w:color w:val="auto"/>
          <w:szCs w:val="21"/>
          <w:highlight w:val="none"/>
        </w:rPr>
        <w:t xml:space="preserve">    </w:t>
      </w:r>
    </w:p>
    <w:p w14:paraId="55B2D672">
      <w:pPr>
        <w:pBdr>
          <w:top w:val="none" w:color="auto" w:sz="0" w:space="0"/>
          <w:left w:val="none" w:color="auto" w:sz="0" w:space="0"/>
          <w:bottom w:val="none" w:color="auto" w:sz="0" w:space="0"/>
          <w:right w:val="none" w:color="auto" w:sz="0" w:space="0"/>
          <w:between w:val="none" w:color="auto" w:sz="0" w:space="0"/>
        </w:pBdr>
        <w:spacing w:line="480" w:lineRule="auto"/>
        <w:ind w:firstLine="472" w:firstLineChars="224"/>
        <w:rPr>
          <w:rFonts w:hint="eastAsia"/>
          <w:b/>
          <w:color w:val="auto"/>
          <w:szCs w:val="21"/>
          <w:highlight w:val="none"/>
        </w:rPr>
      </w:pPr>
      <w:r>
        <w:rPr>
          <w:rFonts w:hint="eastAsia"/>
          <w:b/>
          <w:color w:val="auto"/>
          <w:szCs w:val="21"/>
          <w:highlight w:val="none"/>
        </w:rPr>
        <w:t xml:space="preserve">原文：  </w:t>
      </w:r>
    </w:p>
    <w:p w14:paraId="78EE684A">
      <w:pPr>
        <w:jc w:val="center"/>
        <w:rPr>
          <w:rFonts w:hint="eastAsia" w:ascii="宋体" w:hAnsi="宋体" w:eastAsia="宋体" w:cs="宋体"/>
          <w:b/>
          <w:color w:val="auto"/>
          <w:sz w:val="24"/>
          <w:highlight w:val="none"/>
        </w:rPr>
      </w:pPr>
      <w:r>
        <w:rPr>
          <w:rFonts w:hint="eastAsia" w:ascii="宋体" w:hAnsi="宋体" w:eastAsia="宋体" w:cs="宋体"/>
          <w:b/>
          <w:bCs/>
          <w:color w:val="auto"/>
          <w:sz w:val="28"/>
          <w:szCs w:val="28"/>
          <w:highlight w:val="none"/>
          <w:lang w:val="en-US" w:eastAsia="zh-CN"/>
        </w:rPr>
        <w:t>七</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rPr>
        <w:t>类似工程业绩表</w:t>
      </w:r>
    </w:p>
    <w:p w14:paraId="343F80C4">
      <w:pPr>
        <w:pStyle w:val="10"/>
        <w:rPr>
          <w:rFonts w:hint="eastAsia" w:ascii="宋体" w:hAnsi="宋体" w:eastAsia="宋体" w:cs="宋体"/>
          <w:color w:val="auto"/>
          <w:highlight w:val="none"/>
        </w:rPr>
      </w:pP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445"/>
        <w:gridCol w:w="2310"/>
        <w:gridCol w:w="2055"/>
      </w:tblGrid>
      <w:tr w14:paraId="379DD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2484" w:type="dxa"/>
            <w:tcBorders>
              <w:top w:val="single" w:color="auto" w:sz="4" w:space="0"/>
              <w:left w:val="single" w:color="auto" w:sz="4" w:space="0"/>
              <w:bottom w:val="single" w:color="auto" w:sz="4" w:space="0"/>
              <w:right w:val="single" w:color="auto" w:sz="4" w:space="0"/>
            </w:tcBorders>
            <w:noWrap w:val="0"/>
            <w:vAlign w:val="center"/>
          </w:tcPr>
          <w:p w14:paraId="4CBFCFDE">
            <w:pPr>
              <w:jc w:val="center"/>
              <w:rPr>
                <w:rFonts w:hint="eastAsia" w:ascii="宋体" w:hAnsi="宋体" w:eastAsia="宋体" w:cs="宋体"/>
                <w:color w:val="auto"/>
                <w:kern w:val="10"/>
                <w:szCs w:val="21"/>
                <w:highlight w:val="none"/>
                <w:lang w:eastAsia="zh-CN"/>
              </w:rPr>
            </w:pPr>
            <w:r>
              <w:rPr>
                <w:rFonts w:hint="eastAsia" w:ascii="宋体" w:hAnsi="宋体" w:eastAsia="宋体" w:cs="宋体"/>
                <w:color w:val="auto"/>
                <w:kern w:val="10"/>
                <w:szCs w:val="21"/>
                <w:highlight w:val="none"/>
                <w:lang w:eastAsia="zh-CN"/>
              </w:rPr>
              <w:t>项目名称</w:t>
            </w:r>
          </w:p>
        </w:tc>
        <w:tc>
          <w:tcPr>
            <w:tcW w:w="2445" w:type="dxa"/>
            <w:tcBorders>
              <w:top w:val="single" w:color="auto" w:sz="4" w:space="0"/>
              <w:left w:val="single" w:color="auto" w:sz="4" w:space="0"/>
              <w:bottom w:val="single" w:color="auto" w:sz="4" w:space="0"/>
              <w:right w:val="single" w:color="auto" w:sz="4" w:space="0"/>
            </w:tcBorders>
            <w:noWrap w:val="0"/>
            <w:vAlign w:val="center"/>
          </w:tcPr>
          <w:p w14:paraId="494A1FB2">
            <w:pPr>
              <w:jc w:val="center"/>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合同金额</w:t>
            </w:r>
          </w:p>
        </w:tc>
        <w:tc>
          <w:tcPr>
            <w:tcW w:w="2310" w:type="dxa"/>
            <w:tcBorders>
              <w:top w:val="single" w:color="auto" w:sz="4" w:space="0"/>
              <w:left w:val="single" w:color="auto" w:sz="4" w:space="0"/>
              <w:bottom w:val="single" w:color="auto" w:sz="4" w:space="0"/>
              <w:right w:val="single" w:color="auto" w:sz="4" w:space="0"/>
            </w:tcBorders>
            <w:noWrap w:val="0"/>
            <w:vAlign w:val="center"/>
          </w:tcPr>
          <w:p w14:paraId="6328A269">
            <w:pPr>
              <w:jc w:val="center"/>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工程规模</w:t>
            </w:r>
          </w:p>
        </w:tc>
        <w:tc>
          <w:tcPr>
            <w:tcW w:w="2055" w:type="dxa"/>
            <w:tcBorders>
              <w:top w:val="single" w:color="auto" w:sz="4" w:space="0"/>
              <w:left w:val="single" w:color="auto" w:sz="4" w:space="0"/>
              <w:bottom w:val="single" w:color="auto" w:sz="4" w:space="0"/>
              <w:right w:val="single" w:color="auto" w:sz="4" w:space="0"/>
            </w:tcBorders>
            <w:noWrap w:val="0"/>
            <w:vAlign w:val="center"/>
          </w:tcPr>
          <w:p w14:paraId="3EC76BEA">
            <w:pPr>
              <w:jc w:val="center"/>
              <w:rPr>
                <w:rFonts w:hint="eastAsia" w:ascii="宋体" w:hAnsi="宋体" w:eastAsia="宋体" w:cs="宋体"/>
                <w:color w:val="auto"/>
                <w:kern w:val="10"/>
                <w:szCs w:val="21"/>
                <w:highlight w:val="none"/>
              </w:rPr>
            </w:pPr>
            <w:r>
              <w:rPr>
                <w:rFonts w:hint="eastAsia" w:ascii="宋体" w:hAnsi="宋体" w:eastAsia="宋体" w:cs="宋体"/>
                <w:color w:val="auto"/>
                <w:kern w:val="10"/>
                <w:szCs w:val="21"/>
                <w:highlight w:val="none"/>
              </w:rPr>
              <w:t>完成日期</w:t>
            </w:r>
          </w:p>
        </w:tc>
      </w:tr>
      <w:tr w14:paraId="74663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2484" w:type="dxa"/>
            <w:tcBorders>
              <w:top w:val="single" w:color="auto" w:sz="4" w:space="0"/>
              <w:left w:val="single" w:color="auto" w:sz="4" w:space="0"/>
              <w:bottom w:val="single" w:color="auto" w:sz="4" w:space="0"/>
              <w:right w:val="single" w:color="auto" w:sz="4" w:space="0"/>
            </w:tcBorders>
            <w:noWrap w:val="0"/>
            <w:vAlign w:val="top"/>
          </w:tcPr>
          <w:p w14:paraId="5E49A117">
            <w:pPr>
              <w:jc w:val="center"/>
              <w:rPr>
                <w:rFonts w:hint="eastAsia" w:ascii="宋体" w:hAnsi="宋体" w:eastAsia="宋体" w:cs="宋体"/>
                <w:b/>
                <w:color w:val="auto"/>
                <w:sz w:val="24"/>
                <w:highlight w:val="none"/>
              </w:rPr>
            </w:pPr>
          </w:p>
        </w:tc>
        <w:tc>
          <w:tcPr>
            <w:tcW w:w="2445" w:type="dxa"/>
            <w:tcBorders>
              <w:top w:val="single" w:color="auto" w:sz="4" w:space="0"/>
              <w:left w:val="single" w:color="auto" w:sz="4" w:space="0"/>
              <w:bottom w:val="single" w:color="auto" w:sz="4" w:space="0"/>
              <w:right w:val="single" w:color="auto" w:sz="4" w:space="0"/>
            </w:tcBorders>
            <w:noWrap w:val="0"/>
            <w:vAlign w:val="top"/>
          </w:tcPr>
          <w:p w14:paraId="1E4C1DDB">
            <w:pPr>
              <w:jc w:val="center"/>
              <w:rPr>
                <w:rFonts w:hint="eastAsia" w:ascii="宋体" w:hAnsi="宋体" w:eastAsia="宋体" w:cs="宋体"/>
                <w:b/>
                <w:color w:val="auto"/>
                <w:sz w:val="24"/>
                <w:highlight w:val="none"/>
              </w:rPr>
            </w:pPr>
          </w:p>
        </w:tc>
        <w:tc>
          <w:tcPr>
            <w:tcW w:w="2310" w:type="dxa"/>
            <w:tcBorders>
              <w:top w:val="single" w:color="auto" w:sz="4" w:space="0"/>
              <w:left w:val="single" w:color="auto" w:sz="4" w:space="0"/>
              <w:bottom w:val="single" w:color="auto" w:sz="4" w:space="0"/>
              <w:right w:val="single" w:color="auto" w:sz="4" w:space="0"/>
            </w:tcBorders>
            <w:noWrap w:val="0"/>
            <w:vAlign w:val="top"/>
          </w:tcPr>
          <w:p w14:paraId="0C43D816">
            <w:pPr>
              <w:ind w:right="4200" w:rightChars="2000"/>
              <w:jc w:val="center"/>
              <w:rPr>
                <w:rFonts w:hint="eastAsia" w:ascii="宋体" w:hAnsi="宋体" w:eastAsia="宋体" w:cs="宋体"/>
                <w:b/>
                <w:color w:val="auto"/>
                <w:sz w:val="24"/>
                <w:highlight w:val="none"/>
              </w:rPr>
            </w:pPr>
          </w:p>
        </w:tc>
        <w:tc>
          <w:tcPr>
            <w:tcW w:w="2055" w:type="dxa"/>
            <w:tcBorders>
              <w:top w:val="single" w:color="auto" w:sz="4" w:space="0"/>
              <w:left w:val="single" w:color="auto" w:sz="4" w:space="0"/>
              <w:bottom w:val="single" w:color="auto" w:sz="4" w:space="0"/>
              <w:right w:val="single" w:color="auto" w:sz="4" w:space="0"/>
            </w:tcBorders>
            <w:noWrap w:val="0"/>
            <w:vAlign w:val="top"/>
          </w:tcPr>
          <w:p w14:paraId="7B54F887">
            <w:pPr>
              <w:ind w:right="4200" w:rightChars="2000"/>
              <w:jc w:val="center"/>
              <w:rPr>
                <w:rFonts w:hint="eastAsia" w:ascii="宋体" w:hAnsi="宋体" w:eastAsia="宋体" w:cs="宋体"/>
                <w:b/>
                <w:color w:val="auto"/>
                <w:sz w:val="24"/>
                <w:highlight w:val="none"/>
              </w:rPr>
            </w:pPr>
          </w:p>
        </w:tc>
      </w:tr>
    </w:tbl>
    <w:p w14:paraId="52B479C9">
      <w:pPr>
        <w:ind w:right="945"/>
        <w:jc w:val="left"/>
        <w:rPr>
          <w:rFonts w:hint="eastAsia" w:ascii="宋体" w:hAnsi="宋体" w:eastAsia="宋体" w:cs="宋体"/>
          <w:color w:val="auto"/>
          <w:szCs w:val="21"/>
          <w:highlight w:val="none"/>
        </w:rPr>
      </w:pPr>
    </w:p>
    <w:p w14:paraId="2880C182">
      <w:pPr>
        <w:ind w:right="945"/>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eastAsia="zh-CN"/>
        </w:rPr>
        <w:t>备</w:t>
      </w:r>
      <w:r>
        <w:rPr>
          <w:rFonts w:hint="eastAsia" w:ascii="宋体" w:hAnsi="宋体" w:eastAsia="宋体" w:cs="宋体"/>
          <w:b/>
          <w:color w:val="auto"/>
          <w:szCs w:val="21"/>
          <w:highlight w:val="none"/>
        </w:rPr>
        <w:t>注：</w:t>
      </w:r>
    </w:p>
    <w:p w14:paraId="132A9A76">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投标人须在本表后附上能反映业绩符合招标文件要求的有效的</w:t>
      </w:r>
      <w:r>
        <w:rPr>
          <w:rFonts w:hint="eastAsia" w:ascii="宋体" w:hAnsi="宋体" w:eastAsia="宋体" w:cs="宋体"/>
          <w:b/>
          <w:color w:val="auto"/>
          <w:szCs w:val="21"/>
          <w:highlight w:val="none"/>
        </w:rPr>
        <w:t>施工合同</w:t>
      </w:r>
      <w:r>
        <w:rPr>
          <w:rFonts w:hint="eastAsia" w:ascii="宋体" w:hAnsi="宋体" w:eastAsia="宋体" w:cs="宋体"/>
          <w:color w:val="auto"/>
          <w:szCs w:val="21"/>
          <w:highlight w:val="none"/>
        </w:rPr>
        <w:t>和</w:t>
      </w:r>
      <w:r>
        <w:rPr>
          <w:rFonts w:hint="eastAsia" w:ascii="宋体" w:hAnsi="宋体" w:eastAsia="宋体" w:cs="宋体"/>
          <w:b/>
          <w:color w:val="auto"/>
          <w:szCs w:val="21"/>
          <w:highlight w:val="none"/>
        </w:rPr>
        <w:t>竣工验收合格证明材料</w:t>
      </w:r>
      <w:r>
        <w:rPr>
          <w:rFonts w:hint="eastAsia" w:ascii="宋体" w:hAnsi="宋体" w:eastAsia="宋体" w:cs="宋体"/>
          <w:color w:val="auto"/>
          <w:szCs w:val="21"/>
          <w:highlight w:val="none"/>
        </w:rPr>
        <w:t>复印件</w:t>
      </w:r>
      <w:r>
        <w:rPr>
          <w:rFonts w:hint="eastAsia" w:ascii="宋体" w:hAnsi="宋体" w:cs="宋体"/>
          <w:color w:val="auto"/>
          <w:szCs w:val="21"/>
          <w:highlight w:val="none"/>
          <w:lang w:eastAsia="zh-CN"/>
        </w:rPr>
        <w:t>或扫描件</w:t>
      </w:r>
      <w:r>
        <w:rPr>
          <w:rFonts w:hint="eastAsia" w:ascii="宋体" w:hAnsi="宋体" w:eastAsia="宋体" w:cs="宋体"/>
          <w:color w:val="auto"/>
          <w:szCs w:val="21"/>
          <w:highlight w:val="none"/>
        </w:rPr>
        <w:t>，及业绩登记发布在“全国建筑市场监管公共服务平台”上的</w:t>
      </w:r>
      <w:r>
        <w:rPr>
          <w:rFonts w:hint="eastAsia" w:ascii="宋体" w:hAnsi="宋体" w:eastAsia="宋体" w:cs="宋体"/>
          <w:b/>
          <w:color w:val="auto"/>
          <w:szCs w:val="21"/>
          <w:highlight w:val="none"/>
        </w:rPr>
        <w:t>“</w:t>
      </w:r>
      <w:r>
        <w:rPr>
          <w:rFonts w:hint="eastAsia" w:ascii="宋体" w:hAnsi="宋体" w:eastAsia="宋体" w:cs="宋体"/>
          <w:bCs/>
          <w:color w:val="auto"/>
          <w:szCs w:val="21"/>
          <w:highlight w:val="none"/>
        </w:rPr>
        <w:t>工程基本信息</w:t>
      </w:r>
      <w:r>
        <w:rPr>
          <w:rFonts w:hint="eastAsia" w:ascii="宋体" w:hAnsi="宋体" w:eastAsia="宋体" w:cs="宋体"/>
          <w:b/>
          <w:color w:val="auto"/>
          <w:szCs w:val="21"/>
          <w:highlight w:val="none"/>
        </w:rPr>
        <w:t>”截图</w:t>
      </w:r>
      <w:r>
        <w:rPr>
          <w:rFonts w:hint="eastAsia" w:ascii="宋体" w:hAnsi="宋体" w:eastAsia="宋体" w:cs="宋体"/>
          <w:color w:val="auto"/>
          <w:szCs w:val="21"/>
          <w:highlight w:val="none"/>
        </w:rPr>
        <w:t>，否则业绩不予认可。</w:t>
      </w:r>
    </w:p>
    <w:p w14:paraId="4B6ED0A1">
      <w:pPr>
        <w:keepNext w:val="0"/>
        <w:keepLines w:val="0"/>
        <w:pageBreakBefore w:val="0"/>
        <w:widowControl w:val="0"/>
        <w:tabs>
          <w:tab w:val="left" w:pos="9354"/>
        </w:tabs>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施工合同可只复印</w:t>
      </w:r>
      <w:r>
        <w:rPr>
          <w:rFonts w:hint="eastAsia" w:ascii="宋体" w:hAnsi="宋体" w:cs="宋体"/>
          <w:color w:val="auto"/>
          <w:szCs w:val="21"/>
          <w:highlight w:val="none"/>
          <w:lang w:eastAsia="zh-CN"/>
        </w:rPr>
        <w:t>或扫描</w:t>
      </w:r>
      <w:r>
        <w:rPr>
          <w:rFonts w:hint="eastAsia" w:ascii="宋体" w:hAnsi="宋体" w:eastAsia="宋体" w:cs="宋体"/>
          <w:color w:val="auto"/>
          <w:szCs w:val="21"/>
          <w:highlight w:val="none"/>
        </w:rPr>
        <w:t>盖章页及含有项目名称、签约主体、合同价款、规模等技术指标的关键页，施工合同复印件</w:t>
      </w:r>
      <w:r>
        <w:rPr>
          <w:rFonts w:hint="eastAsia" w:ascii="宋体" w:hAnsi="宋体" w:cs="宋体"/>
          <w:color w:val="auto"/>
          <w:szCs w:val="21"/>
          <w:highlight w:val="none"/>
          <w:lang w:eastAsia="zh-CN"/>
        </w:rPr>
        <w:t>或扫描件</w:t>
      </w:r>
      <w:r>
        <w:rPr>
          <w:rFonts w:hint="eastAsia" w:ascii="宋体" w:hAnsi="宋体" w:eastAsia="宋体" w:cs="宋体"/>
          <w:color w:val="auto"/>
          <w:szCs w:val="21"/>
          <w:highlight w:val="none"/>
        </w:rPr>
        <w:t>须能反映合同签约双方已盖章签字。其他资料需提供完整内容的复印件</w:t>
      </w:r>
      <w:r>
        <w:rPr>
          <w:rFonts w:hint="eastAsia" w:ascii="宋体" w:hAnsi="宋体" w:cs="宋体"/>
          <w:color w:val="auto"/>
          <w:szCs w:val="21"/>
          <w:highlight w:val="none"/>
          <w:lang w:eastAsia="zh-CN"/>
        </w:rPr>
        <w:t>或扫描件</w:t>
      </w:r>
      <w:r>
        <w:rPr>
          <w:rFonts w:hint="eastAsia" w:ascii="宋体" w:hAnsi="宋体" w:eastAsia="宋体" w:cs="宋体"/>
          <w:color w:val="auto"/>
          <w:szCs w:val="21"/>
          <w:highlight w:val="none"/>
        </w:rPr>
        <w:t>。</w:t>
      </w:r>
    </w:p>
    <w:p w14:paraId="08496D3C">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相关竣工验收合格证明材料复印件</w:t>
      </w:r>
      <w:r>
        <w:rPr>
          <w:rFonts w:hint="eastAsia" w:ascii="宋体" w:hAnsi="宋体" w:cs="宋体"/>
          <w:color w:val="auto"/>
          <w:szCs w:val="21"/>
          <w:highlight w:val="none"/>
          <w:lang w:eastAsia="zh-CN"/>
        </w:rPr>
        <w:t>或扫描件</w:t>
      </w:r>
      <w:r>
        <w:rPr>
          <w:rFonts w:hint="eastAsia" w:ascii="宋体" w:hAnsi="宋体" w:eastAsia="宋体" w:cs="宋体"/>
          <w:color w:val="auto"/>
          <w:szCs w:val="21"/>
          <w:highlight w:val="none"/>
        </w:rPr>
        <w:t>须能反映工程已竣工验收，并已注明签发日期，竣工验收合格证明材料的签发日期在业绩要求规定的时间范围内的方为有效业绩。</w:t>
      </w:r>
    </w:p>
    <w:p w14:paraId="05BD6EFD">
      <w:pPr>
        <w:keepNext w:val="0"/>
        <w:keepLines w:val="0"/>
        <w:pageBreakBefore w:val="0"/>
        <w:widowControl w:val="0"/>
        <w:kinsoku/>
        <w:wordWrap/>
        <w:overflowPunct/>
        <w:topLinePunct w:val="0"/>
        <w:autoSpaceDE/>
        <w:autoSpaceDN/>
        <w:bidi w:val="0"/>
        <w:adjustRightInd/>
        <w:snapToGrid/>
        <w:spacing w:line="360" w:lineRule="auto"/>
        <w:ind w:right="945"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竣工验收合格证明材料包括：</w:t>
      </w:r>
    </w:p>
    <w:p w14:paraId="22712571">
      <w:pPr>
        <w:keepNext w:val="0"/>
        <w:keepLines w:val="0"/>
        <w:pageBreakBefore w:val="0"/>
        <w:widowControl w:val="0"/>
        <w:tabs>
          <w:tab w:val="left" w:pos="9354"/>
        </w:tabs>
        <w:kinsoku/>
        <w:wordWrap/>
        <w:overflowPunct/>
        <w:topLinePunct w:val="0"/>
        <w:autoSpaceDE/>
        <w:autoSpaceDN/>
        <w:bidi w:val="0"/>
        <w:adjustRightInd/>
        <w:snapToGrid/>
        <w:spacing w:line="360" w:lineRule="auto"/>
        <w:ind w:right="945"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（1）中标通知书或施工许可证。</w:t>
      </w:r>
    </w:p>
    <w:p w14:paraId="60F99C87">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（2）由行政部门盖章签发的竣工验收合格证明材料或有建设单位（代建单位）、监理单位、设计单位、施工单位公章的竣工验收合格证明材料。</w:t>
      </w:r>
    </w:p>
    <w:p w14:paraId="3FBCCFF7">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工程规模以合同上的规模为准。</w:t>
      </w:r>
    </w:p>
    <w:p w14:paraId="13A83259">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合同金额以施工合同中的数据为准。施工承包合同未载明合同总价的，以工程结算资料复印件</w:t>
      </w:r>
      <w:r>
        <w:rPr>
          <w:rFonts w:hint="eastAsia" w:ascii="宋体" w:hAnsi="宋体" w:cs="宋体"/>
          <w:color w:val="auto"/>
          <w:szCs w:val="21"/>
          <w:highlight w:val="none"/>
          <w:lang w:eastAsia="zh-CN"/>
        </w:rPr>
        <w:t>或扫描件</w:t>
      </w:r>
      <w:r>
        <w:rPr>
          <w:rFonts w:hint="eastAsia" w:ascii="宋体" w:hAnsi="宋体" w:eastAsia="宋体" w:cs="宋体"/>
          <w:color w:val="auto"/>
          <w:szCs w:val="21"/>
          <w:highlight w:val="none"/>
        </w:rPr>
        <w:t>（工程结算资料须能反映结算双方已盖章确认的结算金额）为准。单项合同金额是指一个承包合同所载合同价，同一工程项目分期发包，签订多个施工合同的，不以累加的合同额作为代表工程业绩。</w:t>
      </w:r>
    </w:p>
    <w:p w14:paraId="100785BA">
      <w:pPr>
        <w:keepNext w:val="0"/>
        <w:keepLines w:val="0"/>
        <w:pageBreakBefore w:val="0"/>
        <w:widowControl w:val="0"/>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若业绩是</w:t>
      </w:r>
      <w:r>
        <w:rPr>
          <w:rFonts w:hint="eastAsia" w:ascii="宋体" w:hAnsi="宋体" w:eastAsia="宋体" w:cs="宋体"/>
          <w:color w:val="auto"/>
          <w:szCs w:val="21"/>
          <w:highlight w:val="none"/>
          <w:lang w:val="en-US" w:eastAsia="zh-CN"/>
        </w:rPr>
        <w:t>由</w:t>
      </w:r>
      <w:r>
        <w:rPr>
          <w:rFonts w:hint="eastAsia" w:ascii="宋体" w:hAnsi="宋体" w:eastAsia="宋体" w:cs="宋体"/>
          <w:color w:val="auto"/>
          <w:szCs w:val="21"/>
          <w:highlight w:val="none"/>
        </w:rPr>
        <w:t>多个施工单位联合承担的，面积或金额按施工单位家数均分；合同中有约定的，按合同约定为准。</w:t>
      </w:r>
    </w:p>
    <w:p w14:paraId="7BBE4410">
      <w:pPr>
        <w:keepNext w:val="0"/>
        <w:keepLines w:val="0"/>
        <w:pageBreakBefore w:val="0"/>
        <w:widowControl w:val="0"/>
        <w:tabs>
          <w:tab w:val="left" w:pos="9354"/>
        </w:tabs>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投标人法人机构发生合法变更或重组或法人名称变更时，应提供相关部门的合法批件或其他相关证明材料来证明其所附业绩的继承性；未提供相关证明材料或所提供的证明材料无法证实其所附业绩的继承性的，其业绩不予认定。</w:t>
      </w:r>
    </w:p>
    <w:p w14:paraId="7CD9F838">
      <w:pPr>
        <w:keepNext w:val="0"/>
        <w:keepLines w:val="0"/>
        <w:pageBreakBefore w:val="0"/>
        <w:widowControl w:val="0"/>
        <w:tabs>
          <w:tab w:val="left" w:pos="9354"/>
        </w:tabs>
        <w:kinsoku/>
        <w:wordWrap/>
        <w:overflowPunct/>
        <w:topLinePunct w:val="0"/>
        <w:autoSpaceDE/>
        <w:autoSpaceDN/>
        <w:bidi w:val="0"/>
        <w:adjustRightInd/>
        <w:snapToGrid/>
        <w:spacing w:line="360" w:lineRule="auto"/>
        <w:ind w:right="-2"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9.投标人只需提交1个类似工程业绩。</w:t>
      </w:r>
    </w:p>
    <w:p w14:paraId="176BB085">
      <w:pPr>
        <w:pBdr>
          <w:bottom w:val="single" w:color="auto" w:sz="6" w:space="1"/>
        </w:pBdr>
        <w:spacing w:line="480" w:lineRule="auto"/>
        <w:ind w:firstLine="472" w:firstLineChars="224"/>
        <w:rPr>
          <w:rFonts w:hint="eastAsia"/>
          <w:b/>
          <w:color w:val="auto"/>
          <w:szCs w:val="21"/>
          <w:highlight w:val="none"/>
        </w:rPr>
      </w:pPr>
    </w:p>
    <w:p w14:paraId="1282C1A8">
      <w:pPr>
        <w:numPr>
          <w:ilvl w:val="0"/>
          <w:numId w:val="0"/>
        </w:numPr>
        <w:spacing w:line="480" w:lineRule="auto"/>
        <w:rPr>
          <w:rFonts w:hint="eastAsia"/>
          <w:b/>
          <w:color w:val="auto"/>
          <w:szCs w:val="21"/>
          <w:highlight w:val="none"/>
        </w:rPr>
      </w:pPr>
      <w:r>
        <w:rPr>
          <w:rFonts w:hint="eastAsia"/>
          <w:b/>
          <w:color w:val="auto"/>
          <w:szCs w:val="21"/>
          <w:highlight w:val="none"/>
          <w:lang w:val="en-US" w:eastAsia="zh-CN"/>
        </w:rPr>
        <w:t xml:space="preserve">3. </w:t>
      </w:r>
      <w:r>
        <w:rPr>
          <w:rFonts w:hint="eastAsia"/>
          <w:b/>
          <w:color w:val="auto"/>
          <w:szCs w:val="21"/>
          <w:highlight w:val="none"/>
        </w:rPr>
        <w:t>修改内容</w:t>
      </w:r>
    </w:p>
    <w:p w14:paraId="443D5D11">
      <w:pPr>
        <w:pBdr>
          <w:top w:val="none" w:color="auto" w:sz="0" w:space="0"/>
          <w:left w:val="none" w:color="auto" w:sz="0" w:space="0"/>
          <w:bottom w:val="none" w:color="auto" w:sz="0" w:space="0"/>
          <w:right w:val="none" w:color="auto" w:sz="0" w:space="0"/>
          <w:between w:val="none" w:color="auto" w:sz="0" w:space="0"/>
        </w:pBdr>
        <w:spacing w:line="480" w:lineRule="auto"/>
        <w:ind w:firstLine="472" w:firstLineChars="224"/>
        <w:rPr>
          <w:rFonts w:hint="eastAsia" w:eastAsia="宋体"/>
          <w:b/>
          <w:color w:val="auto"/>
          <w:szCs w:val="21"/>
          <w:highlight w:val="none"/>
          <w:lang w:val="en-US" w:eastAsia="zh-CN"/>
        </w:rPr>
      </w:pPr>
      <w:r>
        <w:rPr>
          <w:rFonts w:hint="eastAsia"/>
          <w:b/>
          <w:color w:val="auto"/>
          <w:szCs w:val="21"/>
          <w:highlight w:val="none"/>
        </w:rPr>
        <w:t>3.1章节条款号：</w:t>
      </w:r>
      <w:r>
        <w:rPr>
          <w:rFonts w:hint="eastAsia" w:ascii="Times New Roman" w:hAnsi="Times New Roman" w:eastAsia="宋体" w:cs="Times New Roman"/>
          <w:b/>
          <w:bCs w:val="0"/>
          <w:color w:val="auto"/>
          <w:szCs w:val="21"/>
          <w:highlight w:val="none"/>
        </w:rPr>
        <w:t>第二章 投标人须知</w:t>
      </w:r>
      <w:r>
        <w:rPr>
          <w:rFonts w:hint="eastAsia" w:ascii="Times New Roman" w:hAnsi="Times New Roman" w:eastAsia="宋体" w:cs="Times New Roman"/>
          <w:b/>
          <w:bCs w:val="0"/>
          <w:color w:val="auto"/>
          <w:szCs w:val="21"/>
          <w:highlight w:val="none"/>
          <w:lang w:val="en-US" w:eastAsia="zh-CN"/>
        </w:rPr>
        <w:t xml:space="preserve"> / </w:t>
      </w:r>
      <w:r>
        <w:rPr>
          <w:rFonts w:hint="eastAsia" w:ascii="宋体" w:hAnsi="宋体" w:eastAsia="宋体" w:cs="宋体"/>
          <w:b/>
          <w:bCs w:val="0"/>
          <w:color w:val="auto"/>
          <w:highlight w:val="none"/>
          <w:lang w:val="en-US" w:eastAsia="zh-CN"/>
        </w:rPr>
        <w:t>3. 投标文件/ 3.1.1.1 资格标</w:t>
      </w:r>
    </w:p>
    <w:p w14:paraId="6CF31F6E">
      <w:pPr>
        <w:pBdr>
          <w:bottom w:val="single" w:color="auto" w:sz="6" w:space="1"/>
        </w:pBdr>
        <w:spacing w:line="480" w:lineRule="auto"/>
        <w:ind w:firstLine="472" w:firstLineChars="224"/>
        <w:rPr>
          <w:rFonts w:hint="eastAsia"/>
          <w:b/>
          <w:color w:val="auto"/>
          <w:szCs w:val="21"/>
          <w:highlight w:val="none"/>
        </w:rPr>
      </w:pPr>
      <w:r>
        <w:rPr>
          <w:rFonts w:hint="eastAsia"/>
          <w:b/>
          <w:color w:val="auto"/>
          <w:szCs w:val="21"/>
          <w:highlight w:val="none"/>
        </w:rPr>
        <w:t>原文：3.1.1.1 资格标</w:t>
      </w:r>
    </w:p>
    <w:p w14:paraId="139DA678">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（1）封面；</w:t>
      </w:r>
    </w:p>
    <w:p w14:paraId="29B428F1">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（2）目录；</w:t>
      </w:r>
    </w:p>
    <w:p w14:paraId="013F727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（3）法定代表人</w:t>
      </w:r>
      <w:r>
        <w:rPr>
          <w:rFonts w:hint="eastAsia" w:ascii="宋体" w:hAnsi="宋体" w:eastAsia="宋体" w:cs="宋体"/>
          <w:color w:val="auto"/>
          <w:szCs w:val="21"/>
          <w:highlight w:val="none"/>
          <w:lang w:val="en-US" w:eastAsia="zh-CN"/>
        </w:rPr>
        <w:t>身份证明（</w:t>
      </w:r>
      <w:r>
        <w:rPr>
          <w:rFonts w:hint="eastAsia" w:ascii="宋体" w:hAnsi="宋体" w:eastAsia="宋体" w:cs="宋体"/>
          <w:color w:val="auto"/>
          <w:szCs w:val="21"/>
          <w:highlight w:val="none"/>
        </w:rPr>
        <w:t>联合体投标的，由牵头单位提供</w:t>
      </w:r>
      <w:r>
        <w:rPr>
          <w:rFonts w:hint="eastAsia" w:ascii="宋体" w:hAnsi="宋体" w:eastAsia="宋体" w:cs="宋体"/>
          <w:color w:val="auto"/>
          <w:szCs w:val="21"/>
          <w:highlight w:val="none"/>
          <w:lang w:val="en-US" w:eastAsia="zh-CN"/>
        </w:rPr>
        <w:t>）；</w:t>
      </w:r>
    </w:p>
    <w:p w14:paraId="61C41CAF">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（4）授权委托书（适用于有代理人的情况。</w:t>
      </w:r>
      <w:r>
        <w:rPr>
          <w:rFonts w:hint="eastAsia" w:ascii="宋体" w:hAnsi="宋体" w:eastAsia="宋体" w:cs="宋体"/>
          <w:color w:val="auto"/>
          <w:szCs w:val="21"/>
          <w:highlight w:val="none"/>
        </w:rPr>
        <w:t>联合体投标的，由牵头单位提供</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w:t>
      </w:r>
    </w:p>
    <w:p w14:paraId="63BB086E">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投标人基本情况表；</w:t>
      </w:r>
    </w:p>
    <w:p w14:paraId="3440A96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）联合体协议书（适用于联合体投标的情况）</w:t>
      </w:r>
      <w:r>
        <w:rPr>
          <w:rFonts w:hint="eastAsia" w:ascii="宋体" w:hAnsi="宋体" w:eastAsia="宋体" w:cs="宋体"/>
          <w:color w:val="auto"/>
          <w:szCs w:val="21"/>
          <w:highlight w:val="none"/>
        </w:rPr>
        <w:t>；</w:t>
      </w:r>
    </w:p>
    <w:p w14:paraId="09983F02">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《信用中国》</w:t>
      </w:r>
      <w:r>
        <w:rPr>
          <w:rFonts w:hint="eastAsia" w:ascii="宋体" w:hAnsi="宋体" w:eastAsia="宋体" w:cs="宋体"/>
          <w:color w:val="auto"/>
          <w:highlight w:val="none"/>
        </w:rPr>
        <w:t>网站</w:t>
      </w:r>
      <w:r>
        <w:rPr>
          <w:rFonts w:hint="eastAsia" w:ascii="宋体" w:hAnsi="宋体" w:eastAsia="宋体" w:cs="宋体"/>
          <w:color w:val="auto"/>
          <w:highlight w:val="none"/>
          <w:lang w:val="en-US" w:eastAsia="zh-CN"/>
        </w:rPr>
        <w:t>下载</w:t>
      </w:r>
      <w:r>
        <w:rPr>
          <w:rFonts w:hint="eastAsia" w:ascii="宋体" w:hAnsi="宋体" w:eastAsia="宋体" w:cs="宋体"/>
          <w:color w:val="auto"/>
          <w:highlight w:val="none"/>
        </w:rPr>
        <w:t>的信用</w:t>
      </w:r>
      <w:r>
        <w:rPr>
          <w:rFonts w:hint="eastAsia" w:ascii="宋体" w:hAnsi="宋体" w:eastAsia="宋体" w:cs="宋体"/>
          <w:color w:val="auto"/>
          <w:highlight w:val="none"/>
          <w:lang w:val="en-US" w:eastAsia="zh-CN"/>
        </w:rPr>
        <w:t>信息</w:t>
      </w:r>
      <w:r>
        <w:rPr>
          <w:rFonts w:hint="eastAsia" w:ascii="宋体" w:hAnsi="宋体" w:eastAsia="宋体" w:cs="宋体"/>
          <w:color w:val="auto"/>
          <w:highlight w:val="none"/>
        </w:rPr>
        <w:t>报告</w:t>
      </w:r>
      <w:r>
        <w:rPr>
          <w:rFonts w:hint="eastAsia" w:ascii="宋体" w:hAnsi="宋体" w:eastAsia="宋体" w:cs="宋体"/>
          <w:color w:val="auto"/>
          <w:highlight w:val="none"/>
          <w:lang w:eastAsia="zh-CN"/>
        </w:rPr>
        <w:t>；</w:t>
      </w:r>
    </w:p>
    <w:p w14:paraId="2A694AE0">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国家企业信用信息公示系统的企业信用信息公示报告</w:t>
      </w:r>
      <w:r>
        <w:rPr>
          <w:rFonts w:hint="eastAsia" w:ascii="宋体" w:hAnsi="宋体" w:eastAsia="宋体" w:cs="宋体"/>
          <w:color w:val="auto"/>
          <w:highlight w:val="none"/>
          <w:lang w:eastAsia="zh-CN"/>
        </w:rPr>
        <w:t>；</w:t>
      </w:r>
    </w:p>
    <w:p w14:paraId="32757B9B">
      <w:pPr>
        <w:pageBreakBefore w:val="0"/>
        <w:kinsoku/>
        <w:wordWrap/>
        <w:overflowPunct/>
        <w:topLinePunct w:val="0"/>
        <w:bidi w:val="0"/>
        <w:spacing w:line="360" w:lineRule="auto"/>
        <w:ind w:left="420" w:leftChars="200" w:firstLine="0" w:firstLineChars="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）类似工程业绩表（如需）；</w:t>
      </w:r>
    </w:p>
    <w:p w14:paraId="4FF01912">
      <w:pPr>
        <w:pStyle w:val="14"/>
        <w:spacing w:line="360" w:lineRule="auto"/>
        <w:ind w:firstLine="420" w:firstLineChars="200"/>
        <w:rPr>
          <w:rFonts w:hint="eastAsia" w:hAnsi="宋体" w:eastAsia="宋体" w:cs="宋体"/>
          <w:color w:val="auto"/>
          <w:highlight w:val="none"/>
          <w:lang w:eastAsia="zh-CN"/>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投标保证金承诺书（如需）</w:t>
      </w:r>
      <w:r>
        <w:rPr>
          <w:rFonts w:hint="eastAsia" w:hAnsi="宋体" w:eastAsia="宋体" w:cs="宋体"/>
          <w:color w:val="auto"/>
          <w:highlight w:val="none"/>
          <w:lang w:eastAsia="zh-CN"/>
        </w:rPr>
        <w:t>；</w:t>
      </w:r>
    </w:p>
    <w:p w14:paraId="7BD86496">
      <w:pPr>
        <w:pStyle w:val="14"/>
        <w:spacing w:line="360" w:lineRule="auto"/>
        <w:ind w:firstLine="420" w:firstLineChars="200"/>
        <w:rPr>
          <w:rFonts w:hint="eastAsia" w:ascii="宋体" w:hAnsi="宋体" w:eastAsia="宋体" w:cs="宋体"/>
          <w:color w:val="auto"/>
          <w:highlight w:val="none"/>
          <w:lang w:eastAsia="zh-CN"/>
        </w:rPr>
      </w:pPr>
      <w:r>
        <w:rPr>
          <w:rFonts w:hint="eastAsia" w:hAnsi="宋体" w:eastAsia="宋体" w:cs="宋体"/>
          <w:color w:val="auto"/>
          <w:highlight w:val="none"/>
          <w:lang w:eastAsia="zh-CN"/>
        </w:rPr>
        <w:t>（11）低于投标报价警戒值的证明材料（如需）</w:t>
      </w:r>
      <w:r>
        <w:rPr>
          <w:rFonts w:hint="eastAsia" w:hAnsi="宋体" w:cs="宋体"/>
          <w:color w:val="auto"/>
          <w:highlight w:val="none"/>
          <w:lang w:eastAsia="zh-CN"/>
        </w:rPr>
        <w:t>；</w:t>
      </w:r>
    </w:p>
    <w:p w14:paraId="0E9D4CE4">
      <w:pPr>
        <w:pageBreakBefore w:val="0"/>
        <w:kinsoku/>
        <w:wordWrap/>
        <w:overflowPunct/>
        <w:topLinePunct w:val="0"/>
        <w:bidi w:val="0"/>
        <w:spacing w:line="360" w:lineRule="auto"/>
        <w:ind w:left="399" w:leftChars="190"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szCs w:val="21"/>
          <w:highlight w:val="none"/>
          <w:lang w:eastAsia="zh-CN"/>
        </w:rPr>
        <w:t>投标人认为需要补充的材料。</w:t>
      </w:r>
    </w:p>
    <w:p w14:paraId="7B17348F">
      <w:pPr>
        <w:pBdr>
          <w:bottom w:val="single" w:color="auto" w:sz="6" w:space="1"/>
        </w:pBdr>
        <w:spacing w:line="480" w:lineRule="auto"/>
        <w:ind w:firstLine="472" w:firstLineChars="224"/>
        <w:rPr>
          <w:rFonts w:hint="eastAsia"/>
          <w:b/>
          <w:color w:val="auto"/>
          <w:szCs w:val="21"/>
          <w:highlight w:val="none"/>
        </w:rPr>
      </w:pPr>
    </w:p>
    <w:p w14:paraId="5CDBFAD5">
      <w:pPr>
        <w:pBdr>
          <w:bottom w:val="single" w:color="auto" w:sz="6" w:space="1"/>
        </w:pBdr>
        <w:spacing w:line="480" w:lineRule="auto"/>
        <w:ind w:firstLine="472" w:firstLineChars="224"/>
        <w:rPr>
          <w:rFonts w:hint="eastAsia"/>
          <w:b/>
          <w:color w:val="auto"/>
          <w:szCs w:val="21"/>
          <w:highlight w:val="none"/>
        </w:rPr>
      </w:pPr>
      <w:r>
        <w:rPr>
          <w:rFonts w:hint="eastAsia"/>
          <w:b/>
          <w:color w:val="auto"/>
          <w:szCs w:val="21"/>
          <w:highlight w:val="none"/>
        </w:rPr>
        <w:t>现文：3.1.1.1 资格标</w:t>
      </w:r>
    </w:p>
    <w:p w14:paraId="1DA7BE4C">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（1）封面；</w:t>
      </w:r>
    </w:p>
    <w:p w14:paraId="08B7BF88">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（2）目录；</w:t>
      </w:r>
    </w:p>
    <w:p w14:paraId="602EFB94">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（3）法定代表人</w:t>
      </w:r>
      <w:r>
        <w:rPr>
          <w:rFonts w:hint="eastAsia" w:ascii="宋体" w:hAnsi="宋体" w:eastAsia="宋体" w:cs="宋体"/>
          <w:color w:val="auto"/>
          <w:szCs w:val="21"/>
          <w:highlight w:val="none"/>
          <w:lang w:val="en-US" w:eastAsia="zh-CN"/>
        </w:rPr>
        <w:t>身份证明；</w:t>
      </w:r>
    </w:p>
    <w:p w14:paraId="4753659E">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（4）授权委托书</w:t>
      </w:r>
      <w:r>
        <w:rPr>
          <w:rFonts w:hint="eastAsia" w:ascii="宋体" w:hAnsi="宋体" w:eastAsia="宋体" w:cs="宋体"/>
          <w:color w:val="auto"/>
          <w:szCs w:val="21"/>
          <w:highlight w:val="none"/>
        </w:rPr>
        <w:t>；</w:t>
      </w:r>
    </w:p>
    <w:p w14:paraId="37735AA2">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投标人基本情况表；</w:t>
      </w:r>
    </w:p>
    <w:p w14:paraId="7010EA90">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w:t>
      </w:r>
      <w:r>
        <w:rPr>
          <w:rFonts w:hint="eastAsia" w:ascii="宋体" w:hAnsi="宋体" w:eastAsia="宋体" w:cs="宋体"/>
          <w:color w:val="auto"/>
          <w:highlight w:val="none"/>
          <w:lang w:eastAsia="zh-CN"/>
        </w:rPr>
        <w:t>《信用中国》</w:t>
      </w:r>
      <w:r>
        <w:rPr>
          <w:rFonts w:hint="eastAsia" w:ascii="宋体" w:hAnsi="宋体" w:eastAsia="宋体" w:cs="宋体"/>
          <w:color w:val="auto"/>
          <w:highlight w:val="none"/>
        </w:rPr>
        <w:t>网站</w:t>
      </w:r>
      <w:r>
        <w:rPr>
          <w:rFonts w:hint="eastAsia" w:ascii="宋体" w:hAnsi="宋体" w:eastAsia="宋体" w:cs="宋体"/>
          <w:color w:val="auto"/>
          <w:highlight w:val="none"/>
          <w:lang w:val="en-US" w:eastAsia="zh-CN"/>
        </w:rPr>
        <w:t>下载</w:t>
      </w:r>
      <w:r>
        <w:rPr>
          <w:rFonts w:hint="eastAsia" w:ascii="宋体" w:hAnsi="宋体" w:eastAsia="宋体" w:cs="宋体"/>
          <w:color w:val="auto"/>
          <w:highlight w:val="none"/>
        </w:rPr>
        <w:t>的信用</w:t>
      </w:r>
      <w:r>
        <w:rPr>
          <w:rFonts w:hint="eastAsia" w:ascii="宋体" w:hAnsi="宋体" w:eastAsia="宋体" w:cs="宋体"/>
          <w:color w:val="auto"/>
          <w:highlight w:val="none"/>
          <w:lang w:val="en-US" w:eastAsia="zh-CN"/>
        </w:rPr>
        <w:t>信息</w:t>
      </w:r>
      <w:r>
        <w:rPr>
          <w:rFonts w:hint="eastAsia" w:ascii="宋体" w:hAnsi="宋体" w:eastAsia="宋体" w:cs="宋体"/>
          <w:color w:val="auto"/>
          <w:highlight w:val="none"/>
        </w:rPr>
        <w:t>报告</w:t>
      </w:r>
      <w:r>
        <w:rPr>
          <w:rFonts w:hint="eastAsia" w:ascii="宋体" w:hAnsi="宋体" w:eastAsia="宋体" w:cs="宋体"/>
          <w:color w:val="auto"/>
          <w:highlight w:val="none"/>
          <w:lang w:eastAsia="zh-CN"/>
        </w:rPr>
        <w:t>；</w:t>
      </w:r>
    </w:p>
    <w:p w14:paraId="1AE48F07">
      <w:pPr>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国家企业信用信息公示系统的企业信用信息公示报告</w:t>
      </w:r>
      <w:r>
        <w:rPr>
          <w:rFonts w:hint="eastAsia" w:ascii="宋体" w:hAnsi="宋体" w:eastAsia="宋体" w:cs="宋体"/>
          <w:color w:val="auto"/>
          <w:highlight w:val="none"/>
          <w:lang w:eastAsia="zh-CN"/>
        </w:rPr>
        <w:t>；</w:t>
      </w:r>
    </w:p>
    <w:p w14:paraId="19AA7870">
      <w:pPr>
        <w:pStyle w:val="14"/>
        <w:spacing w:line="360" w:lineRule="auto"/>
        <w:ind w:firstLine="420" w:firstLineChars="200"/>
        <w:rPr>
          <w:rFonts w:hint="eastAsia" w:hAnsi="宋体" w:eastAsia="宋体" w:cs="宋体"/>
          <w:color w:val="auto"/>
          <w:highlight w:val="none"/>
          <w:lang w:eastAsia="zh-CN"/>
        </w:rPr>
      </w:pPr>
      <w:r>
        <w:rPr>
          <w:rFonts w:hint="eastAsia" w:ascii="宋体" w:hAnsi="宋体" w:eastAsia="宋体" w:cs="宋体"/>
          <w:color w:val="auto"/>
          <w:highlight w:val="none"/>
        </w:rPr>
        <w:t>（</w:t>
      </w:r>
      <w:r>
        <w:rPr>
          <w:rFonts w:hint="eastAsia" w:hAnsi="宋体" w:cs="宋体"/>
          <w:color w:val="auto"/>
          <w:highlight w:val="none"/>
          <w:lang w:val="en-US" w:eastAsia="zh-CN"/>
        </w:rPr>
        <w:t>8</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投标保证金承诺书（如需）</w:t>
      </w:r>
      <w:r>
        <w:rPr>
          <w:rFonts w:hint="eastAsia" w:hAnsi="宋体" w:eastAsia="宋体" w:cs="宋体"/>
          <w:color w:val="auto"/>
          <w:highlight w:val="none"/>
          <w:lang w:eastAsia="zh-CN"/>
        </w:rPr>
        <w:t>；</w:t>
      </w:r>
    </w:p>
    <w:p w14:paraId="2DD76623">
      <w:pPr>
        <w:pStyle w:val="14"/>
        <w:spacing w:line="360" w:lineRule="auto"/>
        <w:ind w:firstLine="420" w:firstLineChars="200"/>
        <w:rPr>
          <w:rFonts w:hint="eastAsia" w:ascii="宋体" w:hAnsi="宋体" w:eastAsia="宋体" w:cs="宋体"/>
          <w:color w:val="auto"/>
          <w:highlight w:val="none"/>
        </w:rPr>
      </w:pPr>
      <w:r>
        <w:rPr>
          <w:rFonts w:hint="eastAsia" w:hAnsi="宋体" w:eastAsia="宋体" w:cs="宋体"/>
          <w:color w:val="auto"/>
          <w:highlight w:val="none"/>
          <w:lang w:eastAsia="zh-CN"/>
        </w:rPr>
        <w:t>（</w:t>
      </w:r>
      <w:r>
        <w:rPr>
          <w:rFonts w:hint="eastAsia" w:hAnsi="宋体" w:cs="宋体"/>
          <w:color w:val="auto"/>
          <w:highlight w:val="none"/>
          <w:lang w:val="en-US" w:eastAsia="zh-CN"/>
        </w:rPr>
        <w:t>9</w:t>
      </w:r>
      <w:r>
        <w:rPr>
          <w:rFonts w:hint="eastAsia" w:hAnsi="宋体" w:eastAsia="宋体" w:cs="宋体"/>
          <w:color w:val="auto"/>
          <w:highlight w:val="none"/>
          <w:lang w:eastAsia="zh-CN"/>
        </w:rPr>
        <w:t>）低于投标报价警戒值的证明材料（如需）</w:t>
      </w:r>
      <w:r>
        <w:rPr>
          <w:rFonts w:hint="eastAsia" w:hAnsi="宋体" w:cs="宋体"/>
          <w:color w:val="auto"/>
          <w:highlight w:val="none"/>
          <w:lang w:eastAsia="zh-CN"/>
        </w:rPr>
        <w:t>；</w:t>
      </w:r>
    </w:p>
    <w:p w14:paraId="31816EAB">
      <w:pPr>
        <w:pageBreakBefore w:val="0"/>
        <w:kinsoku/>
        <w:wordWrap/>
        <w:overflowPunct/>
        <w:topLinePunct w:val="0"/>
        <w:bidi w:val="0"/>
        <w:spacing w:line="360" w:lineRule="auto"/>
        <w:ind w:left="399" w:leftChars="190"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rPr>
        <w:t>（</w:t>
      </w:r>
      <w:r>
        <w:rPr>
          <w:rFonts w:hint="eastAsia" w:ascii="宋体" w:hAnsi="宋体" w:cs="宋体"/>
          <w:color w:val="auto"/>
          <w:highlight w:val="none"/>
          <w:lang w:val="en-US" w:eastAsia="zh-CN"/>
        </w:rPr>
        <w:t>10</w:t>
      </w:r>
      <w:r>
        <w:rPr>
          <w:rFonts w:hint="eastAsia" w:ascii="宋体" w:hAnsi="宋体" w:eastAsia="宋体" w:cs="宋体"/>
          <w:color w:val="auto"/>
          <w:highlight w:val="none"/>
        </w:rPr>
        <w:t>）</w:t>
      </w:r>
      <w:r>
        <w:rPr>
          <w:rFonts w:hint="eastAsia" w:ascii="宋体" w:hAnsi="宋体" w:eastAsia="宋体" w:cs="宋体"/>
          <w:color w:val="auto"/>
          <w:szCs w:val="21"/>
          <w:highlight w:val="none"/>
          <w:lang w:eastAsia="zh-CN"/>
        </w:rPr>
        <w:t>投标人认为需要补充的材料。</w:t>
      </w:r>
    </w:p>
    <w:p w14:paraId="1BF2119F">
      <w:pPr>
        <w:pBdr>
          <w:bottom w:val="single" w:color="auto" w:sz="6" w:space="1"/>
        </w:pBdr>
        <w:spacing w:line="480" w:lineRule="auto"/>
        <w:ind w:firstLine="472" w:firstLineChars="224"/>
        <w:rPr>
          <w:rFonts w:hint="eastAsia"/>
          <w:b/>
          <w:color w:val="auto"/>
          <w:szCs w:val="21"/>
          <w:highlight w:val="none"/>
          <w:lang w:val="en-US" w:eastAsia="zh-CN"/>
        </w:rPr>
      </w:pPr>
    </w:p>
    <w:p w14:paraId="1CCE5D69">
      <w:pPr>
        <w:pBdr>
          <w:bottom w:val="single" w:color="auto" w:sz="6" w:space="1"/>
        </w:pBdr>
        <w:spacing w:line="480" w:lineRule="auto"/>
        <w:rPr>
          <w:rFonts w:hint="eastAsia" w:eastAsia="宋体"/>
          <w:b/>
          <w:color w:val="auto"/>
          <w:szCs w:val="21"/>
          <w:highlight w:val="none"/>
          <w:lang w:val="en-US" w:eastAsia="zh-CN"/>
        </w:rPr>
      </w:pPr>
      <w:r>
        <w:rPr>
          <w:rFonts w:hint="eastAsia"/>
          <w:b/>
          <w:color w:val="auto"/>
          <w:szCs w:val="21"/>
          <w:highlight w:val="none"/>
        </w:rPr>
        <w:t>3.2 章节条款号：</w:t>
      </w:r>
      <w:r>
        <w:rPr>
          <w:rFonts w:hint="eastAsia"/>
          <w:b/>
          <w:bCs w:val="0"/>
          <w:color w:val="auto"/>
          <w:szCs w:val="21"/>
          <w:highlight w:val="none"/>
        </w:rPr>
        <w:t xml:space="preserve">第二章 投标人须知 </w:t>
      </w:r>
      <w:r>
        <w:rPr>
          <w:rFonts w:hint="eastAsia" w:ascii="Times New Roman" w:hAnsi="Times New Roman" w:eastAsia="宋体" w:cs="Times New Roman"/>
          <w:b/>
          <w:bCs w:val="0"/>
          <w:color w:val="auto"/>
          <w:szCs w:val="21"/>
          <w:highlight w:val="none"/>
        </w:rPr>
        <w:t>/9.3 签订合同 /9.3.1</w:t>
      </w:r>
    </w:p>
    <w:p w14:paraId="2AACBDE3">
      <w:pPr>
        <w:pBdr>
          <w:bottom w:val="single" w:color="auto" w:sz="6" w:space="1"/>
        </w:pBdr>
        <w:spacing w:line="480" w:lineRule="auto"/>
        <w:ind w:firstLine="472" w:firstLineChars="224"/>
        <w:rPr>
          <w:rFonts w:hint="eastAsia"/>
          <w:b/>
          <w:color w:val="auto"/>
          <w:szCs w:val="21"/>
          <w:highlight w:val="none"/>
        </w:rPr>
      </w:pPr>
      <w:r>
        <w:rPr>
          <w:rFonts w:hint="eastAsia"/>
          <w:b/>
          <w:color w:val="auto"/>
          <w:szCs w:val="21"/>
          <w:highlight w:val="none"/>
        </w:rPr>
        <w:t>原文：</w:t>
      </w:r>
    </w:p>
    <w:p w14:paraId="3F0D865A">
      <w:pPr>
        <w:tabs>
          <w:tab w:val="left" w:pos="636"/>
        </w:tabs>
        <w:spacing w:line="360" w:lineRule="auto"/>
        <w:ind w:firstLine="420" w:firstLineChars="200"/>
        <w:rPr>
          <w:rFonts w:hint="eastAsia" w:ascii="宋体" w:hAnsi="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 xml:space="preserve">.1 </w:t>
      </w:r>
      <w:r>
        <w:rPr>
          <w:rFonts w:hint="eastAsia" w:ascii="宋体" w:hAnsi="宋体"/>
          <w:color w:val="auto"/>
          <w:szCs w:val="21"/>
          <w:highlight w:val="none"/>
        </w:rPr>
        <w:t>招标人和中标人应当自中标通知书发出之日起30天内，根据招标文件和中标人的投标文件订立书面合同。中标人无正当理由拒签合同的，招标人取消其中标资格，其投标保证金不予退还；给招标人造成的损失超过投标保证金数额的，中标人还应当对超过部分予以赔偿。</w:t>
      </w:r>
    </w:p>
    <w:p w14:paraId="518721C5">
      <w:pPr>
        <w:pBdr>
          <w:bottom w:val="single" w:color="auto" w:sz="6" w:space="1"/>
        </w:pBdr>
        <w:spacing w:line="480" w:lineRule="auto"/>
        <w:ind w:firstLine="472" w:firstLineChars="224"/>
        <w:rPr>
          <w:rFonts w:hint="eastAsia"/>
          <w:b/>
          <w:color w:val="auto"/>
          <w:szCs w:val="21"/>
          <w:highlight w:val="none"/>
        </w:rPr>
      </w:pPr>
      <w:r>
        <w:rPr>
          <w:rFonts w:hint="eastAsia"/>
          <w:b/>
          <w:color w:val="auto"/>
          <w:szCs w:val="21"/>
          <w:highlight w:val="none"/>
        </w:rPr>
        <w:t>现文：</w:t>
      </w:r>
    </w:p>
    <w:p w14:paraId="5AF92547">
      <w:pPr>
        <w:pBdr>
          <w:top w:val="none" w:color="auto" w:sz="0" w:space="0"/>
          <w:left w:val="none" w:color="auto" w:sz="0" w:space="0"/>
          <w:bottom w:val="none" w:color="auto" w:sz="0" w:space="0"/>
          <w:right w:val="none" w:color="auto" w:sz="0" w:space="0"/>
          <w:between w:val="none" w:color="auto" w:sz="0" w:space="0"/>
        </w:pBdr>
        <w:spacing w:line="480" w:lineRule="auto"/>
        <w:ind w:firstLine="470" w:firstLineChars="224"/>
        <w:rPr>
          <w:rFonts w:hint="eastAsia" w:eastAsia="宋体"/>
          <w:b w:val="0"/>
          <w:bCs/>
          <w:color w:val="auto"/>
          <w:szCs w:val="21"/>
          <w:highlight w:val="none"/>
          <w:lang w:eastAsia="zh-CN"/>
        </w:rPr>
      </w:pPr>
      <w:r>
        <w:rPr>
          <w:rFonts w:hint="eastAsia"/>
          <w:b w:val="0"/>
          <w:bCs/>
          <w:color w:val="auto"/>
          <w:szCs w:val="21"/>
          <w:highlight w:val="none"/>
        </w:rPr>
        <w:t>9.3.1 招标人和中标人应当自广东省公共资源交易平台（中山市）-中标信息公布</w:t>
      </w:r>
      <w:r>
        <w:rPr>
          <w:rFonts w:hint="eastAsia"/>
          <w:b w:val="0"/>
          <w:bCs/>
          <w:color w:val="auto"/>
          <w:szCs w:val="21"/>
          <w:highlight w:val="none"/>
          <w:lang w:val="en-US" w:eastAsia="zh-CN"/>
        </w:rPr>
        <w:t>次</w:t>
      </w:r>
      <w:r>
        <w:rPr>
          <w:rFonts w:hint="eastAsia"/>
          <w:b w:val="0"/>
          <w:bCs/>
          <w:color w:val="auto"/>
          <w:szCs w:val="21"/>
          <w:highlight w:val="none"/>
        </w:rPr>
        <w:t>日起15个日历天内（如第15个日历天为公休日的，则以公休日后的第一个工作日为截止期限的最后一天），根据招标文件和中标人的投标文件订立书面合同。中标人无正当理由拒签合同的，招标人取消其中标资格，其投标保证金不予退还；给招标人造成的损失超过投标保证金数额的，中标人还应当对超过部分予以赔偿</w:t>
      </w:r>
      <w:r>
        <w:rPr>
          <w:rFonts w:hint="eastAsia"/>
          <w:b w:val="0"/>
          <w:bCs/>
          <w:color w:val="auto"/>
          <w:szCs w:val="21"/>
          <w:highlight w:val="none"/>
          <w:lang w:eastAsia="zh-CN"/>
        </w:rPr>
        <w:t>。</w:t>
      </w:r>
    </w:p>
    <w:p w14:paraId="0E0A3C18">
      <w:pPr>
        <w:pBdr>
          <w:top w:val="none" w:color="auto" w:sz="0" w:space="0"/>
          <w:left w:val="none" w:color="auto" w:sz="0" w:space="0"/>
          <w:bottom w:val="none" w:color="auto" w:sz="0" w:space="0"/>
          <w:right w:val="none" w:color="auto" w:sz="0" w:space="0"/>
          <w:between w:val="none" w:color="auto" w:sz="0" w:space="0"/>
        </w:pBdr>
        <w:spacing w:line="480" w:lineRule="auto"/>
        <w:ind w:firstLine="470" w:firstLineChars="224"/>
        <w:rPr>
          <w:rFonts w:hint="eastAsia"/>
          <w:b w:val="0"/>
          <w:bCs/>
          <w:color w:val="auto"/>
          <w:szCs w:val="21"/>
          <w:highlight w:val="none"/>
        </w:rPr>
      </w:pPr>
    </w:p>
    <w:p w14:paraId="61184EEF">
      <w:pPr>
        <w:pBdr>
          <w:top w:val="none" w:color="auto" w:sz="0" w:space="0"/>
          <w:left w:val="none" w:color="auto" w:sz="0" w:space="0"/>
          <w:bottom w:val="none" w:color="auto" w:sz="0" w:space="0"/>
          <w:right w:val="none" w:color="auto" w:sz="0" w:space="0"/>
          <w:between w:val="none" w:color="auto" w:sz="0" w:space="0"/>
        </w:pBdr>
        <w:spacing w:line="480" w:lineRule="auto"/>
        <w:rPr>
          <w:rFonts w:hint="eastAsia"/>
          <w:b/>
          <w:bCs w:val="0"/>
          <w:color w:val="auto"/>
          <w:szCs w:val="21"/>
          <w:highlight w:val="none"/>
        </w:rPr>
      </w:pPr>
      <w:r>
        <w:rPr>
          <w:rFonts w:hint="eastAsia" w:ascii="Times New Roman" w:hAnsi="Times New Roman" w:eastAsia="宋体" w:cs="Times New Roman"/>
          <w:b/>
          <w:color w:val="auto"/>
          <w:szCs w:val="21"/>
          <w:highlight w:val="none"/>
        </w:rPr>
        <w:t>3.3 章节条款号：</w:t>
      </w:r>
      <w:r>
        <w:rPr>
          <w:rFonts w:hint="eastAsia"/>
          <w:b/>
          <w:bCs w:val="0"/>
          <w:color w:val="auto"/>
          <w:szCs w:val="21"/>
          <w:highlight w:val="none"/>
        </w:rPr>
        <w:t>第八章 投标文件格式 / 资格标函 / 资格标目录</w:t>
      </w:r>
    </w:p>
    <w:p w14:paraId="6852F85B">
      <w:pPr>
        <w:pBdr>
          <w:top w:val="none" w:color="auto" w:sz="0" w:space="0"/>
          <w:left w:val="none" w:color="auto" w:sz="0" w:space="0"/>
          <w:bottom w:val="none" w:color="auto" w:sz="0" w:space="0"/>
          <w:right w:val="none" w:color="auto" w:sz="0" w:space="0"/>
          <w:between w:val="none" w:color="auto" w:sz="0" w:space="0"/>
        </w:pBdr>
        <w:spacing w:line="480" w:lineRule="auto"/>
        <w:ind w:firstLine="472" w:firstLineChars="224"/>
        <w:rPr>
          <w:rFonts w:hint="eastAsia"/>
          <w:b/>
          <w:bCs w:val="0"/>
          <w:color w:val="auto"/>
          <w:szCs w:val="21"/>
          <w:highlight w:val="none"/>
        </w:rPr>
      </w:pPr>
      <w:r>
        <w:rPr>
          <w:rFonts w:hint="eastAsia"/>
          <w:b/>
          <w:bCs w:val="0"/>
          <w:color w:val="auto"/>
          <w:szCs w:val="21"/>
          <w:highlight w:val="none"/>
        </w:rPr>
        <w:t>原文：</w:t>
      </w:r>
    </w:p>
    <w:p w14:paraId="08D3F924">
      <w:pPr>
        <w:spacing w:line="360" w:lineRule="auto"/>
        <w:ind w:firstLine="420"/>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lang w:val="en-US" w:eastAsia="zh-CN"/>
        </w:rPr>
        <w:t>身份证明</w:t>
      </w:r>
    </w:p>
    <w:p w14:paraId="55B40F16">
      <w:pPr>
        <w:numPr>
          <w:ilvl w:val="0"/>
          <w:numId w:val="0"/>
        </w:numPr>
        <w:spacing w:line="360" w:lineRule="auto"/>
        <w:ind w:left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二、授权委托书</w:t>
      </w:r>
      <w:r>
        <w:rPr>
          <w:rFonts w:hint="eastAsia" w:ascii="宋体" w:hAnsi="宋体" w:eastAsia="宋体" w:cs="宋体"/>
          <w:color w:val="auto"/>
          <w:sz w:val="21"/>
          <w:szCs w:val="21"/>
          <w:highlight w:val="none"/>
          <w:lang w:val="en-US" w:eastAsia="zh-CN"/>
        </w:rPr>
        <w:t>（适用于有代理人的情况）</w:t>
      </w:r>
    </w:p>
    <w:p w14:paraId="78253DDD">
      <w:pPr>
        <w:spacing w:line="360" w:lineRule="auto"/>
        <w:ind w:firstLine="420"/>
        <w:rPr>
          <w:rFonts w:hint="eastAsia" w:ascii="宋体" w:hAnsi="宋体" w:eastAsia="宋体" w:cs="宋体"/>
          <w:color w:val="auto"/>
          <w:szCs w:val="21"/>
          <w:highlight w:val="none"/>
          <w:lang w:eastAsia="zh-CN"/>
        </w:rPr>
      </w:pP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Cs w:val="21"/>
          <w:highlight w:val="none"/>
          <w:lang w:eastAsia="zh-CN"/>
        </w:rPr>
        <w:t>投标人基本情况表</w:t>
      </w:r>
    </w:p>
    <w:p w14:paraId="6BAC8730">
      <w:pPr>
        <w:numPr>
          <w:ilvl w:val="0"/>
          <w:numId w:val="0"/>
        </w:numPr>
        <w:spacing w:line="360" w:lineRule="auto"/>
        <w:ind w:left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四、联合体协议书（适用于联合体投标的情况）</w:t>
      </w:r>
    </w:p>
    <w:p w14:paraId="442D59D0">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五、《信用中国》网站下载的信用信息报告</w:t>
      </w:r>
    </w:p>
    <w:p w14:paraId="6C63EFBD">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六、国家企业信用信息公示系统下载的企业信用信息公示报告</w:t>
      </w:r>
    </w:p>
    <w:p w14:paraId="4C76997B">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七、类似工程业绩表（适用于有业绩要求的情况）</w:t>
      </w:r>
    </w:p>
    <w:p w14:paraId="1CF5A256">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八、投标保证金承诺书（如需）</w:t>
      </w:r>
    </w:p>
    <w:p w14:paraId="4CDF8E6C">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九、</w:t>
      </w:r>
      <w:r>
        <w:rPr>
          <w:rFonts w:hint="eastAsia" w:hAnsi="宋体" w:eastAsia="宋体" w:cs="宋体"/>
          <w:color w:val="auto"/>
          <w:highlight w:val="none"/>
          <w:lang w:eastAsia="zh-CN"/>
        </w:rPr>
        <w:t>低于投标报价警戒值的证明材料（如需）</w:t>
      </w:r>
    </w:p>
    <w:p w14:paraId="0F1EDF8F">
      <w:pPr>
        <w:spacing w:line="360" w:lineRule="auto"/>
        <w:ind w:firstLine="420"/>
        <w:rPr>
          <w:rFonts w:hint="eastAsia" w:ascii="宋体" w:hAnsi="宋体" w:eastAsia="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十</w:t>
      </w:r>
      <w:r>
        <w:rPr>
          <w:rFonts w:hint="eastAsia" w:ascii="宋体" w:hAnsi="宋体" w:eastAsia="宋体" w:cs="宋体"/>
          <w:color w:val="auto"/>
          <w:sz w:val="21"/>
          <w:szCs w:val="21"/>
          <w:highlight w:val="none"/>
          <w:lang w:val="en-US" w:eastAsia="zh-CN"/>
        </w:rPr>
        <w:t>、</w:t>
      </w:r>
      <w:r>
        <w:rPr>
          <w:rFonts w:hint="eastAsia" w:ascii="宋体" w:hAnsi="宋体" w:eastAsia="宋体" w:cs="Times New Roman"/>
          <w:color w:val="auto"/>
          <w:sz w:val="21"/>
          <w:szCs w:val="21"/>
          <w:highlight w:val="none"/>
          <w:lang w:val="en-US" w:eastAsia="zh-CN"/>
        </w:rPr>
        <w:t>投标人认为需要补充的材料</w:t>
      </w:r>
    </w:p>
    <w:p w14:paraId="4B99AE95">
      <w:pPr>
        <w:pBdr>
          <w:top w:val="none" w:color="auto" w:sz="0" w:space="0"/>
          <w:left w:val="none" w:color="auto" w:sz="0" w:space="0"/>
          <w:bottom w:val="none" w:color="auto" w:sz="0" w:space="0"/>
          <w:right w:val="none" w:color="auto" w:sz="0" w:space="0"/>
          <w:between w:val="none" w:color="auto" w:sz="0" w:space="0"/>
        </w:pBdr>
        <w:spacing w:line="480" w:lineRule="auto"/>
        <w:ind w:firstLine="472" w:firstLineChars="224"/>
        <w:rPr>
          <w:rFonts w:hint="eastAsia"/>
          <w:b/>
          <w:bCs w:val="0"/>
          <w:color w:val="auto"/>
          <w:szCs w:val="21"/>
          <w:highlight w:val="none"/>
        </w:rPr>
      </w:pPr>
    </w:p>
    <w:p w14:paraId="0315706F">
      <w:pPr>
        <w:pBdr>
          <w:top w:val="none" w:color="auto" w:sz="0" w:space="0"/>
          <w:left w:val="none" w:color="auto" w:sz="0" w:space="0"/>
          <w:bottom w:val="none" w:color="auto" w:sz="0" w:space="0"/>
          <w:right w:val="none" w:color="auto" w:sz="0" w:space="0"/>
          <w:between w:val="none" w:color="auto" w:sz="0" w:space="0"/>
        </w:pBdr>
        <w:spacing w:line="480" w:lineRule="auto"/>
        <w:ind w:firstLine="472" w:firstLineChars="224"/>
        <w:rPr>
          <w:rFonts w:hint="eastAsia"/>
          <w:b/>
          <w:bCs w:val="0"/>
          <w:color w:val="auto"/>
          <w:szCs w:val="21"/>
          <w:highlight w:val="none"/>
        </w:rPr>
      </w:pPr>
      <w:r>
        <w:rPr>
          <w:rFonts w:hint="eastAsia"/>
          <w:b/>
          <w:bCs w:val="0"/>
          <w:color w:val="auto"/>
          <w:szCs w:val="21"/>
          <w:highlight w:val="none"/>
        </w:rPr>
        <w:t>现文：</w:t>
      </w:r>
    </w:p>
    <w:p w14:paraId="231D92E3">
      <w:pPr>
        <w:spacing w:line="360" w:lineRule="auto"/>
        <w:ind w:firstLine="420"/>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lang w:val="en-US" w:eastAsia="zh-CN"/>
        </w:rPr>
        <w:t>身份证明</w:t>
      </w:r>
    </w:p>
    <w:p w14:paraId="246672F7">
      <w:pPr>
        <w:numPr>
          <w:ilvl w:val="0"/>
          <w:numId w:val="0"/>
        </w:numPr>
        <w:spacing w:line="360" w:lineRule="auto"/>
        <w:ind w:left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二、授权委托书</w:t>
      </w:r>
      <w:r>
        <w:rPr>
          <w:rFonts w:hint="eastAsia" w:ascii="宋体" w:hAnsi="宋体" w:eastAsia="宋体" w:cs="宋体"/>
          <w:color w:val="auto"/>
          <w:sz w:val="21"/>
          <w:szCs w:val="21"/>
          <w:highlight w:val="none"/>
          <w:lang w:val="en-US" w:eastAsia="zh-CN"/>
        </w:rPr>
        <w:t>（适用于有代理人的情况）</w:t>
      </w:r>
    </w:p>
    <w:p w14:paraId="2DBAB8C8">
      <w:pPr>
        <w:spacing w:line="360" w:lineRule="auto"/>
        <w:ind w:firstLine="420"/>
        <w:rPr>
          <w:rFonts w:hint="eastAsia" w:ascii="宋体" w:hAnsi="宋体" w:eastAsia="宋体" w:cs="宋体"/>
          <w:color w:val="auto"/>
          <w:szCs w:val="21"/>
          <w:highlight w:val="none"/>
          <w:lang w:eastAsia="zh-CN"/>
        </w:rPr>
      </w:pP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Cs w:val="21"/>
          <w:highlight w:val="none"/>
          <w:lang w:eastAsia="zh-CN"/>
        </w:rPr>
        <w:t>投标人基本情况表</w:t>
      </w:r>
    </w:p>
    <w:p w14:paraId="3ECEBB48">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四</w:t>
      </w:r>
      <w:r>
        <w:rPr>
          <w:rFonts w:hint="eastAsia" w:ascii="宋体" w:hAnsi="宋体" w:eastAsia="宋体" w:cs="宋体"/>
          <w:color w:val="auto"/>
          <w:sz w:val="21"/>
          <w:szCs w:val="21"/>
          <w:highlight w:val="none"/>
          <w:lang w:val="en-US" w:eastAsia="zh-CN"/>
        </w:rPr>
        <w:t>、《信用中国》网站下载的信用信息报告</w:t>
      </w:r>
    </w:p>
    <w:p w14:paraId="5DE5756D">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五</w:t>
      </w:r>
      <w:r>
        <w:rPr>
          <w:rFonts w:hint="eastAsia" w:ascii="宋体" w:hAnsi="宋体" w:eastAsia="宋体" w:cs="宋体"/>
          <w:color w:val="auto"/>
          <w:sz w:val="21"/>
          <w:szCs w:val="21"/>
          <w:highlight w:val="none"/>
          <w:lang w:val="en-US" w:eastAsia="zh-CN"/>
        </w:rPr>
        <w:t>、国家企业信用信息公示系统下载的企业信用信息公示报告</w:t>
      </w:r>
    </w:p>
    <w:p w14:paraId="248039A0">
      <w:pPr>
        <w:numPr>
          <w:ilvl w:val="0"/>
          <w:numId w:val="0"/>
        </w:numPr>
        <w:spacing w:line="360" w:lineRule="auto"/>
        <w:ind w:firstLine="420" w:firstLineChars="200"/>
        <w:rPr>
          <w:rFonts w:hint="eastAsia"/>
          <w:color w:val="auto"/>
          <w:highlight w:val="none"/>
          <w:lang w:val="en-US" w:eastAsia="zh-CN"/>
        </w:rPr>
      </w:pPr>
      <w:r>
        <w:rPr>
          <w:rFonts w:hint="eastAsia" w:ascii="宋体" w:hAnsi="宋体" w:cs="宋体"/>
          <w:color w:val="auto"/>
          <w:sz w:val="21"/>
          <w:szCs w:val="21"/>
          <w:highlight w:val="none"/>
          <w:lang w:val="en-US" w:eastAsia="zh-CN"/>
        </w:rPr>
        <w:t>六</w:t>
      </w:r>
      <w:r>
        <w:rPr>
          <w:rFonts w:hint="eastAsia" w:ascii="宋体" w:hAnsi="宋体" w:eastAsia="宋体" w:cs="宋体"/>
          <w:color w:val="auto"/>
          <w:sz w:val="21"/>
          <w:szCs w:val="21"/>
          <w:highlight w:val="none"/>
          <w:lang w:val="en-US" w:eastAsia="zh-CN"/>
        </w:rPr>
        <w:t>、投标保证金承诺书（如需）</w:t>
      </w:r>
    </w:p>
    <w:p w14:paraId="493D8C66">
      <w:pPr>
        <w:numPr>
          <w:ilvl w:val="0"/>
          <w:numId w:val="0"/>
        </w:num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七、</w:t>
      </w:r>
      <w:r>
        <w:rPr>
          <w:rFonts w:hint="eastAsia" w:hAnsi="宋体" w:eastAsia="宋体" w:cs="宋体"/>
          <w:color w:val="auto"/>
          <w:highlight w:val="none"/>
          <w:lang w:eastAsia="zh-CN"/>
        </w:rPr>
        <w:t>低于投标报价警戒值的证明材料（如需）</w:t>
      </w:r>
    </w:p>
    <w:p w14:paraId="43B04C84">
      <w:pPr>
        <w:spacing w:line="360" w:lineRule="auto"/>
        <w:ind w:firstLine="420"/>
        <w:rPr>
          <w:rFonts w:hint="eastAsia" w:ascii="宋体" w:hAnsi="宋体" w:eastAsia="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八</w:t>
      </w:r>
      <w:r>
        <w:rPr>
          <w:rFonts w:hint="eastAsia" w:ascii="宋体" w:hAnsi="宋体" w:eastAsia="宋体" w:cs="宋体"/>
          <w:color w:val="auto"/>
          <w:sz w:val="21"/>
          <w:szCs w:val="21"/>
          <w:highlight w:val="none"/>
          <w:lang w:val="en-US" w:eastAsia="zh-CN"/>
        </w:rPr>
        <w:t>、投标</w:t>
      </w:r>
      <w:r>
        <w:rPr>
          <w:rFonts w:hint="eastAsia" w:ascii="宋体" w:hAnsi="宋体" w:eastAsia="宋体" w:cs="Times New Roman"/>
          <w:color w:val="auto"/>
          <w:sz w:val="21"/>
          <w:szCs w:val="21"/>
          <w:highlight w:val="none"/>
          <w:lang w:val="en-US" w:eastAsia="zh-CN"/>
        </w:rPr>
        <w:t>人认为需要补充的材料</w:t>
      </w:r>
    </w:p>
    <w:p w14:paraId="6C4DD05B">
      <w:pPr>
        <w:pBdr>
          <w:bottom w:val="single" w:color="auto" w:sz="6" w:space="1"/>
        </w:pBdr>
        <w:spacing w:line="480" w:lineRule="auto"/>
        <w:ind w:firstLine="472" w:firstLineChars="224"/>
        <w:rPr>
          <w:rFonts w:hint="eastAsia"/>
          <w:b/>
          <w:color w:val="auto"/>
          <w:szCs w:val="21"/>
          <w:highlight w:val="none"/>
        </w:rPr>
      </w:pPr>
    </w:p>
    <w:permEnd w:id="199"/>
    <w:p w14:paraId="364FF0AC">
      <w:pPr>
        <w:pStyle w:val="5"/>
        <w:rPr>
          <w:rFonts w:hint="eastAsia" w:ascii="宋体" w:hAnsi="宋体" w:eastAsia="宋体" w:cs="宋体"/>
          <w:color w:val="auto"/>
          <w:highlight w:val="none"/>
        </w:rPr>
      </w:pPr>
      <w:r>
        <w:rPr>
          <w:rFonts w:hint="eastAsia" w:ascii="宋体" w:hAnsi="宋体" w:eastAsia="宋体" w:cs="宋体"/>
          <w:b w:val="0"/>
          <w:color w:val="auto"/>
          <w:szCs w:val="21"/>
          <w:highlight w:val="none"/>
          <w:lang w:eastAsia="zh-CN"/>
        </w:rPr>
        <w:t>备</w:t>
      </w:r>
      <w:r>
        <w:rPr>
          <w:rFonts w:hint="eastAsia" w:ascii="宋体" w:hAnsi="宋体" w:eastAsia="宋体" w:cs="宋体"/>
          <w:b w:val="0"/>
          <w:color w:val="auto"/>
          <w:szCs w:val="21"/>
          <w:highlight w:val="none"/>
        </w:rPr>
        <w:t>注：以上修改，仅限于本范本中有可供选择条款的情形。（以下无正文）</w:t>
      </w:r>
    </w:p>
    <w:sectPr>
      <w:headerReference r:id="rId8" w:type="default"/>
      <w:footerReference r:id="rId9" w:type="default"/>
      <w:footerReference r:id="rId10" w:type="even"/>
      <w:pgSz w:w="11906" w:h="16838"/>
      <w:pgMar w:top="1417" w:right="1134" w:bottom="1417" w:left="1417" w:header="851" w:footer="992" w:gutter="0"/>
      <w:pgBorders>
        <w:top w:val="none" w:sz="0" w:space="0"/>
        <w:left w:val="none" w:sz="0" w:space="0"/>
        <w:bottom w:val="none" w:sz="0" w:space="0"/>
        <w:right w:val="none" w:sz="0" w:space="0"/>
      </w:pgBorders>
      <w:pgNumType w:fmt="decimal"/>
      <w:cols w:space="72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ESI仿宋-GB13000">
    <w:altName w:val="仿宋"/>
    <w:panose1 w:val="02000500000000000000"/>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roman"/>
    <w:pitch w:val="default"/>
    <w:sig w:usb0="00000000" w:usb1="00000000" w:usb2="0000007F" w:usb3="00000000" w:csb0="203F01FF" w:csb1="DFFF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KSOF967666CB">
    <w:panose1 w:val="02010609060101010101"/>
    <w:charset w:val="86"/>
    <w:family w:val="auto"/>
    <w:pitch w:val="default"/>
    <w:sig w:usb0="00000001"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BC38E">
    <w:pPr>
      <w:pStyle w:val="1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5106DEB">
                          <w:pPr>
                            <w:pStyle w:val="18"/>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C9umys5gEA&#10;AMgDAAAOAAAAAAAAAAEAIAAAACIBAABkcnMvZTJvRG9jLnhtbFBLBQYAAAAABgAGAFkBAAB6BQAA&#10;AAA=&#10;">
              <v:fill on="f" focussize="0,0"/>
              <v:stroke on="f" weight="1.25pt"/>
              <v:imagedata o:title=""/>
              <o:lock v:ext="edit" aspectratio="f"/>
              <v:textbox inset="0mm,0mm,0mm,0mm" style="mso-fit-shape-to-text:t;">
                <w:txbxContent>
                  <w:p w14:paraId="15106DEB">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1F661">
    <w:pPr>
      <w:pStyle w:val="18"/>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CF46471">
                          <w:pPr>
                            <w:pStyle w:val="18"/>
                            <w:rPr>
                              <w:rStyle w:val="31"/>
                            </w:rPr>
                          </w:pPr>
                          <w:r>
                            <w:fldChar w:fldCharType="begin"/>
                          </w:r>
                          <w:r>
                            <w:rPr>
                              <w:rStyle w:val="31"/>
                            </w:rPr>
                            <w:instrText xml:space="preserve">PAGE  </w:instrText>
                          </w:r>
                          <w:r>
                            <w:fldChar w:fldCharType="separate"/>
                          </w:r>
                          <w:r>
                            <w:rPr>
                              <w:rStyle w:val="31"/>
                            </w:rPr>
                            <w:t>- 48 -</w:t>
                          </w:r>
                          <w:r>
                            <w:fldChar w:fldCharType="end"/>
                          </w:r>
                        </w:p>
                        <w:p w14:paraId="781109F3"/>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AHI8mW5gEA&#10;AMgDAAAOAAAAAAAAAAEAIAAAACIBAABkcnMvZTJvRG9jLnhtbFBLBQYAAAAABgAGAFkBAAB6BQAA&#10;AAA=&#10;">
              <v:fill on="f" focussize="0,0"/>
              <v:stroke on="f" weight="1.25pt"/>
              <v:imagedata o:title=""/>
              <o:lock v:ext="edit" aspectratio="f"/>
              <v:textbox inset="0mm,0mm,0mm,0mm" style="mso-fit-shape-to-text:t;">
                <w:txbxContent>
                  <w:p w14:paraId="7CF46471">
                    <w:pPr>
                      <w:pStyle w:val="18"/>
                      <w:rPr>
                        <w:rStyle w:val="31"/>
                      </w:rPr>
                    </w:pPr>
                    <w:r>
                      <w:fldChar w:fldCharType="begin"/>
                    </w:r>
                    <w:r>
                      <w:rPr>
                        <w:rStyle w:val="31"/>
                      </w:rPr>
                      <w:instrText xml:space="preserve">PAGE  </w:instrText>
                    </w:r>
                    <w:r>
                      <w:fldChar w:fldCharType="separate"/>
                    </w:r>
                    <w:r>
                      <w:rPr>
                        <w:rStyle w:val="31"/>
                      </w:rPr>
                      <w:t>- 48 -</w:t>
                    </w:r>
                    <w:r>
                      <w:fldChar w:fldCharType="end"/>
                    </w:r>
                  </w:p>
                  <w:p w14:paraId="781109F3"/>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94576">
    <w:pPr>
      <w:pStyle w:val="1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EBE249F">
                          <w:pPr>
                            <w:pStyle w:val="18"/>
                            <w:rPr>
                              <w:rStyle w:val="31"/>
                            </w:rPr>
                          </w:pPr>
                          <w:r>
                            <w:fldChar w:fldCharType="begin"/>
                          </w:r>
                          <w:r>
                            <w:rPr>
                              <w:rStyle w:val="31"/>
                            </w:rPr>
                            <w:instrText xml:space="preserve">PAGE  </w:instrText>
                          </w:r>
                          <w:r>
                            <w:fldChar w:fldCharType="separate"/>
                          </w:r>
                          <w:r>
                            <w:rPr>
                              <w:rStyle w:val="31"/>
                            </w:rPr>
                            <w:t>52</w:t>
                          </w:r>
                          <w:r>
                            <w:fldChar w:fldCharType="end"/>
                          </w:r>
                        </w:p>
                        <w:p w14:paraId="7E49FA78"/>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DFVMFa5gEA&#10;AMgDAAAOAAAAAAAAAAEAIAAAACIBAABkcnMvZTJvRG9jLnhtbFBLBQYAAAAABgAGAFkBAAB6BQAA&#10;AAA=&#10;">
              <v:fill on="f" focussize="0,0"/>
              <v:stroke on="f" weight="1.25pt"/>
              <v:imagedata o:title=""/>
              <o:lock v:ext="edit" aspectratio="f"/>
              <v:textbox inset="0mm,0mm,0mm,0mm" style="mso-fit-shape-to-text:t;">
                <w:txbxContent>
                  <w:p w14:paraId="2EBE249F">
                    <w:pPr>
                      <w:pStyle w:val="18"/>
                      <w:rPr>
                        <w:rStyle w:val="31"/>
                      </w:rPr>
                    </w:pPr>
                    <w:r>
                      <w:fldChar w:fldCharType="begin"/>
                    </w:r>
                    <w:r>
                      <w:rPr>
                        <w:rStyle w:val="31"/>
                      </w:rPr>
                      <w:instrText xml:space="preserve">PAGE  </w:instrText>
                    </w:r>
                    <w:r>
                      <w:fldChar w:fldCharType="separate"/>
                    </w:r>
                    <w:r>
                      <w:rPr>
                        <w:rStyle w:val="31"/>
                      </w:rPr>
                      <w:t>52</w:t>
                    </w:r>
                    <w:r>
                      <w:fldChar w:fldCharType="end"/>
                    </w:r>
                  </w:p>
                  <w:p w14:paraId="7E49FA78"/>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6D91F">
    <w:pPr>
      <w:pStyle w:val="18"/>
      <w:framePr w:wrap="around" w:vAnchor="text" w:hAnchor="margin" w:xAlign="center" w:y="1"/>
      <w:rPr>
        <w:rStyle w:val="31"/>
      </w:rPr>
    </w:pPr>
    <w:r>
      <w:fldChar w:fldCharType="begin"/>
    </w:r>
    <w:r>
      <w:rPr>
        <w:rStyle w:val="31"/>
      </w:rPr>
      <w:instrText xml:space="preserve">PAGE  </w:instrText>
    </w:r>
    <w:r>
      <w:fldChar w:fldCharType="end"/>
    </w:r>
  </w:p>
  <w:p w14:paraId="37910F50">
    <w:pPr>
      <w:pStyle w:val="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25CBF">
    <w:pPr>
      <w:pStyle w:val="1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61DA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DF84F0"/>
    <w:multiLevelType w:val="multilevel"/>
    <w:tmpl w:val="BDDF84F0"/>
    <w:lvl w:ilvl="0" w:tentative="0">
      <w:start w:val="1"/>
      <w:numFmt w:val="decimal"/>
      <w:suff w:val="nothing"/>
      <w:lvlText w:val="%1．"/>
      <w:lvlJc w:val="left"/>
      <w:pPr>
        <w:tabs>
          <w:tab w:val="left" w:pos="0"/>
        </w:tabs>
        <w:ind w:left="0" w:firstLine="40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F35C600E"/>
    <w:multiLevelType w:val="singleLevel"/>
    <w:tmpl w:val="F35C600E"/>
    <w:lvl w:ilvl="0" w:tentative="0">
      <w:start w:val="1"/>
      <w:numFmt w:val="chineseCounting"/>
      <w:suff w:val="space"/>
      <w:lvlText w:val="第%1部分"/>
      <w:lvlJc w:val="left"/>
      <w:rPr>
        <w:rFonts w:hint="eastAsia"/>
      </w:rPr>
    </w:lvl>
  </w:abstractNum>
  <w:abstractNum w:abstractNumId="2">
    <w:nsid w:val="F77A0169"/>
    <w:multiLevelType w:val="singleLevel"/>
    <w:tmpl w:val="F77A0169"/>
    <w:lvl w:ilvl="0" w:tentative="0">
      <w:start w:val="1"/>
      <w:numFmt w:val="decimal"/>
      <w:suff w:val="nothing"/>
      <w:lvlText w:val="13.1.%1 "/>
      <w:lvlJc w:val="left"/>
      <w:pPr>
        <w:tabs>
          <w:tab w:val="left" w:pos="0"/>
        </w:tabs>
        <w:ind w:left="17" w:firstLine="403"/>
      </w:pPr>
      <w:rPr>
        <w:rFonts w:hint="default" w:ascii="宋体" w:hAnsi="宋体" w:eastAsia="宋体" w:cs="宋体"/>
      </w:rPr>
    </w:lvl>
  </w:abstractNum>
  <w:abstractNum w:abstractNumId="3">
    <w:nsid w:val="FA9DEDD6"/>
    <w:multiLevelType w:val="singleLevel"/>
    <w:tmpl w:val="FA9DEDD6"/>
    <w:lvl w:ilvl="0" w:tentative="0">
      <w:start w:val="1"/>
      <w:numFmt w:val="chineseCounting"/>
      <w:suff w:val="nothing"/>
      <w:lvlText w:val="%1、"/>
      <w:lvlJc w:val="left"/>
      <w:pPr>
        <w:ind w:left="0" w:firstLine="420"/>
      </w:pPr>
      <w:rPr>
        <w:rFonts w:hint="eastAsia"/>
      </w:rPr>
    </w:lvl>
  </w:abstractNum>
  <w:abstractNum w:abstractNumId="4">
    <w:nsid w:val="FF7E2150"/>
    <w:multiLevelType w:val="singleLevel"/>
    <w:tmpl w:val="FF7E2150"/>
    <w:lvl w:ilvl="0" w:tentative="0">
      <w:start w:val="1"/>
      <w:numFmt w:val="decimal"/>
      <w:suff w:val="nothing"/>
      <w:lvlText w:val="13.2.%1 "/>
      <w:lvlJc w:val="left"/>
      <w:pPr>
        <w:tabs>
          <w:tab w:val="left" w:pos="0"/>
        </w:tabs>
        <w:ind w:left="0" w:firstLine="403"/>
      </w:pPr>
      <w:rPr>
        <w:rFonts w:hint="default" w:ascii="宋体" w:hAnsi="宋体" w:eastAsia="宋体" w:cs="宋体"/>
      </w:rPr>
    </w:lvl>
  </w:abstractNum>
  <w:abstractNum w:abstractNumId="5">
    <w:nsid w:val="FFF456D5"/>
    <w:multiLevelType w:val="singleLevel"/>
    <w:tmpl w:val="FFF456D5"/>
    <w:lvl w:ilvl="0" w:tentative="0">
      <w:start w:val="1"/>
      <w:numFmt w:val="decimal"/>
      <w:suff w:val="nothing"/>
      <w:lvlText w:val="14.1.%1 "/>
      <w:lvlJc w:val="left"/>
      <w:pPr>
        <w:tabs>
          <w:tab w:val="left" w:pos="0"/>
        </w:tabs>
        <w:ind w:left="0" w:firstLine="403"/>
      </w:pPr>
      <w:rPr>
        <w:rFonts w:hint="default" w:ascii="宋体" w:hAnsi="宋体" w:eastAsia="宋体" w:cs="宋体"/>
      </w:rPr>
    </w:lvl>
  </w:abstractNum>
  <w:abstractNum w:abstractNumId="6">
    <w:nsid w:val="0000001E"/>
    <w:multiLevelType w:val="multilevel"/>
    <w:tmpl w:val="0000001E"/>
    <w:lvl w:ilvl="0" w:tentative="0">
      <w:start w:val="1"/>
      <w:numFmt w:val="decimal"/>
      <w:pStyle w:val="64"/>
      <w:lvlText w:val="%1."/>
      <w:lvlJc w:val="left"/>
      <w:pPr>
        <w:tabs>
          <w:tab w:val="left" w:pos="851"/>
        </w:tabs>
        <w:ind w:left="851" w:hanging="851"/>
      </w:pPr>
      <w:rPr>
        <w:rFonts w:hint="eastAsia" w:eastAsia="宋体" w:cs="Times New Roman"/>
        <w:b/>
        <w:i w:val="0"/>
        <w:sz w:val="24"/>
      </w:rPr>
    </w:lvl>
    <w:lvl w:ilvl="1" w:tentative="0">
      <w:start w:val="1"/>
      <w:numFmt w:val="decimal"/>
      <w:lvlText w:val="%1.%2"/>
      <w:lvlJc w:val="left"/>
      <w:pPr>
        <w:tabs>
          <w:tab w:val="left" w:pos="851"/>
        </w:tabs>
        <w:ind w:left="851" w:hanging="851"/>
      </w:pPr>
      <w:rPr>
        <w:rFonts w:hint="eastAsia" w:eastAsia="宋体" w:cs="Times New Roman"/>
        <w:b w:val="0"/>
        <w:i w:val="0"/>
        <w:color w:val="auto"/>
        <w:sz w:val="21"/>
        <w:szCs w:val="21"/>
      </w:rPr>
    </w:lvl>
    <w:lvl w:ilvl="2" w:tentative="0">
      <w:start w:val="1"/>
      <w:numFmt w:val="decimal"/>
      <w:lvlText w:val="（%3）"/>
      <w:lvlJc w:val="left"/>
      <w:pPr>
        <w:tabs>
          <w:tab w:val="left" w:pos="720"/>
        </w:tabs>
        <w:ind w:left="720" w:hanging="720"/>
      </w:pPr>
      <w:rPr>
        <w:rFonts w:hint="eastAsia" w:cs="Times New Roman"/>
      </w:rPr>
    </w:lvl>
    <w:lvl w:ilvl="3" w:tentative="0">
      <w:start w:val="1"/>
      <w:numFmt w:val="decimal"/>
      <w:lvlText w:val="%1.%2.%3.%4"/>
      <w:lvlJc w:val="left"/>
      <w:pPr>
        <w:tabs>
          <w:tab w:val="left" w:pos="864"/>
        </w:tabs>
        <w:ind w:left="864" w:hanging="864"/>
      </w:pPr>
      <w:rPr>
        <w:rFonts w:hint="eastAsia" w:cs="Times New Roman"/>
      </w:rPr>
    </w:lvl>
    <w:lvl w:ilvl="4" w:tentative="0">
      <w:start w:val="1"/>
      <w:numFmt w:val="decimal"/>
      <w:lvlText w:val="%1.%2.%3.%4.%5"/>
      <w:lvlJc w:val="left"/>
      <w:pPr>
        <w:tabs>
          <w:tab w:val="left" w:pos="1008"/>
        </w:tabs>
        <w:ind w:left="1008" w:hanging="1008"/>
      </w:pPr>
      <w:rPr>
        <w:rFonts w:hint="eastAsia" w:cs="Times New Roman"/>
      </w:rPr>
    </w:lvl>
    <w:lvl w:ilvl="5" w:tentative="0">
      <w:start w:val="1"/>
      <w:numFmt w:val="decimal"/>
      <w:lvlText w:val="%1.%2.%3.%4.%5.%6"/>
      <w:lvlJc w:val="left"/>
      <w:pPr>
        <w:tabs>
          <w:tab w:val="left" w:pos="1152"/>
        </w:tabs>
        <w:ind w:left="1152" w:hanging="1152"/>
      </w:pPr>
      <w:rPr>
        <w:rFonts w:hint="eastAsia" w:cs="Times New Roman"/>
      </w:rPr>
    </w:lvl>
    <w:lvl w:ilvl="6" w:tentative="0">
      <w:start w:val="1"/>
      <w:numFmt w:val="decimal"/>
      <w:lvlText w:val="%1.%2.%3.%4.%5.%6.%7"/>
      <w:lvlJc w:val="left"/>
      <w:pPr>
        <w:tabs>
          <w:tab w:val="left" w:pos="1296"/>
        </w:tabs>
        <w:ind w:left="1296" w:hanging="1296"/>
      </w:pPr>
      <w:rPr>
        <w:rFonts w:hint="eastAsia" w:cs="Times New Roman"/>
      </w:rPr>
    </w:lvl>
    <w:lvl w:ilvl="7" w:tentative="0">
      <w:start w:val="1"/>
      <w:numFmt w:val="decimal"/>
      <w:lvlText w:val="%1.%2.%3.%4.%5.%6.%7.%8"/>
      <w:lvlJc w:val="left"/>
      <w:pPr>
        <w:tabs>
          <w:tab w:val="left" w:pos="1440"/>
        </w:tabs>
        <w:ind w:left="1440" w:hanging="1440"/>
      </w:pPr>
      <w:rPr>
        <w:rFonts w:hint="eastAsia" w:cs="Times New Roman"/>
      </w:rPr>
    </w:lvl>
    <w:lvl w:ilvl="8" w:tentative="0">
      <w:start w:val="1"/>
      <w:numFmt w:val="decimal"/>
      <w:lvlText w:val="%1.%2.%3.%4.%5.%6.%7.%8.%9"/>
      <w:lvlJc w:val="left"/>
      <w:pPr>
        <w:tabs>
          <w:tab w:val="left" w:pos="1584"/>
        </w:tabs>
        <w:ind w:left="1584" w:hanging="1584"/>
      </w:pPr>
      <w:rPr>
        <w:rFonts w:hint="eastAsia" w:cs="Times New Roman"/>
      </w:rPr>
    </w:lvl>
  </w:abstractNum>
  <w:abstractNum w:abstractNumId="7">
    <w:nsid w:val="36262144"/>
    <w:multiLevelType w:val="singleLevel"/>
    <w:tmpl w:val="36262144"/>
    <w:lvl w:ilvl="0" w:tentative="0">
      <w:start w:val="3"/>
      <w:numFmt w:val="chineseCounting"/>
      <w:suff w:val="space"/>
      <w:lvlText w:val="第%1章"/>
      <w:lvlJc w:val="left"/>
      <w:rPr>
        <w:rFonts w:hint="eastAsia"/>
      </w:rPr>
    </w:lvl>
  </w:abstractNum>
  <w:abstractNum w:abstractNumId="8">
    <w:nsid w:val="7D2BC9F2"/>
    <w:multiLevelType w:val="singleLevel"/>
    <w:tmpl w:val="7D2BC9F2"/>
    <w:lvl w:ilvl="0" w:tentative="0">
      <w:start w:val="1"/>
      <w:numFmt w:val="decimal"/>
      <w:suff w:val="space"/>
      <w:lvlText w:val="%1."/>
      <w:lvlJc w:val="left"/>
    </w:lvl>
  </w:abstractNum>
  <w:num w:numId="1">
    <w:abstractNumId w:val="6"/>
  </w:num>
  <w:num w:numId="2">
    <w:abstractNumId w:val="3"/>
  </w:num>
  <w:num w:numId="3">
    <w:abstractNumId w:val="2"/>
  </w:num>
  <w:num w:numId="4">
    <w:abstractNumId w:val="4"/>
  </w:num>
  <w:num w:numId="5">
    <w:abstractNumId w:val="5"/>
  </w:num>
  <w:num w:numId="6">
    <w:abstractNumId w:val="7"/>
  </w:num>
  <w:num w:numId="7">
    <w:abstractNumId w:val="1"/>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0" w:hash="bVjNsO1aQg9uQRiINiixNfmfpVs=" w:salt="vUW4ygReGrM8wsQ3nhRTrw=="/>
  <w:defaultTabStop w:val="420"/>
  <w:hyphenationZone w:val="360"/>
  <w:drawingGridHorizontalSpacing w:val="21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1ZGE2NTgzZmUzYmM1MzMwNDI4ZmRlM2RjMDcxM2UifQ=="/>
  </w:docVars>
  <w:rsids>
    <w:rsidRoot w:val="00172A27"/>
    <w:rsid w:val="00001594"/>
    <w:rsid w:val="00001E20"/>
    <w:rsid w:val="00004D73"/>
    <w:rsid w:val="00006BCB"/>
    <w:rsid w:val="000072C3"/>
    <w:rsid w:val="00007D22"/>
    <w:rsid w:val="00010368"/>
    <w:rsid w:val="0001153E"/>
    <w:rsid w:val="00011E49"/>
    <w:rsid w:val="00012343"/>
    <w:rsid w:val="00012815"/>
    <w:rsid w:val="00012B26"/>
    <w:rsid w:val="00013A92"/>
    <w:rsid w:val="00015496"/>
    <w:rsid w:val="00015C52"/>
    <w:rsid w:val="00017075"/>
    <w:rsid w:val="0001776A"/>
    <w:rsid w:val="000208E8"/>
    <w:rsid w:val="000238D4"/>
    <w:rsid w:val="00024CE5"/>
    <w:rsid w:val="000269D2"/>
    <w:rsid w:val="00026C43"/>
    <w:rsid w:val="00027E9E"/>
    <w:rsid w:val="0003025C"/>
    <w:rsid w:val="00031CF1"/>
    <w:rsid w:val="00031DE1"/>
    <w:rsid w:val="00032B6F"/>
    <w:rsid w:val="00034A70"/>
    <w:rsid w:val="00036322"/>
    <w:rsid w:val="00037377"/>
    <w:rsid w:val="000400DE"/>
    <w:rsid w:val="00041B70"/>
    <w:rsid w:val="000421D5"/>
    <w:rsid w:val="000437E4"/>
    <w:rsid w:val="00044AC3"/>
    <w:rsid w:val="000472AF"/>
    <w:rsid w:val="00052684"/>
    <w:rsid w:val="000549B1"/>
    <w:rsid w:val="00056E36"/>
    <w:rsid w:val="00060132"/>
    <w:rsid w:val="00062A97"/>
    <w:rsid w:val="00062EE7"/>
    <w:rsid w:val="000631B7"/>
    <w:rsid w:val="0006324F"/>
    <w:rsid w:val="0006426F"/>
    <w:rsid w:val="0006514D"/>
    <w:rsid w:val="000655C0"/>
    <w:rsid w:val="00072AB8"/>
    <w:rsid w:val="00073D6A"/>
    <w:rsid w:val="0007647B"/>
    <w:rsid w:val="000775C6"/>
    <w:rsid w:val="00077633"/>
    <w:rsid w:val="00081921"/>
    <w:rsid w:val="00082B1D"/>
    <w:rsid w:val="00083A91"/>
    <w:rsid w:val="00083B11"/>
    <w:rsid w:val="00085336"/>
    <w:rsid w:val="0008738D"/>
    <w:rsid w:val="000878F8"/>
    <w:rsid w:val="00087B8E"/>
    <w:rsid w:val="00087D2F"/>
    <w:rsid w:val="00087DE6"/>
    <w:rsid w:val="00090CFF"/>
    <w:rsid w:val="000921EA"/>
    <w:rsid w:val="000933D7"/>
    <w:rsid w:val="0009420F"/>
    <w:rsid w:val="00095ECE"/>
    <w:rsid w:val="0009688E"/>
    <w:rsid w:val="00096A5B"/>
    <w:rsid w:val="00096D93"/>
    <w:rsid w:val="000A0D94"/>
    <w:rsid w:val="000A0F3E"/>
    <w:rsid w:val="000A1A0F"/>
    <w:rsid w:val="000A2041"/>
    <w:rsid w:val="000A42F9"/>
    <w:rsid w:val="000A52D2"/>
    <w:rsid w:val="000B0053"/>
    <w:rsid w:val="000B045A"/>
    <w:rsid w:val="000B0E15"/>
    <w:rsid w:val="000B128B"/>
    <w:rsid w:val="000B12FF"/>
    <w:rsid w:val="000B2FB3"/>
    <w:rsid w:val="000B3537"/>
    <w:rsid w:val="000B4DE2"/>
    <w:rsid w:val="000B6228"/>
    <w:rsid w:val="000B7C93"/>
    <w:rsid w:val="000B7D6E"/>
    <w:rsid w:val="000C002E"/>
    <w:rsid w:val="000C03F0"/>
    <w:rsid w:val="000C156B"/>
    <w:rsid w:val="000C19C6"/>
    <w:rsid w:val="000C35E5"/>
    <w:rsid w:val="000C4779"/>
    <w:rsid w:val="000C47A8"/>
    <w:rsid w:val="000C5161"/>
    <w:rsid w:val="000C6B69"/>
    <w:rsid w:val="000D0247"/>
    <w:rsid w:val="000D0A30"/>
    <w:rsid w:val="000D1445"/>
    <w:rsid w:val="000D1948"/>
    <w:rsid w:val="000D253F"/>
    <w:rsid w:val="000D3A8D"/>
    <w:rsid w:val="000D59A3"/>
    <w:rsid w:val="000E18CC"/>
    <w:rsid w:val="000E2DC9"/>
    <w:rsid w:val="000E39AF"/>
    <w:rsid w:val="000E3EA5"/>
    <w:rsid w:val="000E42E4"/>
    <w:rsid w:val="000E63B6"/>
    <w:rsid w:val="000E7F04"/>
    <w:rsid w:val="000F4BF8"/>
    <w:rsid w:val="000F5F8B"/>
    <w:rsid w:val="000F66D4"/>
    <w:rsid w:val="000F6E22"/>
    <w:rsid w:val="00100F0A"/>
    <w:rsid w:val="00102975"/>
    <w:rsid w:val="001037C7"/>
    <w:rsid w:val="00104E7C"/>
    <w:rsid w:val="00105853"/>
    <w:rsid w:val="00105FB4"/>
    <w:rsid w:val="00106F02"/>
    <w:rsid w:val="001112AC"/>
    <w:rsid w:val="00112307"/>
    <w:rsid w:val="00112F4F"/>
    <w:rsid w:val="001162C6"/>
    <w:rsid w:val="0011672D"/>
    <w:rsid w:val="001177BF"/>
    <w:rsid w:val="00121BD1"/>
    <w:rsid w:val="00122100"/>
    <w:rsid w:val="001223ED"/>
    <w:rsid w:val="00122E42"/>
    <w:rsid w:val="0012336D"/>
    <w:rsid w:val="001233E6"/>
    <w:rsid w:val="001266A9"/>
    <w:rsid w:val="00130766"/>
    <w:rsid w:val="00130C30"/>
    <w:rsid w:val="001325F6"/>
    <w:rsid w:val="00134387"/>
    <w:rsid w:val="00135164"/>
    <w:rsid w:val="0013772D"/>
    <w:rsid w:val="00141D5C"/>
    <w:rsid w:val="001422BC"/>
    <w:rsid w:val="0014240B"/>
    <w:rsid w:val="00143AE8"/>
    <w:rsid w:val="0014405C"/>
    <w:rsid w:val="0014434A"/>
    <w:rsid w:val="00144C2B"/>
    <w:rsid w:val="001452A9"/>
    <w:rsid w:val="0014611F"/>
    <w:rsid w:val="00147EE5"/>
    <w:rsid w:val="0015362B"/>
    <w:rsid w:val="00153CF3"/>
    <w:rsid w:val="0015701F"/>
    <w:rsid w:val="00161661"/>
    <w:rsid w:val="001632A5"/>
    <w:rsid w:val="001668F0"/>
    <w:rsid w:val="00170852"/>
    <w:rsid w:val="00170CE1"/>
    <w:rsid w:val="00172BEF"/>
    <w:rsid w:val="0017303E"/>
    <w:rsid w:val="00173FE7"/>
    <w:rsid w:val="00175408"/>
    <w:rsid w:val="001763DB"/>
    <w:rsid w:val="001765DD"/>
    <w:rsid w:val="00177828"/>
    <w:rsid w:val="00180BA5"/>
    <w:rsid w:val="001817B7"/>
    <w:rsid w:val="00181C3B"/>
    <w:rsid w:val="00182304"/>
    <w:rsid w:val="0018438E"/>
    <w:rsid w:val="00185EE7"/>
    <w:rsid w:val="00187CF5"/>
    <w:rsid w:val="001903E8"/>
    <w:rsid w:val="00190C6E"/>
    <w:rsid w:val="0019175D"/>
    <w:rsid w:val="00191CC4"/>
    <w:rsid w:val="00196DD6"/>
    <w:rsid w:val="001A0AE4"/>
    <w:rsid w:val="001A12DF"/>
    <w:rsid w:val="001A2611"/>
    <w:rsid w:val="001A41F3"/>
    <w:rsid w:val="001A4B93"/>
    <w:rsid w:val="001A60DE"/>
    <w:rsid w:val="001A6C92"/>
    <w:rsid w:val="001A74BB"/>
    <w:rsid w:val="001A77D1"/>
    <w:rsid w:val="001B15DB"/>
    <w:rsid w:val="001B2063"/>
    <w:rsid w:val="001B392A"/>
    <w:rsid w:val="001B3BB0"/>
    <w:rsid w:val="001B491A"/>
    <w:rsid w:val="001B4E99"/>
    <w:rsid w:val="001B6029"/>
    <w:rsid w:val="001B7E41"/>
    <w:rsid w:val="001C0D8D"/>
    <w:rsid w:val="001C10EC"/>
    <w:rsid w:val="001C23CF"/>
    <w:rsid w:val="001C3FD3"/>
    <w:rsid w:val="001C6938"/>
    <w:rsid w:val="001C6B4D"/>
    <w:rsid w:val="001C6D34"/>
    <w:rsid w:val="001D104E"/>
    <w:rsid w:val="001D1504"/>
    <w:rsid w:val="001D3FEC"/>
    <w:rsid w:val="001D4C04"/>
    <w:rsid w:val="001D4C22"/>
    <w:rsid w:val="001D543A"/>
    <w:rsid w:val="001D726E"/>
    <w:rsid w:val="001E00D8"/>
    <w:rsid w:val="001E032E"/>
    <w:rsid w:val="001E04FB"/>
    <w:rsid w:val="001E21B0"/>
    <w:rsid w:val="001E243F"/>
    <w:rsid w:val="001E45CF"/>
    <w:rsid w:val="001E5382"/>
    <w:rsid w:val="001E65DC"/>
    <w:rsid w:val="001E6703"/>
    <w:rsid w:val="001E7CB3"/>
    <w:rsid w:val="001E7FA5"/>
    <w:rsid w:val="001F06D3"/>
    <w:rsid w:val="001F29B5"/>
    <w:rsid w:val="001F31BB"/>
    <w:rsid w:val="001F772B"/>
    <w:rsid w:val="0020175D"/>
    <w:rsid w:val="002048A7"/>
    <w:rsid w:val="00204BD1"/>
    <w:rsid w:val="00207105"/>
    <w:rsid w:val="002117A4"/>
    <w:rsid w:val="00212323"/>
    <w:rsid w:val="0021399D"/>
    <w:rsid w:val="0021514B"/>
    <w:rsid w:val="00215ED4"/>
    <w:rsid w:val="00217C51"/>
    <w:rsid w:val="00220F57"/>
    <w:rsid w:val="002213E6"/>
    <w:rsid w:val="002219E2"/>
    <w:rsid w:val="002226AA"/>
    <w:rsid w:val="0022449E"/>
    <w:rsid w:val="00224C49"/>
    <w:rsid w:val="002254B9"/>
    <w:rsid w:val="00225ACC"/>
    <w:rsid w:val="00226522"/>
    <w:rsid w:val="0022680C"/>
    <w:rsid w:val="0023093B"/>
    <w:rsid w:val="002323EB"/>
    <w:rsid w:val="002327C5"/>
    <w:rsid w:val="002340ED"/>
    <w:rsid w:val="002341EE"/>
    <w:rsid w:val="0023469F"/>
    <w:rsid w:val="00235E65"/>
    <w:rsid w:val="00236049"/>
    <w:rsid w:val="00236950"/>
    <w:rsid w:val="00237887"/>
    <w:rsid w:val="002412D3"/>
    <w:rsid w:val="00242255"/>
    <w:rsid w:val="002433CC"/>
    <w:rsid w:val="0024367F"/>
    <w:rsid w:val="00244E0F"/>
    <w:rsid w:val="00245137"/>
    <w:rsid w:val="00245BC2"/>
    <w:rsid w:val="00247DEC"/>
    <w:rsid w:val="00253642"/>
    <w:rsid w:val="00255402"/>
    <w:rsid w:val="002555C0"/>
    <w:rsid w:val="0025624E"/>
    <w:rsid w:val="002579D1"/>
    <w:rsid w:val="00257AE0"/>
    <w:rsid w:val="00261D2B"/>
    <w:rsid w:val="00262632"/>
    <w:rsid w:val="00263CBE"/>
    <w:rsid w:val="002661C1"/>
    <w:rsid w:val="0026637E"/>
    <w:rsid w:val="00270B8D"/>
    <w:rsid w:val="00272BA8"/>
    <w:rsid w:val="0027390D"/>
    <w:rsid w:val="00275390"/>
    <w:rsid w:val="002761AF"/>
    <w:rsid w:val="0027641A"/>
    <w:rsid w:val="00277D49"/>
    <w:rsid w:val="002815C6"/>
    <w:rsid w:val="0028328F"/>
    <w:rsid w:val="00284FEE"/>
    <w:rsid w:val="00287D12"/>
    <w:rsid w:val="002901A1"/>
    <w:rsid w:val="002913C6"/>
    <w:rsid w:val="00292608"/>
    <w:rsid w:val="0029352E"/>
    <w:rsid w:val="0029461E"/>
    <w:rsid w:val="00295E95"/>
    <w:rsid w:val="0029619B"/>
    <w:rsid w:val="00296218"/>
    <w:rsid w:val="00296C7C"/>
    <w:rsid w:val="00297755"/>
    <w:rsid w:val="00297C42"/>
    <w:rsid w:val="002A1C2A"/>
    <w:rsid w:val="002A3B62"/>
    <w:rsid w:val="002B20F8"/>
    <w:rsid w:val="002B2AB5"/>
    <w:rsid w:val="002B2C94"/>
    <w:rsid w:val="002B301A"/>
    <w:rsid w:val="002B43B6"/>
    <w:rsid w:val="002B4411"/>
    <w:rsid w:val="002B540E"/>
    <w:rsid w:val="002B5CF8"/>
    <w:rsid w:val="002B5D57"/>
    <w:rsid w:val="002B66CB"/>
    <w:rsid w:val="002B6741"/>
    <w:rsid w:val="002B6D1D"/>
    <w:rsid w:val="002C095E"/>
    <w:rsid w:val="002C1EDB"/>
    <w:rsid w:val="002C2667"/>
    <w:rsid w:val="002C3D60"/>
    <w:rsid w:val="002C4535"/>
    <w:rsid w:val="002C564B"/>
    <w:rsid w:val="002C5E94"/>
    <w:rsid w:val="002C6037"/>
    <w:rsid w:val="002C65D0"/>
    <w:rsid w:val="002C7342"/>
    <w:rsid w:val="002C73EC"/>
    <w:rsid w:val="002C7DB3"/>
    <w:rsid w:val="002D2BF5"/>
    <w:rsid w:val="002D5901"/>
    <w:rsid w:val="002D6E1E"/>
    <w:rsid w:val="002D7FAE"/>
    <w:rsid w:val="002E1882"/>
    <w:rsid w:val="002E2B53"/>
    <w:rsid w:val="002E3838"/>
    <w:rsid w:val="002E5D48"/>
    <w:rsid w:val="002E5F4A"/>
    <w:rsid w:val="002F335D"/>
    <w:rsid w:val="002F3772"/>
    <w:rsid w:val="002F3B46"/>
    <w:rsid w:val="002F4E29"/>
    <w:rsid w:val="002F5D5B"/>
    <w:rsid w:val="002F6960"/>
    <w:rsid w:val="0030231C"/>
    <w:rsid w:val="00302C8A"/>
    <w:rsid w:val="003033A8"/>
    <w:rsid w:val="00304526"/>
    <w:rsid w:val="00304B7B"/>
    <w:rsid w:val="0030524A"/>
    <w:rsid w:val="003069D4"/>
    <w:rsid w:val="00306A42"/>
    <w:rsid w:val="00307530"/>
    <w:rsid w:val="00307BBE"/>
    <w:rsid w:val="00307E18"/>
    <w:rsid w:val="003101D0"/>
    <w:rsid w:val="0031094D"/>
    <w:rsid w:val="00312577"/>
    <w:rsid w:val="00314CA3"/>
    <w:rsid w:val="00315212"/>
    <w:rsid w:val="00320BF5"/>
    <w:rsid w:val="003213A6"/>
    <w:rsid w:val="00324236"/>
    <w:rsid w:val="00324905"/>
    <w:rsid w:val="00324D4F"/>
    <w:rsid w:val="0032726A"/>
    <w:rsid w:val="00330012"/>
    <w:rsid w:val="0033040D"/>
    <w:rsid w:val="00330B6F"/>
    <w:rsid w:val="00333D47"/>
    <w:rsid w:val="00333F11"/>
    <w:rsid w:val="003343FB"/>
    <w:rsid w:val="00334A8C"/>
    <w:rsid w:val="00334BA2"/>
    <w:rsid w:val="00335BD6"/>
    <w:rsid w:val="00335D10"/>
    <w:rsid w:val="00337280"/>
    <w:rsid w:val="003378D5"/>
    <w:rsid w:val="00340490"/>
    <w:rsid w:val="003425EF"/>
    <w:rsid w:val="003426B8"/>
    <w:rsid w:val="0034309F"/>
    <w:rsid w:val="0034350B"/>
    <w:rsid w:val="003451A1"/>
    <w:rsid w:val="00346009"/>
    <w:rsid w:val="003517D4"/>
    <w:rsid w:val="00352BA8"/>
    <w:rsid w:val="0035332F"/>
    <w:rsid w:val="003535D1"/>
    <w:rsid w:val="00353726"/>
    <w:rsid w:val="00353ADB"/>
    <w:rsid w:val="00354063"/>
    <w:rsid w:val="00354FE6"/>
    <w:rsid w:val="0035517F"/>
    <w:rsid w:val="0035635F"/>
    <w:rsid w:val="003568E1"/>
    <w:rsid w:val="00357B2D"/>
    <w:rsid w:val="00361B0D"/>
    <w:rsid w:val="00361CEA"/>
    <w:rsid w:val="00362D52"/>
    <w:rsid w:val="00362F3D"/>
    <w:rsid w:val="0036332E"/>
    <w:rsid w:val="00364BE4"/>
    <w:rsid w:val="00365322"/>
    <w:rsid w:val="003656A7"/>
    <w:rsid w:val="00367031"/>
    <w:rsid w:val="00371C72"/>
    <w:rsid w:val="003737CE"/>
    <w:rsid w:val="00373D3F"/>
    <w:rsid w:val="00375906"/>
    <w:rsid w:val="00376252"/>
    <w:rsid w:val="0037727A"/>
    <w:rsid w:val="00380E28"/>
    <w:rsid w:val="00382BF7"/>
    <w:rsid w:val="00383EDB"/>
    <w:rsid w:val="003849FB"/>
    <w:rsid w:val="00384D36"/>
    <w:rsid w:val="0038598C"/>
    <w:rsid w:val="00393D35"/>
    <w:rsid w:val="00394031"/>
    <w:rsid w:val="00395ABE"/>
    <w:rsid w:val="00396816"/>
    <w:rsid w:val="003970F7"/>
    <w:rsid w:val="003A3716"/>
    <w:rsid w:val="003A3CDE"/>
    <w:rsid w:val="003A4B0B"/>
    <w:rsid w:val="003A7284"/>
    <w:rsid w:val="003B0948"/>
    <w:rsid w:val="003B2EFC"/>
    <w:rsid w:val="003B4261"/>
    <w:rsid w:val="003B5A33"/>
    <w:rsid w:val="003B5FCB"/>
    <w:rsid w:val="003B67EF"/>
    <w:rsid w:val="003C1B39"/>
    <w:rsid w:val="003C1F92"/>
    <w:rsid w:val="003C2524"/>
    <w:rsid w:val="003C2F2F"/>
    <w:rsid w:val="003C6680"/>
    <w:rsid w:val="003D1707"/>
    <w:rsid w:val="003D46B4"/>
    <w:rsid w:val="003D48C8"/>
    <w:rsid w:val="003D5FA2"/>
    <w:rsid w:val="003D7228"/>
    <w:rsid w:val="003E0847"/>
    <w:rsid w:val="003E1D0A"/>
    <w:rsid w:val="003E2F64"/>
    <w:rsid w:val="003E3EAB"/>
    <w:rsid w:val="003E46D8"/>
    <w:rsid w:val="003E516F"/>
    <w:rsid w:val="003E7B78"/>
    <w:rsid w:val="003E7E16"/>
    <w:rsid w:val="003F01CF"/>
    <w:rsid w:val="003F0325"/>
    <w:rsid w:val="003F0B7F"/>
    <w:rsid w:val="003F5AA1"/>
    <w:rsid w:val="003F6080"/>
    <w:rsid w:val="003F6E3A"/>
    <w:rsid w:val="004001C6"/>
    <w:rsid w:val="00400279"/>
    <w:rsid w:val="00400511"/>
    <w:rsid w:val="00404474"/>
    <w:rsid w:val="00404843"/>
    <w:rsid w:val="004049DB"/>
    <w:rsid w:val="0040615D"/>
    <w:rsid w:val="00406852"/>
    <w:rsid w:val="004070DB"/>
    <w:rsid w:val="00410D78"/>
    <w:rsid w:val="00411139"/>
    <w:rsid w:val="004117B3"/>
    <w:rsid w:val="0041195A"/>
    <w:rsid w:val="00411B4A"/>
    <w:rsid w:val="0041236B"/>
    <w:rsid w:val="00413CE8"/>
    <w:rsid w:val="00413D20"/>
    <w:rsid w:val="00413EB5"/>
    <w:rsid w:val="0042035A"/>
    <w:rsid w:val="004219F5"/>
    <w:rsid w:val="00423E0A"/>
    <w:rsid w:val="00424075"/>
    <w:rsid w:val="004260C9"/>
    <w:rsid w:val="00426CAD"/>
    <w:rsid w:val="00427956"/>
    <w:rsid w:val="00427E21"/>
    <w:rsid w:val="00427F26"/>
    <w:rsid w:val="00431926"/>
    <w:rsid w:val="0043208B"/>
    <w:rsid w:val="004350E0"/>
    <w:rsid w:val="00435C97"/>
    <w:rsid w:val="0043663F"/>
    <w:rsid w:val="00436671"/>
    <w:rsid w:val="00437BF9"/>
    <w:rsid w:val="0044169F"/>
    <w:rsid w:val="00442365"/>
    <w:rsid w:val="00442858"/>
    <w:rsid w:val="004433E6"/>
    <w:rsid w:val="00450094"/>
    <w:rsid w:val="00452A34"/>
    <w:rsid w:val="004538E7"/>
    <w:rsid w:val="00453983"/>
    <w:rsid w:val="00454996"/>
    <w:rsid w:val="00455A38"/>
    <w:rsid w:val="0045702B"/>
    <w:rsid w:val="00460344"/>
    <w:rsid w:val="00462A9E"/>
    <w:rsid w:val="00464AD8"/>
    <w:rsid w:val="004662C5"/>
    <w:rsid w:val="00470B5A"/>
    <w:rsid w:val="00470BD7"/>
    <w:rsid w:val="0047164D"/>
    <w:rsid w:val="00471855"/>
    <w:rsid w:val="00471E6C"/>
    <w:rsid w:val="0047245C"/>
    <w:rsid w:val="00473EFB"/>
    <w:rsid w:val="00474499"/>
    <w:rsid w:val="00474CCA"/>
    <w:rsid w:val="00475293"/>
    <w:rsid w:val="004755C2"/>
    <w:rsid w:val="004760D3"/>
    <w:rsid w:val="004765F3"/>
    <w:rsid w:val="00476F31"/>
    <w:rsid w:val="004809EB"/>
    <w:rsid w:val="004830C7"/>
    <w:rsid w:val="00483C93"/>
    <w:rsid w:val="004849AA"/>
    <w:rsid w:val="00485BE7"/>
    <w:rsid w:val="0048641E"/>
    <w:rsid w:val="0048772C"/>
    <w:rsid w:val="00491829"/>
    <w:rsid w:val="00491D93"/>
    <w:rsid w:val="00492EA8"/>
    <w:rsid w:val="004959FF"/>
    <w:rsid w:val="004967C6"/>
    <w:rsid w:val="004A03BA"/>
    <w:rsid w:val="004A07EB"/>
    <w:rsid w:val="004A67EE"/>
    <w:rsid w:val="004B142B"/>
    <w:rsid w:val="004B186D"/>
    <w:rsid w:val="004B2C36"/>
    <w:rsid w:val="004B4A4B"/>
    <w:rsid w:val="004B5712"/>
    <w:rsid w:val="004B6EAF"/>
    <w:rsid w:val="004B735F"/>
    <w:rsid w:val="004B7B13"/>
    <w:rsid w:val="004C022A"/>
    <w:rsid w:val="004C33CA"/>
    <w:rsid w:val="004C45F3"/>
    <w:rsid w:val="004C5ADC"/>
    <w:rsid w:val="004C5EDD"/>
    <w:rsid w:val="004C75DC"/>
    <w:rsid w:val="004C7F44"/>
    <w:rsid w:val="004D0B96"/>
    <w:rsid w:val="004D1B6F"/>
    <w:rsid w:val="004D26CD"/>
    <w:rsid w:val="004D3639"/>
    <w:rsid w:val="004D3BE0"/>
    <w:rsid w:val="004D4BE4"/>
    <w:rsid w:val="004D7CEF"/>
    <w:rsid w:val="004E2AA4"/>
    <w:rsid w:val="004E3972"/>
    <w:rsid w:val="004E5CFD"/>
    <w:rsid w:val="004E5F90"/>
    <w:rsid w:val="004E7B47"/>
    <w:rsid w:val="004F1C02"/>
    <w:rsid w:val="004F245E"/>
    <w:rsid w:val="004F6C9D"/>
    <w:rsid w:val="004F7ECA"/>
    <w:rsid w:val="004F7F32"/>
    <w:rsid w:val="005003B1"/>
    <w:rsid w:val="00501675"/>
    <w:rsid w:val="00501A4B"/>
    <w:rsid w:val="00502353"/>
    <w:rsid w:val="005027FC"/>
    <w:rsid w:val="005038F0"/>
    <w:rsid w:val="00503F72"/>
    <w:rsid w:val="00507BC2"/>
    <w:rsid w:val="005123E9"/>
    <w:rsid w:val="005136C3"/>
    <w:rsid w:val="00513854"/>
    <w:rsid w:val="00514FCD"/>
    <w:rsid w:val="00515103"/>
    <w:rsid w:val="005163F5"/>
    <w:rsid w:val="0051682D"/>
    <w:rsid w:val="00521242"/>
    <w:rsid w:val="00522A4A"/>
    <w:rsid w:val="00523068"/>
    <w:rsid w:val="00523458"/>
    <w:rsid w:val="005238C1"/>
    <w:rsid w:val="00525569"/>
    <w:rsid w:val="00525893"/>
    <w:rsid w:val="00526486"/>
    <w:rsid w:val="00526933"/>
    <w:rsid w:val="00526E30"/>
    <w:rsid w:val="0052786D"/>
    <w:rsid w:val="0052798D"/>
    <w:rsid w:val="00531082"/>
    <w:rsid w:val="005311BB"/>
    <w:rsid w:val="005318CA"/>
    <w:rsid w:val="005332C8"/>
    <w:rsid w:val="00533827"/>
    <w:rsid w:val="005339C3"/>
    <w:rsid w:val="0053428B"/>
    <w:rsid w:val="00536209"/>
    <w:rsid w:val="00537AB0"/>
    <w:rsid w:val="00540482"/>
    <w:rsid w:val="0054103F"/>
    <w:rsid w:val="0054238F"/>
    <w:rsid w:val="0054279B"/>
    <w:rsid w:val="00544800"/>
    <w:rsid w:val="00545CA3"/>
    <w:rsid w:val="00546E1B"/>
    <w:rsid w:val="00553076"/>
    <w:rsid w:val="00553F1A"/>
    <w:rsid w:val="00553F52"/>
    <w:rsid w:val="00554761"/>
    <w:rsid w:val="0055489A"/>
    <w:rsid w:val="005561C1"/>
    <w:rsid w:val="00556791"/>
    <w:rsid w:val="00557417"/>
    <w:rsid w:val="00557670"/>
    <w:rsid w:val="00557F8A"/>
    <w:rsid w:val="00561BF0"/>
    <w:rsid w:val="00562E8B"/>
    <w:rsid w:val="005643B1"/>
    <w:rsid w:val="00565C48"/>
    <w:rsid w:val="00566804"/>
    <w:rsid w:val="00566C04"/>
    <w:rsid w:val="00570031"/>
    <w:rsid w:val="00570245"/>
    <w:rsid w:val="00570955"/>
    <w:rsid w:val="005737B1"/>
    <w:rsid w:val="00573E11"/>
    <w:rsid w:val="005771F1"/>
    <w:rsid w:val="00577398"/>
    <w:rsid w:val="005808F8"/>
    <w:rsid w:val="00580D15"/>
    <w:rsid w:val="005810C2"/>
    <w:rsid w:val="005825C6"/>
    <w:rsid w:val="0058277F"/>
    <w:rsid w:val="00582A69"/>
    <w:rsid w:val="00585022"/>
    <w:rsid w:val="005854E4"/>
    <w:rsid w:val="00585728"/>
    <w:rsid w:val="005909CD"/>
    <w:rsid w:val="00591AAE"/>
    <w:rsid w:val="00591B5A"/>
    <w:rsid w:val="00592C3F"/>
    <w:rsid w:val="00593337"/>
    <w:rsid w:val="00593B46"/>
    <w:rsid w:val="005954F8"/>
    <w:rsid w:val="005960C1"/>
    <w:rsid w:val="005A156A"/>
    <w:rsid w:val="005A1D68"/>
    <w:rsid w:val="005A3143"/>
    <w:rsid w:val="005A4B8B"/>
    <w:rsid w:val="005A4CB1"/>
    <w:rsid w:val="005A4D66"/>
    <w:rsid w:val="005A50EB"/>
    <w:rsid w:val="005A6142"/>
    <w:rsid w:val="005A6DBE"/>
    <w:rsid w:val="005A741A"/>
    <w:rsid w:val="005A7736"/>
    <w:rsid w:val="005A7DC7"/>
    <w:rsid w:val="005B01BA"/>
    <w:rsid w:val="005B02C9"/>
    <w:rsid w:val="005B0776"/>
    <w:rsid w:val="005B0D14"/>
    <w:rsid w:val="005B3089"/>
    <w:rsid w:val="005B467D"/>
    <w:rsid w:val="005B46DC"/>
    <w:rsid w:val="005B5DB2"/>
    <w:rsid w:val="005B61EE"/>
    <w:rsid w:val="005B7FDD"/>
    <w:rsid w:val="005C01A4"/>
    <w:rsid w:val="005C12E7"/>
    <w:rsid w:val="005C252D"/>
    <w:rsid w:val="005C302D"/>
    <w:rsid w:val="005C4D3A"/>
    <w:rsid w:val="005D0704"/>
    <w:rsid w:val="005D0EF0"/>
    <w:rsid w:val="005D21CC"/>
    <w:rsid w:val="005D2383"/>
    <w:rsid w:val="005D2D0F"/>
    <w:rsid w:val="005D2D94"/>
    <w:rsid w:val="005D39D9"/>
    <w:rsid w:val="005D5A21"/>
    <w:rsid w:val="005D74A7"/>
    <w:rsid w:val="005D769F"/>
    <w:rsid w:val="005D79E6"/>
    <w:rsid w:val="005E097B"/>
    <w:rsid w:val="005E253C"/>
    <w:rsid w:val="005E3221"/>
    <w:rsid w:val="005E3D9E"/>
    <w:rsid w:val="005E3F8D"/>
    <w:rsid w:val="005E46A6"/>
    <w:rsid w:val="005E4A70"/>
    <w:rsid w:val="005E4CC6"/>
    <w:rsid w:val="005E57B3"/>
    <w:rsid w:val="005E6BDF"/>
    <w:rsid w:val="005F1662"/>
    <w:rsid w:val="005F2C48"/>
    <w:rsid w:val="005F4D87"/>
    <w:rsid w:val="005F4FF6"/>
    <w:rsid w:val="005F5B02"/>
    <w:rsid w:val="005F629E"/>
    <w:rsid w:val="005F75D9"/>
    <w:rsid w:val="005F7D2D"/>
    <w:rsid w:val="0060043A"/>
    <w:rsid w:val="00601115"/>
    <w:rsid w:val="00602EF7"/>
    <w:rsid w:val="00603B67"/>
    <w:rsid w:val="00604501"/>
    <w:rsid w:val="00605276"/>
    <w:rsid w:val="00605767"/>
    <w:rsid w:val="00606827"/>
    <w:rsid w:val="00613664"/>
    <w:rsid w:val="00616B07"/>
    <w:rsid w:val="006202BF"/>
    <w:rsid w:val="00620438"/>
    <w:rsid w:val="00620D0A"/>
    <w:rsid w:val="00622C46"/>
    <w:rsid w:val="00623986"/>
    <w:rsid w:val="00623F73"/>
    <w:rsid w:val="00624D3E"/>
    <w:rsid w:val="0062511F"/>
    <w:rsid w:val="00625724"/>
    <w:rsid w:val="00627159"/>
    <w:rsid w:val="00627285"/>
    <w:rsid w:val="00630D45"/>
    <w:rsid w:val="0063153C"/>
    <w:rsid w:val="006322D3"/>
    <w:rsid w:val="006340BF"/>
    <w:rsid w:val="00634C77"/>
    <w:rsid w:val="006360E7"/>
    <w:rsid w:val="00640F7B"/>
    <w:rsid w:val="006443AE"/>
    <w:rsid w:val="00646475"/>
    <w:rsid w:val="006474EE"/>
    <w:rsid w:val="00650184"/>
    <w:rsid w:val="0065177F"/>
    <w:rsid w:val="006526D3"/>
    <w:rsid w:val="00652DF4"/>
    <w:rsid w:val="0065355B"/>
    <w:rsid w:val="0065373F"/>
    <w:rsid w:val="00653ACA"/>
    <w:rsid w:val="00653D12"/>
    <w:rsid w:val="00654622"/>
    <w:rsid w:val="006549AD"/>
    <w:rsid w:val="00655336"/>
    <w:rsid w:val="00655F96"/>
    <w:rsid w:val="0065688C"/>
    <w:rsid w:val="00656EEB"/>
    <w:rsid w:val="006572FF"/>
    <w:rsid w:val="00662A6D"/>
    <w:rsid w:val="006634A2"/>
    <w:rsid w:val="006648D7"/>
    <w:rsid w:val="00665080"/>
    <w:rsid w:val="00665AB4"/>
    <w:rsid w:val="00667AA2"/>
    <w:rsid w:val="00670593"/>
    <w:rsid w:val="00675006"/>
    <w:rsid w:val="0067679A"/>
    <w:rsid w:val="0067704B"/>
    <w:rsid w:val="0067771C"/>
    <w:rsid w:val="00677E29"/>
    <w:rsid w:val="00680182"/>
    <w:rsid w:val="00683C59"/>
    <w:rsid w:val="00684D51"/>
    <w:rsid w:val="006855FD"/>
    <w:rsid w:val="00685D46"/>
    <w:rsid w:val="0068661F"/>
    <w:rsid w:val="0069003D"/>
    <w:rsid w:val="00690094"/>
    <w:rsid w:val="00690DFF"/>
    <w:rsid w:val="00691928"/>
    <w:rsid w:val="006967B9"/>
    <w:rsid w:val="006A0D05"/>
    <w:rsid w:val="006A10F2"/>
    <w:rsid w:val="006A175B"/>
    <w:rsid w:val="006A1B00"/>
    <w:rsid w:val="006A38E7"/>
    <w:rsid w:val="006A3B71"/>
    <w:rsid w:val="006A43E8"/>
    <w:rsid w:val="006A67DC"/>
    <w:rsid w:val="006A7685"/>
    <w:rsid w:val="006A77DA"/>
    <w:rsid w:val="006B0BF1"/>
    <w:rsid w:val="006B1C7A"/>
    <w:rsid w:val="006B2FC7"/>
    <w:rsid w:val="006B34CD"/>
    <w:rsid w:val="006B4367"/>
    <w:rsid w:val="006B446F"/>
    <w:rsid w:val="006B4933"/>
    <w:rsid w:val="006B5007"/>
    <w:rsid w:val="006B650A"/>
    <w:rsid w:val="006B7DCD"/>
    <w:rsid w:val="006C0030"/>
    <w:rsid w:val="006C4F41"/>
    <w:rsid w:val="006C547B"/>
    <w:rsid w:val="006D0004"/>
    <w:rsid w:val="006D12AA"/>
    <w:rsid w:val="006D1A29"/>
    <w:rsid w:val="006D1F8E"/>
    <w:rsid w:val="006D31EF"/>
    <w:rsid w:val="006E0E67"/>
    <w:rsid w:val="006E19C4"/>
    <w:rsid w:val="006E2EF4"/>
    <w:rsid w:val="006E422C"/>
    <w:rsid w:val="006E58C4"/>
    <w:rsid w:val="006E6185"/>
    <w:rsid w:val="006E6436"/>
    <w:rsid w:val="006E6ECE"/>
    <w:rsid w:val="006E78CF"/>
    <w:rsid w:val="006F2C7C"/>
    <w:rsid w:val="006F3482"/>
    <w:rsid w:val="006F6E34"/>
    <w:rsid w:val="006F7179"/>
    <w:rsid w:val="007003D5"/>
    <w:rsid w:val="00700F70"/>
    <w:rsid w:val="007042EA"/>
    <w:rsid w:val="00705E8B"/>
    <w:rsid w:val="00711B7F"/>
    <w:rsid w:val="00713313"/>
    <w:rsid w:val="00714324"/>
    <w:rsid w:val="00714BC8"/>
    <w:rsid w:val="00715400"/>
    <w:rsid w:val="0071613B"/>
    <w:rsid w:val="007206E0"/>
    <w:rsid w:val="00720868"/>
    <w:rsid w:val="00721568"/>
    <w:rsid w:val="00722894"/>
    <w:rsid w:val="00723056"/>
    <w:rsid w:val="00724BE2"/>
    <w:rsid w:val="007319BA"/>
    <w:rsid w:val="0073280A"/>
    <w:rsid w:val="007344F8"/>
    <w:rsid w:val="00734C58"/>
    <w:rsid w:val="00736CF3"/>
    <w:rsid w:val="00741B36"/>
    <w:rsid w:val="0074289A"/>
    <w:rsid w:val="00745428"/>
    <w:rsid w:val="00745F2C"/>
    <w:rsid w:val="007467D6"/>
    <w:rsid w:val="00751451"/>
    <w:rsid w:val="007516A5"/>
    <w:rsid w:val="0075178E"/>
    <w:rsid w:val="0075179F"/>
    <w:rsid w:val="00754831"/>
    <w:rsid w:val="00756F6F"/>
    <w:rsid w:val="007614DC"/>
    <w:rsid w:val="00761644"/>
    <w:rsid w:val="00764748"/>
    <w:rsid w:val="00764F06"/>
    <w:rsid w:val="00766BF0"/>
    <w:rsid w:val="00770441"/>
    <w:rsid w:val="007720A4"/>
    <w:rsid w:val="00772276"/>
    <w:rsid w:val="00773D12"/>
    <w:rsid w:val="00773EB3"/>
    <w:rsid w:val="00774086"/>
    <w:rsid w:val="007757D0"/>
    <w:rsid w:val="00777558"/>
    <w:rsid w:val="0077781A"/>
    <w:rsid w:val="00777D51"/>
    <w:rsid w:val="00781944"/>
    <w:rsid w:val="00782F79"/>
    <w:rsid w:val="0078331A"/>
    <w:rsid w:val="007836B8"/>
    <w:rsid w:val="00784E0F"/>
    <w:rsid w:val="00785622"/>
    <w:rsid w:val="00790AC2"/>
    <w:rsid w:val="00790FC4"/>
    <w:rsid w:val="007917D2"/>
    <w:rsid w:val="00792213"/>
    <w:rsid w:val="00792309"/>
    <w:rsid w:val="0079292B"/>
    <w:rsid w:val="007955EF"/>
    <w:rsid w:val="007955F4"/>
    <w:rsid w:val="00795B8B"/>
    <w:rsid w:val="00795FC5"/>
    <w:rsid w:val="007970E0"/>
    <w:rsid w:val="00797426"/>
    <w:rsid w:val="00797671"/>
    <w:rsid w:val="00797786"/>
    <w:rsid w:val="00797B5A"/>
    <w:rsid w:val="007A06EF"/>
    <w:rsid w:val="007A15F9"/>
    <w:rsid w:val="007A2154"/>
    <w:rsid w:val="007A3E05"/>
    <w:rsid w:val="007A4248"/>
    <w:rsid w:val="007A4946"/>
    <w:rsid w:val="007A62AA"/>
    <w:rsid w:val="007A72A2"/>
    <w:rsid w:val="007B121B"/>
    <w:rsid w:val="007B1A6B"/>
    <w:rsid w:val="007B3A8E"/>
    <w:rsid w:val="007B3B42"/>
    <w:rsid w:val="007B4249"/>
    <w:rsid w:val="007B5C6A"/>
    <w:rsid w:val="007B5D5B"/>
    <w:rsid w:val="007B7ED2"/>
    <w:rsid w:val="007C05B3"/>
    <w:rsid w:val="007C150B"/>
    <w:rsid w:val="007C193B"/>
    <w:rsid w:val="007C1E78"/>
    <w:rsid w:val="007C3E5B"/>
    <w:rsid w:val="007C47B1"/>
    <w:rsid w:val="007C581C"/>
    <w:rsid w:val="007C6F50"/>
    <w:rsid w:val="007D0BF8"/>
    <w:rsid w:val="007D249C"/>
    <w:rsid w:val="007D2CB5"/>
    <w:rsid w:val="007D496B"/>
    <w:rsid w:val="007D536D"/>
    <w:rsid w:val="007D59A0"/>
    <w:rsid w:val="007D5DE0"/>
    <w:rsid w:val="007D60C4"/>
    <w:rsid w:val="007D627B"/>
    <w:rsid w:val="007E02C5"/>
    <w:rsid w:val="007E17E9"/>
    <w:rsid w:val="007E2360"/>
    <w:rsid w:val="007E28A7"/>
    <w:rsid w:val="007E30F0"/>
    <w:rsid w:val="007E3A70"/>
    <w:rsid w:val="007E4224"/>
    <w:rsid w:val="007E4654"/>
    <w:rsid w:val="007E5927"/>
    <w:rsid w:val="007E6403"/>
    <w:rsid w:val="007E64CC"/>
    <w:rsid w:val="007E7EC3"/>
    <w:rsid w:val="007F1407"/>
    <w:rsid w:val="007F2973"/>
    <w:rsid w:val="007F3457"/>
    <w:rsid w:val="007F422E"/>
    <w:rsid w:val="007F4908"/>
    <w:rsid w:val="007F4A60"/>
    <w:rsid w:val="007F6B07"/>
    <w:rsid w:val="007F7A76"/>
    <w:rsid w:val="008038A9"/>
    <w:rsid w:val="00804135"/>
    <w:rsid w:val="008056EE"/>
    <w:rsid w:val="008062A8"/>
    <w:rsid w:val="00806866"/>
    <w:rsid w:val="0080712F"/>
    <w:rsid w:val="008144B0"/>
    <w:rsid w:val="0081489B"/>
    <w:rsid w:val="00814B6E"/>
    <w:rsid w:val="0081680E"/>
    <w:rsid w:val="0082033A"/>
    <w:rsid w:val="008219AF"/>
    <w:rsid w:val="00822E06"/>
    <w:rsid w:val="00823375"/>
    <w:rsid w:val="00825712"/>
    <w:rsid w:val="0082655D"/>
    <w:rsid w:val="00826F60"/>
    <w:rsid w:val="00830602"/>
    <w:rsid w:val="008306A3"/>
    <w:rsid w:val="0083195F"/>
    <w:rsid w:val="00832C05"/>
    <w:rsid w:val="00834EDD"/>
    <w:rsid w:val="008354D3"/>
    <w:rsid w:val="00835C5B"/>
    <w:rsid w:val="0083659F"/>
    <w:rsid w:val="00840316"/>
    <w:rsid w:val="00841BF8"/>
    <w:rsid w:val="008425F7"/>
    <w:rsid w:val="00843240"/>
    <w:rsid w:val="0084553D"/>
    <w:rsid w:val="00846255"/>
    <w:rsid w:val="00846CDD"/>
    <w:rsid w:val="008501F3"/>
    <w:rsid w:val="008519B8"/>
    <w:rsid w:val="00852F4C"/>
    <w:rsid w:val="0085337B"/>
    <w:rsid w:val="0085475B"/>
    <w:rsid w:val="00855674"/>
    <w:rsid w:val="00855B65"/>
    <w:rsid w:val="00856884"/>
    <w:rsid w:val="00856A74"/>
    <w:rsid w:val="00857459"/>
    <w:rsid w:val="0086072E"/>
    <w:rsid w:val="00860DB1"/>
    <w:rsid w:val="00862AAE"/>
    <w:rsid w:val="00862AB6"/>
    <w:rsid w:val="00862F64"/>
    <w:rsid w:val="0086582F"/>
    <w:rsid w:val="0086697F"/>
    <w:rsid w:val="00870ACB"/>
    <w:rsid w:val="00870DC8"/>
    <w:rsid w:val="00872C71"/>
    <w:rsid w:val="008731D4"/>
    <w:rsid w:val="008755CF"/>
    <w:rsid w:val="0087562B"/>
    <w:rsid w:val="00875BD7"/>
    <w:rsid w:val="00877BB3"/>
    <w:rsid w:val="00877C78"/>
    <w:rsid w:val="00880B18"/>
    <w:rsid w:val="00881117"/>
    <w:rsid w:val="00881310"/>
    <w:rsid w:val="008818D2"/>
    <w:rsid w:val="00881AF8"/>
    <w:rsid w:val="00881EE8"/>
    <w:rsid w:val="00884810"/>
    <w:rsid w:val="00885910"/>
    <w:rsid w:val="008860AA"/>
    <w:rsid w:val="008865EF"/>
    <w:rsid w:val="00890175"/>
    <w:rsid w:val="00891733"/>
    <w:rsid w:val="00891BF3"/>
    <w:rsid w:val="00891E81"/>
    <w:rsid w:val="008928D8"/>
    <w:rsid w:val="008931DD"/>
    <w:rsid w:val="008948DB"/>
    <w:rsid w:val="00896CDC"/>
    <w:rsid w:val="0089719A"/>
    <w:rsid w:val="0089750D"/>
    <w:rsid w:val="008977EE"/>
    <w:rsid w:val="008A1989"/>
    <w:rsid w:val="008A1F6B"/>
    <w:rsid w:val="008A32BB"/>
    <w:rsid w:val="008A3F45"/>
    <w:rsid w:val="008A5192"/>
    <w:rsid w:val="008A530B"/>
    <w:rsid w:val="008A5B16"/>
    <w:rsid w:val="008A7436"/>
    <w:rsid w:val="008B1874"/>
    <w:rsid w:val="008B1918"/>
    <w:rsid w:val="008B29BE"/>
    <w:rsid w:val="008B436F"/>
    <w:rsid w:val="008B5B7E"/>
    <w:rsid w:val="008B5D1C"/>
    <w:rsid w:val="008B6779"/>
    <w:rsid w:val="008B708D"/>
    <w:rsid w:val="008B78CD"/>
    <w:rsid w:val="008C2953"/>
    <w:rsid w:val="008C2ADF"/>
    <w:rsid w:val="008C5DEA"/>
    <w:rsid w:val="008C6C94"/>
    <w:rsid w:val="008C7292"/>
    <w:rsid w:val="008D45EF"/>
    <w:rsid w:val="008D490B"/>
    <w:rsid w:val="008D72CF"/>
    <w:rsid w:val="008E0E07"/>
    <w:rsid w:val="008E2E32"/>
    <w:rsid w:val="008E3232"/>
    <w:rsid w:val="008E36C5"/>
    <w:rsid w:val="008E4F17"/>
    <w:rsid w:val="008E515F"/>
    <w:rsid w:val="008E5304"/>
    <w:rsid w:val="008E533B"/>
    <w:rsid w:val="008E54ED"/>
    <w:rsid w:val="008E5896"/>
    <w:rsid w:val="008E6C6E"/>
    <w:rsid w:val="008E6EDA"/>
    <w:rsid w:val="008F2E8E"/>
    <w:rsid w:val="008F33F6"/>
    <w:rsid w:val="008F4320"/>
    <w:rsid w:val="008F4E8B"/>
    <w:rsid w:val="008F6614"/>
    <w:rsid w:val="008F6843"/>
    <w:rsid w:val="008F6ADD"/>
    <w:rsid w:val="008F6DA6"/>
    <w:rsid w:val="008F7939"/>
    <w:rsid w:val="00900235"/>
    <w:rsid w:val="009013C7"/>
    <w:rsid w:val="009024E9"/>
    <w:rsid w:val="0090414D"/>
    <w:rsid w:val="00904936"/>
    <w:rsid w:val="00904A4A"/>
    <w:rsid w:val="009070E3"/>
    <w:rsid w:val="009077C8"/>
    <w:rsid w:val="00911B99"/>
    <w:rsid w:val="009123D6"/>
    <w:rsid w:val="00912560"/>
    <w:rsid w:val="00912D06"/>
    <w:rsid w:val="00912E24"/>
    <w:rsid w:val="009133F6"/>
    <w:rsid w:val="00913CD2"/>
    <w:rsid w:val="00914449"/>
    <w:rsid w:val="00914B6D"/>
    <w:rsid w:val="00914BB1"/>
    <w:rsid w:val="00917421"/>
    <w:rsid w:val="00921D7A"/>
    <w:rsid w:val="00922090"/>
    <w:rsid w:val="0092278F"/>
    <w:rsid w:val="00922A81"/>
    <w:rsid w:val="00922C18"/>
    <w:rsid w:val="0092385B"/>
    <w:rsid w:val="009251DF"/>
    <w:rsid w:val="00926B0E"/>
    <w:rsid w:val="00926CAC"/>
    <w:rsid w:val="00926F64"/>
    <w:rsid w:val="00927027"/>
    <w:rsid w:val="00931003"/>
    <w:rsid w:val="00933402"/>
    <w:rsid w:val="00933CAD"/>
    <w:rsid w:val="009420E6"/>
    <w:rsid w:val="0094494A"/>
    <w:rsid w:val="00944EE0"/>
    <w:rsid w:val="00945C1A"/>
    <w:rsid w:val="009468B0"/>
    <w:rsid w:val="00946D2D"/>
    <w:rsid w:val="00947310"/>
    <w:rsid w:val="00947ABD"/>
    <w:rsid w:val="00947DDD"/>
    <w:rsid w:val="0095115C"/>
    <w:rsid w:val="00951522"/>
    <w:rsid w:val="0095242D"/>
    <w:rsid w:val="00952EBB"/>
    <w:rsid w:val="0095315D"/>
    <w:rsid w:val="00953FA2"/>
    <w:rsid w:val="0095714E"/>
    <w:rsid w:val="00960660"/>
    <w:rsid w:val="009615F5"/>
    <w:rsid w:val="00961948"/>
    <w:rsid w:val="0096203B"/>
    <w:rsid w:val="009635C2"/>
    <w:rsid w:val="00964953"/>
    <w:rsid w:val="009655D3"/>
    <w:rsid w:val="0096742B"/>
    <w:rsid w:val="00970169"/>
    <w:rsid w:val="00971754"/>
    <w:rsid w:val="00974599"/>
    <w:rsid w:val="00976AA5"/>
    <w:rsid w:val="009802AF"/>
    <w:rsid w:val="009806D9"/>
    <w:rsid w:val="00982784"/>
    <w:rsid w:val="009854D5"/>
    <w:rsid w:val="00985A6C"/>
    <w:rsid w:val="00987099"/>
    <w:rsid w:val="00987F7A"/>
    <w:rsid w:val="00994784"/>
    <w:rsid w:val="00996BD4"/>
    <w:rsid w:val="009A119D"/>
    <w:rsid w:val="009A2D7E"/>
    <w:rsid w:val="009A3086"/>
    <w:rsid w:val="009A5140"/>
    <w:rsid w:val="009A7FFD"/>
    <w:rsid w:val="009B0BE3"/>
    <w:rsid w:val="009B20B8"/>
    <w:rsid w:val="009B3CCB"/>
    <w:rsid w:val="009B4261"/>
    <w:rsid w:val="009B42A6"/>
    <w:rsid w:val="009B5194"/>
    <w:rsid w:val="009B5564"/>
    <w:rsid w:val="009B5950"/>
    <w:rsid w:val="009B5D48"/>
    <w:rsid w:val="009B6388"/>
    <w:rsid w:val="009B64BD"/>
    <w:rsid w:val="009C2390"/>
    <w:rsid w:val="009C26A3"/>
    <w:rsid w:val="009C34A3"/>
    <w:rsid w:val="009C34F3"/>
    <w:rsid w:val="009C3722"/>
    <w:rsid w:val="009C3F40"/>
    <w:rsid w:val="009C474E"/>
    <w:rsid w:val="009C49F0"/>
    <w:rsid w:val="009C5D82"/>
    <w:rsid w:val="009C60F8"/>
    <w:rsid w:val="009D01FD"/>
    <w:rsid w:val="009D12AF"/>
    <w:rsid w:val="009D1F88"/>
    <w:rsid w:val="009D2978"/>
    <w:rsid w:val="009D2B9E"/>
    <w:rsid w:val="009D2FC3"/>
    <w:rsid w:val="009D37AF"/>
    <w:rsid w:val="009D5F82"/>
    <w:rsid w:val="009D6A59"/>
    <w:rsid w:val="009D7268"/>
    <w:rsid w:val="009E18F3"/>
    <w:rsid w:val="009E2368"/>
    <w:rsid w:val="009E25A8"/>
    <w:rsid w:val="009E3422"/>
    <w:rsid w:val="009E3EFC"/>
    <w:rsid w:val="009E4541"/>
    <w:rsid w:val="009E510D"/>
    <w:rsid w:val="009E58EC"/>
    <w:rsid w:val="009E5D5E"/>
    <w:rsid w:val="009E5F03"/>
    <w:rsid w:val="009E6864"/>
    <w:rsid w:val="009E7B64"/>
    <w:rsid w:val="009F33A7"/>
    <w:rsid w:val="009F3991"/>
    <w:rsid w:val="009F3D7E"/>
    <w:rsid w:val="009F527A"/>
    <w:rsid w:val="009F5AD0"/>
    <w:rsid w:val="009F6FFE"/>
    <w:rsid w:val="009F7F0D"/>
    <w:rsid w:val="00A0104F"/>
    <w:rsid w:val="00A0265E"/>
    <w:rsid w:val="00A057CA"/>
    <w:rsid w:val="00A068F5"/>
    <w:rsid w:val="00A06E6A"/>
    <w:rsid w:val="00A07B1D"/>
    <w:rsid w:val="00A11BF3"/>
    <w:rsid w:val="00A12095"/>
    <w:rsid w:val="00A12435"/>
    <w:rsid w:val="00A1461A"/>
    <w:rsid w:val="00A14830"/>
    <w:rsid w:val="00A152B5"/>
    <w:rsid w:val="00A16F58"/>
    <w:rsid w:val="00A174DD"/>
    <w:rsid w:val="00A229A0"/>
    <w:rsid w:val="00A23185"/>
    <w:rsid w:val="00A24213"/>
    <w:rsid w:val="00A24A4B"/>
    <w:rsid w:val="00A24C6C"/>
    <w:rsid w:val="00A24DD2"/>
    <w:rsid w:val="00A252D1"/>
    <w:rsid w:val="00A25FF1"/>
    <w:rsid w:val="00A3031A"/>
    <w:rsid w:val="00A318AD"/>
    <w:rsid w:val="00A32D8E"/>
    <w:rsid w:val="00A32DEE"/>
    <w:rsid w:val="00A33CE6"/>
    <w:rsid w:val="00A35555"/>
    <w:rsid w:val="00A373C1"/>
    <w:rsid w:val="00A37680"/>
    <w:rsid w:val="00A402A7"/>
    <w:rsid w:val="00A40417"/>
    <w:rsid w:val="00A405E9"/>
    <w:rsid w:val="00A4123B"/>
    <w:rsid w:val="00A41E0D"/>
    <w:rsid w:val="00A426EB"/>
    <w:rsid w:val="00A44A15"/>
    <w:rsid w:val="00A45D8A"/>
    <w:rsid w:val="00A50469"/>
    <w:rsid w:val="00A538CB"/>
    <w:rsid w:val="00A5490D"/>
    <w:rsid w:val="00A54943"/>
    <w:rsid w:val="00A54FF7"/>
    <w:rsid w:val="00A568BA"/>
    <w:rsid w:val="00A60A02"/>
    <w:rsid w:val="00A63203"/>
    <w:rsid w:val="00A654CB"/>
    <w:rsid w:val="00A71675"/>
    <w:rsid w:val="00A730EB"/>
    <w:rsid w:val="00A74650"/>
    <w:rsid w:val="00A776F0"/>
    <w:rsid w:val="00A80151"/>
    <w:rsid w:val="00A81176"/>
    <w:rsid w:val="00A81647"/>
    <w:rsid w:val="00A81946"/>
    <w:rsid w:val="00A81A20"/>
    <w:rsid w:val="00A81E28"/>
    <w:rsid w:val="00A8545F"/>
    <w:rsid w:val="00A87540"/>
    <w:rsid w:val="00A91E77"/>
    <w:rsid w:val="00A91EC2"/>
    <w:rsid w:val="00AA0F52"/>
    <w:rsid w:val="00AA66F8"/>
    <w:rsid w:val="00AA7276"/>
    <w:rsid w:val="00AB3B1C"/>
    <w:rsid w:val="00AB5586"/>
    <w:rsid w:val="00AB6816"/>
    <w:rsid w:val="00AC0F4F"/>
    <w:rsid w:val="00AC1CA1"/>
    <w:rsid w:val="00AC2468"/>
    <w:rsid w:val="00AC47D4"/>
    <w:rsid w:val="00AC657C"/>
    <w:rsid w:val="00AC6A8D"/>
    <w:rsid w:val="00AC6E11"/>
    <w:rsid w:val="00AD08AE"/>
    <w:rsid w:val="00AD0BA0"/>
    <w:rsid w:val="00AD1E1C"/>
    <w:rsid w:val="00AD3E59"/>
    <w:rsid w:val="00AD4209"/>
    <w:rsid w:val="00AD5059"/>
    <w:rsid w:val="00AD6351"/>
    <w:rsid w:val="00AE0365"/>
    <w:rsid w:val="00AE07AA"/>
    <w:rsid w:val="00AE097A"/>
    <w:rsid w:val="00AE3A4D"/>
    <w:rsid w:val="00AE5420"/>
    <w:rsid w:val="00AE65BB"/>
    <w:rsid w:val="00AE6F88"/>
    <w:rsid w:val="00AE7DFF"/>
    <w:rsid w:val="00AF1B7D"/>
    <w:rsid w:val="00AF1CC2"/>
    <w:rsid w:val="00AF20FE"/>
    <w:rsid w:val="00AF2153"/>
    <w:rsid w:val="00AF3078"/>
    <w:rsid w:val="00AF312D"/>
    <w:rsid w:val="00AF3292"/>
    <w:rsid w:val="00AF3FC7"/>
    <w:rsid w:val="00AF5E55"/>
    <w:rsid w:val="00AF73AC"/>
    <w:rsid w:val="00B003E8"/>
    <w:rsid w:val="00B0138E"/>
    <w:rsid w:val="00B02220"/>
    <w:rsid w:val="00B049DF"/>
    <w:rsid w:val="00B05B81"/>
    <w:rsid w:val="00B05F65"/>
    <w:rsid w:val="00B0759A"/>
    <w:rsid w:val="00B107DE"/>
    <w:rsid w:val="00B1087B"/>
    <w:rsid w:val="00B109BA"/>
    <w:rsid w:val="00B13202"/>
    <w:rsid w:val="00B14D7A"/>
    <w:rsid w:val="00B159A6"/>
    <w:rsid w:val="00B15B8D"/>
    <w:rsid w:val="00B16A0F"/>
    <w:rsid w:val="00B16E31"/>
    <w:rsid w:val="00B17360"/>
    <w:rsid w:val="00B17798"/>
    <w:rsid w:val="00B20525"/>
    <w:rsid w:val="00B20A4D"/>
    <w:rsid w:val="00B20AFC"/>
    <w:rsid w:val="00B22EEC"/>
    <w:rsid w:val="00B24637"/>
    <w:rsid w:val="00B27408"/>
    <w:rsid w:val="00B30933"/>
    <w:rsid w:val="00B30E71"/>
    <w:rsid w:val="00B3549F"/>
    <w:rsid w:val="00B37A3F"/>
    <w:rsid w:val="00B37B9C"/>
    <w:rsid w:val="00B40254"/>
    <w:rsid w:val="00B408A9"/>
    <w:rsid w:val="00B418FE"/>
    <w:rsid w:val="00B42E02"/>
    <w:rsid w:val="00B4353E"/>
    <w:rsid w:val="00B43A11"/>
    <w:rsid w:val="00B44586"/>
    <w:rsid w:val="00B44BEA"/>
    <w:rsid w:val="00B45BC1"/>
    <w:rsid w:val="00B46DCB"/>
    <w:rsid w:val="00B50B10"/>
    <w:rsid w:val="00B50BC7"/>
    <w:rsid w:val="00B510A8"/>
    <w:rsid w:val="00B51E13"/>
    <w:rsid w:val="00B52F41"/>
    <w:rsid w:val="00B5331C"/>
    <w:rsid w:val="00B559E3"/>
    <w:rsid w:val="00B5746F"/>
    <w:rsid w:val="00B6211A"/>
    <w:rsid w:val="00B62231"/>
    <w:rsid w:val="00B622E5"/>
    <w:rsid w:val="00B627E1"/>
    <w:rsid w:val="00B65F95"/>
    <w:rsid w:val="00B67C2A"/>
    <w:rsid w:val="00B70C3D"/>
    <w:rsid w:val="00B70E68"/>
    <w:rsid w:val="00B717F2"/>
    <w:rsid w:val="00B7204A"/>
    <w:rsid w:val="00B722BD"/>
    <w:rsid w:val="00B730C8"/>
    <w:rsid w:val="00B74FDC"/>
    <w:rsid w:val="00B761A4"/>
    <w:rsid w:val="00B81DDC"/>
    <w:rsid w:val="00B82053"/>
    <w:rsid w:val="00B827E9"/>
    <w:rsid w:val="00B847A6"/>
    <w:rsid w:val="00B8513A"/>
    <w:rsid w:val="00B87481"/>
    <w:rsid w:val="00B876F6"/>
    <w:rsid w:val="00B87CFF"/>
    <w:rsid w:val="00B92B3F"/>
    <w:rsid w:val="00B92F08"/>
    <w:rsid w:val="00B930EF"/>
    <w:rsid w:val="00B941BA"/>
    <w:rsid w:val="00B9632A"/>
    <w:rsid w:val="00B969A7"/>
    <w:rsid w:val="00B973B9"/>
    <w:rsid w:val="00B9759B"/>
    <w:rsid w:val="00B97973"/>
    <w:rsid w:val="00BA12F8"/>
    <w:rsid w:val="00BA1AF4"/>
    <w:rsid w:val="00BA37EE"/>
    <w:rsid w:val="00BA4CDA"/>
    <w:rsid w:val="00BA6C4C"/>
    <w:rsid w:val="00BA7685"/>
    <w:rsid w:val="00BB2BD3"/>
    <w:rsid w:val="00BB30B6"/>
    <w:rsid w:val="00BB3155"/>
    <w:rsid w:val="00BB6948"/>
    <w:rsid w:val="00BB6C54"/>
    <w:rsid w:val="00BB7B92"/>
    <w:rsid w:val="00BB7BCC"/>
    <w:rsid w:val="00BC0B7C"/>
    <w:rsid w:val="00BC24B5"/>
    <w:rsid w:val="00BC2A26"/>
    <w:rsid w:val="00BC2A35"/>
    <w:rsid w:val="00BC4152"/>
    <w:rsid w:val="00BC4313"/>
    <w:rsid w:val="00BC4AB6"/>
    <w:rsid w:val="00BC4E7F"/>
    <w:rsid w:val="00BC7000"/>
    <w:rsid w:val="00BC7183"/>
    <w:rsid w:val="00BD0DA0"/>
    <w:rsid w:val="00BD2D3E"/>
    <w:rsid w:val="00BD3A00"/>
    <w:rsid w:val="00BD7038"/>
    <w:rsid w:val="00BD72DD"/>
    <w:rsid w:val="00BD7828"/>
    <w:rsid w:val="00BE216A"/>
    <w:rsid w:val="00BE2D23"/>
    <w:rsid w:val="00BE5913"/>
    <w:rsid w:val="00BE5A3A"/>
    <w:rsid w:val="00BE5C9C"/>
    <w:rsid w:val="00BE60F0"/>
    <w:rsid w:val="00BE692C"/>
    <w:rsid w:val="00BE747B"/>
    <w:rsid w:val="00BF0C87"/>
    <w:rsid w:val="00BF1226"/>
    <w:rsid w:val="00BF1A01"/>
    <w:rsid w:val="00BF285F"/>
    <w:rsid w:val="00BF2DDC"/>
    <w:rsid w:val="00BF2F11"/>
    <w:rsid w:val="00BF31B6"/>
    <w:rsid w:val="00BF3366"/>
    <w:rsid w:val="00BF3448"/>
    <w:rsid w:val="00BF4019"/>
    <w:rsid w:val="00BF5490"/>
    <w:rsid w:val="00BF72BD"/>
    <w:rsid w:val="00C0245F"/>
    <w:rsid w:val="00C0311F"/>
    <w:rsid w:val="00C03E95"/>
    <w:rsid w:val="00C06478"/>
    <w:rsid w:val="00C06FEA"/>
    <w:rsid w:val="00C07239"/>
    <w:rsid w:val="00C07E04"/>
    <w:rsid w:val="00C1073B"/>
    <w:rsid w:val="00C10F1E"/>
    <w:rsid w:val="00C12254"/>
    <w:rsid w:val="00C1231A"/>
    <w:rsid w:val="00C1534C"/>
    <w:rsid w:val="00C15B24"/>
    <w:rsid w:val="00C16B62"/>
    <w:rsid w:val="00C232F7"/>
    <w:rsid w:val="00C24E0E"/>
    <w:rsid w:val="00C303E0"/>
    <w:rsid w:val="00C31853"/>
    <w:rsid w:val="00C333C4"/>
    <w:rsid w:val="00C33674"/>
    <w:rsid w:val="00C33E70"/>
    <w:rsid w:val="00C33FFC"/>
    <w:rsid w:val="00C34373"/>
    <w:rsid w:val="00C34800"/>
    <w:rsid w:val="00C34A36"/>
    <w:rsid w:val="00C36184"/>
    <w:rsid w:val="00C36D70"/>
    <w:rsid w:val="00C37F9D"/>
    <w:rsid w:val="00C415F1"/>
    <w:rsid w:val="00C41B24"/>
    <w:rsid w:val="00C435E4"/>
    <w:rsid w:val="00C43EAA"/>
    <w:rsid w:val="00C45001"/>
    <w:rsid w:val="00C45D12"/>
    <w:rsid w:val="00C50F4B"/>
    <w:rsid w:val="00C51D2A"/>
    <w:rsid w:val="00C51F81"/>
    <w:rsid w:val="00C52B73"/>
    <w:rsid w:val="00C535A0"/>
    <w:rsid w:val="00C53B29"/>
    <w:rsid w:val="00C548BA"/>
    <w:rsid w:val="00C54B0D"/>
    <w:rsid w:val="00C56B4F"/>
    <w:rsid w:val="00C6087D"/>
    <w:rsid w:val="00C60A37"/>
    <w:rsid w:val="00C620A7"/>
    <w:rsid w:val="00C63FC3"/>
    <w:rsid w:val="00C66822"/>
    <w:rsid w:val="00C6718E"/>
    <w:rsid w:val="00C713B0"/>
    <w:rsid w:val="00C73DC3"/>
    <w:rsid w:val="00C74D2A"/>
    <w:rsid w:val="00C75700"/>
    <w:rsid w:val="00C75DFC"/>
    <w:rsid w:val="00C81F4D"/>
    <w:rsid w:val="00C852DC"/>
    <w:rsid w:val="00C85A2D"/>
    <w:rsid w:val="00C8707B"/>
    <w:rsid w:val="00C900E8"/>
    <w:rsid w:val="00C919A8"/>
    <w:rsid w:val="00C94C4F"/>
    <w:rsid w:val="00C95CC7"/>
    <w:rsid w:val="00C978EC"/>
    <w:rsid w:val="00CA0106"/>
    <w:rsid w:val="00CA0458"/>
    <w:rsid w:val="00CA205A"/>
    <w:rsid w:val="00CA259C"/>
    <w:rsid w:val="00CA4543"/>
    <w:rsid w:val="00CA4B56"/>
    <w:rsid w:val="00CA5042"/>
    <w:rsid w:val="00CA604C"/>
    <w:rsid w:val="00CA63A6"/>
    <w:rsid w:val="00CA7413"/>
    <w:rsid w:val="00CB10F9"/>
    <w:rsid w:val="00CB211F"/>
    <w:rsid w:val="00CB2E33"/>
    <w:rsid w:val="00CB325B"/>
    <w:rsid w:val="00CB4D28"/>
    <w:rsid w:val="00CB6561"/>
    <w:rsid w:val="00CB6EBB"/>
    <w:rsid w:val="00CB7016"/>
    <w:rsid w:val="00CC0542"/>
    <w:rsid w:val="00CC1D75"/>
    <w:rsid w:val="00CC1E0B"/>
    <w:rsid w:val="00CC2669"/>
    <w:rsid w:val="00CC349C"/>
    <w:rsid w:val="00CC3BBF"/>
    <w:rsid w:val="00CC3D19"/>
    <w:rsid w:val="00CC4AAC"/>
    <w:rsid w:val="00CC731B"/>
    <w:rsid w:val="00CC78A5"/>
    <w:rsid w:val="00CD0FEB"/>
    <w:rsid w:val="00CD298C"/>
    <w:rsid w:val="00CD3353"/>
    <w:rsid w:val="00CD3DD3"/>
    <w:rsid w:val="00CD4DE9"/>
    <w:rsid w:val="00CD55B5"/>
    <w:rsid w:val="00CD5B01"/>
    <w:rsid w:val="00CE0637"/>
    <w:rsid w:val="00CE1F59"/>
    <w:rsid w:val="00CE52B1"/>
    <w:rsid w:val="00CE6905"/>
    <w:rsid w:val="00CE7197"/>
    <w:rsid w:val="00CE7410"/>
    <w:rsid w:val="00CF0686"/>
    <w:rsid w:val="00CF1B8C"/>
    <w:rsid w:val="00CF2E74"/>
    <w:rsid w:val="00CF3CA0"/>
    <w:rsid w:val="00CF6850"/>
    <w:rsid w:val="00CF6BA0"/>
    <w:rsid w:val="00D022E5"/>
    <w:rsid w:val="00D024D8"/>
    <w:rsid w:val="00D024EA"/>
    <w:rsid w:val="00D047BC"/>
    <w:rsid w:val="00D050B1"/>
    <w:rsid w:val="00D05B8F"/>
    <w:rsid w:val="00D06D6F"/>
    <w:rsid w:val="00D11FE6"/>
    <w:rsid w:val="00D12DCC"/>
    <w:rsid w:val="00D131A8"/>
    <w:rsid w:val="00D13862"/>
    <w:rsid w:val="00D138FD"/>
    <w:rsid w:val="00D13E8F"/>
    <w:rsid w:val="00D16488"/>
    <w:rsid w:val="00D20A76"/>
    <w:rsid w:val="00D21009"/>
    <w:rsid w:val="00D22008"/>
    <w:rsid w:val="00D241E0"/>
    <w:rsid w:val="00D24840"/>
    <w:rsid w:val="00D30134"/>
    <w:rsid w:val="00D32589"/>
    <w:rsid w:val="00D325C5"/>
    <w:rsid w:val="00D41562"/>
    <w:rsid w:val="00D42E00"/>
    <w:rsid w:val="00D4318C"/>
    <w:rsid w:val="00D4349A"/>
    <w:rsid w:val="00D43F67"/>
    <w:rsid w:val="00D46234"/>
    <w:rsid w:val="00D4632C"/>
    <w:rsid w:val="00D46369"/>
    <w:rsid w:val="00D46727"/>
    <w:rsid w:val="00D46857"/>
    <w:rsid w:val="00D478E3"/>
    <w:rsid w:val="00D52FB4"/>
    <w:rsid w:val="00D536F1"/>
    <w:rsid w:val="00D53816"/>
    <w:rsid w:val="00D53933"/>
    <w:rsid w:val="00D54B4A"/>
    <w:rsid w:val="00D56F58"/>
    <w:rsid w:val="00D57274"/>
    <w:rsid w:val="00D57CBA"/>
    <w:rsid w:val="00D57D29"/>
    <w:rsid w:val="00D61800"/>
    <w:rsid w:val="00D62999"/>
    <w:rsid w:val="00D64BC1"/>
    <w:rsid w:val="00D675C1"/>
    <w:rsid w:val="00D71D2D"/>
    <w:rsid w:val="00D7343D"/>
    <w:rsid w:val="00D740DC"/>
    <w:rsid w:val="00D75C5B"/>
    <w:rsid w:val="00D76FA3"/>
    <w:rsid w:val="00D7706B"/>
    <w:rsid w:val="00D774CF"/>
    <w:rsid w:val="00D8034A"/>
    <w:rsid w:val="00D81DFB"/>
    <w:rsid w:val="00D8296D"/>
    <w:rsid w:val="00D833E9"/>
    <w:rsid w:val="00D85C06"/>
    <w:rsid w:val="00D8667A"/>
    <w:rsid w:val="00D86941"/>
    <w:rsid w:val="00D901A5"/>
    <w:rsid w:val="00D903C6"/>
    <w:rsid w:val="00D904CE"/>
    <w:rsid w:val="00D9071C"/>
    <w:rsid w:val="00D907A4"/>
    <w:rsid w:val="00D92038"/>
    <w:rsid w:val="00D9205C"/>
    <w:rsid w:val="00D921E5"/>
    <w:rsid w:val="00D94B1D"/>
    <w:rsid w:val="00D957D2"/>
    <w:rsid w:val="00D95C57"/>
    <w:rsid w:val="00D95E98"/>
    <w:rsid w:val="00D966E6"/>
    <w:rsid w:val="00D979A1"/>
    <w:rsid w:val="00DA1E3D"/>
    <w:rsid w:val="00DA208D"/>
    <w:rsid w:val="00DA3186"/>
    <w:rsid w:val="00DA4912"/>
    <w:rsid w:val="00DA71D0"/>
    <w:rsid w:val="00DB2F66"/>
    <w:rsid w:val="00DB414F"/>
    <w:rsid w:val="00DB41B1"/>
    <w:rsid w:val="00DB4203"/>
    <w:rsid w:val="00DB4508"/>
    <w:rsid w:val="00DB5AEC"/>
    <w:rsid w:val="00DB673E"/>
    <w:rsid w:val="00DB68F1"/>
    <w:rsid w:val="00DB7977"/>
    <w:rsid w:val="00DC10F4"/>
    <w:rsid w:val="00DC2213"/>
    <w:rsid w:val="00DC411D"/>
    <w:rsid w:val="00DC497F"/>
    <w:rsid w:val="00DC4D2E"/>
    <w:rsid w:val="00DC5060"/>
    <w:rsid w:val="00DC587F"/>
    <w:rsid w:val="00DC6FF3"/>
    <w:rsid w:val="00DC714F"/>
    <w:rsid w:val="00DD22EB"/>
    <w:rsid w:val="00DD29E3"/>
    <w:rsid w:val="00DD2DB0"/>
    <w:rsid w:val="00DD31E6"/>
    <w:rsid w:val="00DD32D7"/>
    <w:rsid w:val="00DD39DD"/>
    <w:rsid w:val="00DD3EA2"/>
    <w:rsid w:val="00DD5EA9"/>
    <w:rsid w:val="00DD7119"/>
    <w:rsid w:val="00DD7759"/>
    <w:rsid w:val="00DE2293"/>
    <w:rsid w:val="00DE2EB2"/>
    <w:rsid w:val="00DE54E4"/>
    <w:rsid w:val="00DE5E8F"/>
    <w:rsid w:val="00DE7313"/>
    <w:rsid w:val="00DE7809"/>
    <w:rsid w:val="00DF0664"/>
    <w:rsid w:val="00DF19D0"/>
    <w:rsid w:val="00DF39A6"/>
    <w:rsid w:val="00DF3C31"/>
    <w:rsid w:val="00DF4F29"/>
    <w:rsid w:val="00DF568E"/>
    <w:rsid w:val="00DF5AD8"/>
    <w:rsid w:val="00DF6554"/>
    <w:rsid w:val="00E041FD"/>
    <w:rsid w:val="00E07C68"/>
    <w:rsid w:val="00E101D6"/>
    <w:rsid w:val="00E16164"/>
    <w:rsid w:val="00E20A49"/>
    <w:rsid w:val="00E214CF"/>
    <w:rsid w:val="00E215A6"/>
    <w:rsid w:val="00E22060"/>
    <w:rsid w:val="00E2359A"/>
    <w:rsid w:val="00E23A19"/>
    <w:rsid w:val="00E262CF"/>
    <w:rsid w:val="00E268BA"/>
    <w:rsid w:val="00E32163"/>
    <w:rsid w:val="00E32289"/>
    <w:rsid w:val="00E32E4B"/>
    <w:rsid w:val="00E32E65"/>
    <w:rsid w:val="00E33B87"/>
    <w:rsid w:val="00E33CD5"/>
    <w:rsid w:val="00E347AB"/>
    <w:rsid w:val="00E34D20"/>
    <w:rsid w:val="00E34FA0"/>
    <w:rsid w:val="00E35D96"/>
    <w:rsid w:val="00E35E84"/>
    <w:rsid w:val="00E36556"/>
    <w:rsid w:val="00E368B7"/>
    <w:rsid w:val="00E368E6"/>
    <w:rsid w:val="00E37DDE"/>
    <w:rsid w:val="00E400F8"/>
    <w:rsid w:val="00E41197"/>
    <w:rsid w:val="00E42422"/>
    <w:rsid w:val="00E431E3"/>
    <w:rsid w:val="00E437C0"/>
    <w:rsid w:val="00E43F5A"/>
    <w:rsid w:val="00E455B3"/>
    <w:rsid w:val="00E47701"/>
    <w:rsid w:val="00E50AB3"/>
    <w:rsid w:val="00E52DD8"/>
    <w:rsid w:val="00E52ED0"/>
    <w:rsid w:val="00E53076"/>
    <w:rsid w:val="00E537F6"/>
    <w:rsid w:val="00E53889"/>
    <w:rsid w:val="00E55A1F"/>
    <w:rsid w:val="00E55FF6"/>
    <w:rsid w:val="00E568B2"/>
    <w:rsid w:val="00E5690E"/>
    <w:rsid w:val="00E6130B"/>
    <w:rsid w:val="00E61A3E"/>
    <w:rsid w:val="00E62FA4"/>
    <w:rsid w:val="00E63615"/>
    <w:rsid w:val="00E63A6A"/>
    <w:rsid w:val="00E64F79"/>
    <w:rsid w:val="00E6696E"/>
    <w:rsid w:val="00E66CF8"/>
    <w:rsid w:val="00E720C7"/>
    <w:rsid w:val="00E7287A"/>
    <w:rsid w:val="00E734EE"/>
    <w:rsid w:val="00E77968"/>
    <w:rsid w:val="00E80937"/>
    <w:rsid w:val="00E82CB2"/>
    <w:rsid w:val="00E82F5D"/>
    <w:rsid w:val="00E844CF"/>
    <w:rsid w:val="00E8707F"/>
    <w:rsid w:val="00E87578"/>
    <w:rsid w:val="00E92DF6"/>
    <w:rsid w:val="00E95AB0"/>
    <w:rsid w:val="00E95DA9"/>
    <w:rsid w:val="00E964F8"/>
    <w:rsid w:val="00E97E90"/>
    <w:rsid w:val="00EA10C7"/>
    <w:rsid w:val="00EA1C2D"/>
    <w:rsid w:val="00EA294C"/>
    <w:rsid w:val="00EA2BA7"/>
    <w:rsid w:val="00EA364B"/>
    <w:rsid w:val="00EA4252"/>
    <w:rsid w:val="00EA502A"/>
    <w:rsid w:val="00EA564D"/>
    <w:rsid w:val="00EA66EC"/>
    <w:rsid w:val="00EA6778"/>
    <w:rsid w:val="00EB0659"/>
    <w:rsid w:val="00EB5A14"/>
    <w:rsid w:val="00EB5E15"/>
    <w:rsid w:val="00EB6B26"/>
    <w:rsid w:val="00EB6FEC"/>
    <w:rsid w:val="00EB7369"/>
    <w:rsid w:val="00EB7E1C"/>
    <w:rsid w:val="00EB7EB5"/>
    <w:rsid w:val="00EC1F75"/>
    <w:rsid w:val="00EC2126"/>
    <w:rsid w:val="00EC62D6"/>
    <w:rsid w:val="00EC7ADE"/>
    <w:rsid w:val="00ED0D55"/>
    <w:rsid w:val="00ED769C"/>
    <w:rsid w:val="00ED7DAA"/>
    <w:rsid w:val="00EE04FB"/>
    <w:rsid w:val="00EE10B8"/>
    <w:rsid w:val="00EE1798"/>
    <w:rsid w:val="00EE1B4A"/>
    <w:rsid w:val="00EE3296"/>
    <w:rsid w:val="00EE33E1"/>
    <w:rsid w:val="00EE3F88"/>
    <w:rsid w:val="00EE41FB"/>
    <w:rsid w:val="00EE4923"/>
    <w:rsid w:val="00EE586F"/>
    <w:rsid w:val="00EE6E90"/>
    <w:rsid w:val="00EE7A28"/>
    <w:rsid w:val="00EF1876"/>
    <w:rsid w:val="00EF2C27"/>
    <w:rsid w:val="00EF2D74"/>
    <w:rsid w:val="00EF38E1"/>
    <w:rsid w:val="00EF3B0C"/>
    <w:rsid w:val="00EF406F"/>
    <w:rsid w:val="00EF48EA"/>
    <w:rsid w:val="00EF4CF1"/>
    <w:rsid w:val="00EF7278"/>
    <w:rsid w:val="00F00BB8"/>
    <w:rsid w:val="00F00BCB"/>
    <w:rsid w:val="00F022EC"/>
    <w:rsid w:val="00F0365C"/>
    <w:rsid w:val="00F05DF5"/>
    <w:rsid w:val="00F06B42"/>
    <w:rsid w:val="00F07B60"/>
    <w:rsid w:val="00F07DF0"/>
    <w:rsid w:val="00F07EC3"/>
    <w:rsid w:val="00F12A5B"/>
    <w:rsid w:val="00F130C2"/>
    <w:rsid w:val="00F14455"/>
    <w:rsid w:val="00F1508F"/>
    <w:rsid w:val="00F16B22"/>
    <w:rsid w:val="00F21099"/>
    <w:rsid w:val="00F238AF"/>
    <w:rsid w:val="00F27AED"/>
    <w:rsid w:val="00F32A7E"/>
    <w:rsid w:val="00F4126F"/>
    <w:rsid w:val="00F42B53"/>
    <w:rsid w:val="00F43865"/>
    <w:rsid w:val="00F440EA"/>
    <w:rsid w:val="00F44B23"/>
    <w:rsid w:val="00F45919"/>
    <w:rsid w:val="00F463D6"/>
    <w:rsid w:val="00F50F54"/>
    <w:rsid w:val="00F51775"/>
    <w:rsid w:val="00F52ECD"/>
    <w:rsid w:val="00F5687D"/>
    <w:rsid w:val="00F56F56"/>
    <w:rsid w:val="00F61199"/>
    <w:rsid w:val="00F615DB"/>
    <w:rsid w:val="00F61600"/>
    <w:rsid w:val="00F61C48"/>
    <w:rsid w:val="00F61F95"/>
    <w:rsid w:val="00F63110"/>
    <w:rsid w:val="00F641E1"/>
    <w:rsid w:val="00F64339"/>
    <w:rsid w:val="00F6531C"/>
    <w:rsid w:val="00F67528"/>
    <w:rsid w:val="00F71642"/>
    <w:rsid w:val="00F717A8"/>
    <w:rsid w:val="00F71EFD"/>
    <w:rsid w:val="00F71FE3"/>
    <w:rsid w:val="00F72D01"/>
    <w:rsid w:val="00F72D71"/>
    <w:rsid w:val="00F72F0F"/>
    <w:rsid w:val="00F732A1"/>
    <w:rsid w:val="00F735AE"/>
    <w:rsid w:val="00F738D6"/>
    <w:rsid w:val="00F74427"/>
    <w:rsid w:val="00F74464"/>
    <w:rsid w:val="00F75C55"/>
    <w:rsid w:val="00F804DB"/>
    <w:rsid w:val="00F8115A"/>
    <w:rsid w:val="00F82850"/>
    <w:rsid w:val="00F82876"/>
    <w:rsid w:val="00F82984"/>
    <w:rsid w:val="00F83236"/>
    <w:rsid w:val="00F865EE"/>
    <w:rsid w:val="00F867B8"/>
    <w:rsid w:val="00F87049"/>
    <w:rsid w:val="00F90429"/>
    <w:rsid w:val="00F950FE"/>
    <w:rsid w:val="00F95E4E"/>
    <w:rsid w:val="00FA1D07"/>
    <w:rsid w:val="00FA7698"/>
    <w:rsid w:val="00FB110E"/>
    <w:rsid w:val="00FB48EB"/>
    <w:rsid w:val="00FB5063"/>
    <w:rsid w:val="00FB5C65"/>
    <w:rsid w:val="00FB66DB"/>
    <w:rsid w:val="00FB72D5"/>
    <w:rsid w:val="00FB76BC"/>
    <w:rsid w:val="00FC0344"/>
    <w:rsid w:val="00FC07B9"/>
    <w:rsid w:val="00FC25EA"/>
    <w:rsid w:val="00FC4F29"/>
    <w:rsid w:val="00FC5745"/>
    <w:rsid w:val="00FC5FBF"/>
    <w:rsid w:val="00FC629C"/>
    <w:rsid w:val="00FC6CF3"/>
    <w:rsid w:val="00FC704A"/>
    <w:rsid w:val="00FD058E"/>
    <w:rsid w:val="00FD17A1"/>
    <w:rsid w:val="00FD3D01"/>
    <w:rsid w:val="00FD5E3D"/>
    <w:rsid w:val="00FD661B"/>
    <w:rsid w:val="00FD7B19"/>
    <w:rsid w:val="00FE0003"/>
    <w:rsid w:val="00FE07CF"/>
    <w:rsid w:val="00FE0C77"/>
    <w:rsid w:val="00FE3A8F"/>
    <w:rsid w:val="00FE4B69"/>
    <w:rsid w:val="00FE5EE8"/>
    <w:rsid w:val="00FE64FA"/>
    <w:rsid w:val="00FF02B0"/>
    <w:rsid w:val="00FF05E0"/>
    <w:rsid w:val="00FF1647"/>
    <w:rsid w:val="00FF2ABC"/>
    <w:rsid w:val="00FF415D"/>
    <w:rsid w:val="00FF5B6C"/>
    <w:rsid w:val="00FF6100"/>
    <w:rsid w:val="00FF6B45"/>
    <w:rsid w:val="01176EAC"/>
    <w:rsid w:val="013A7361"/>
    <w:rsid w:val="01713C8D"/>
    <w:rsid w:val="0185688A"/>
    <w:rsid w:val="01906CB2"/>
    <w:rsid w:val="019B6301"/>
    <w:rsid w:val="01A60743"/>
    <w:rsid w:val="01C7D982"/>
    <w:rsid w:val="01C97916"/>
    <w:rsid w:val="01D115B8"/>
    <w:rsid w:val="01D93CFD"/>
    <w:rsid w:val="02013CCE"/>
    <w:rsid w:val="021C23A7"/>
    <w:rsid w:val="02341D59"/>
    <w:rsid w:val="02342E96"/>
    <w:rsid w:val="0245507D"/>
    <w:rsid w:val="025657AD"/>
    <w:rsid w:val="03074E87"/>
    <w:rsid w:val="031C1719"/>
    <w:rsid w:val="032D1844"/>
    <w:rsid w:val="034A1C8D"/>
    <w:rsid w:val="035D4F30"/>
    <w:rsid w:val="03AC02F3"/>
    <w:rsid w:val="03B2345C"/>
    <w:rsid w:val="03CF9920"/>
    <w:rsid w:val="03D02352"/>
    <w:rsid w:val="040824AC"/>
    <w:rsid w:val="0412409C"/>
    <w:rsid w:val="041431CD"/>
    <w:rsid w:val="044A3E55"/>
    <w:rsid w:val="04586660"/>
    <w:rsid w:val="04860B7C"/>
    <w:rsid w:val="04AC5190"/>
    <w:rsid w:val="04C61C72"/>
    <w:rsid w:val="04E27231"/>
    <w:rsid w:val="04FF4F9B"/>
    <w:rsid w:val="05097AD0"/>
    <w:rsid w:val="05162D82"/>
    <w:rsid w:val="05216ABC"/>
    <w:rsid w:val="052F5BFC"/>
    <w:rsid w:val="05322665"/>
    <w:rsid w:val="053766BF"/>
    <w:rsid w:val="054664DD"/>
    <w:rsid w:val="054908B9"/>
    <w:rsid w:val="056F0AF9"/>
    <w:rsid w:val="05724A30"/>
    <w:rsid w:val="05FF3BCD"/>
    <w:rsid w:val="062F1C5F"/>
    <w:rsid w:val="06631006"/>
    <w:rsid w:val="068C0DE7"/>
    <w:rsid w:val="069042DE"/>
    <w:rsid w:val="06A36963"/>
    <w:rsid w:val="06EA735B"/>
    <w:rsid w:val="070E0A6A"/>
    <w:rsid w:val="073C6FC1"/>
    <w:rsid w:val="07493E5A"/>
    <w:rsid w:val="07692265"/>
    <w:rsid w:val="079307F3"/>
    <w:rsid w:val="079C2C4A"/>
    <w:rsid w:val="07BA7A09"/>
    <w:rsid w:val="07BB6140"/>
    <w:rsid w:val="07C01BC0"/>
    <w:rsid w:val="07CE495F"/>
    <w:rsid w:val="07EF6386"/>
    <w:rsid w:val="07F81C1F"/>
    <w:rsid w:val="080764EA"/>
    <w:rsid w:val="08077151"/>
    <w:rsid w:val="084D7C2D"/>
    <w:rsid w:val="087D75D4"/>
    <w:rsid w:val="088F2993"/>
    <w:rsid w:val="08A4585C"/>
    <w:rsid w:val="08AC2E0F"/>
    <w:rsid w:val="08AC34C9"/>
    <w:rsid w:val="08BB4679"/>
    <w:rsid w:val="08D94420"/>
    <w:rsid w:val="08E232E1"/>
    <w:rsid w:val="08E858AD"/>
    <w:rsid w:val="08F41439"/>
    <w:rsid w:val="08FA7FE4"/>
    <w:rsid w:val="091E55E5"/>
    <w:rsid w:val="092D0F47"/>
    <w:rsid w:val="094313B1"/>
    <w:rsid w:val="097C02BC"/>
    <w:rsid w:val="098D27B7"/>
    <w:rsid w:val="09AC1284"/>
    <w:rsid w:val="09E81BCC"/>
    <w:rsid w:val="0A0F530F"/>
    <w:rsid w:val="0A141797"/>
    <w:rsid w:val="0A2D1525"/>
    <w:rsid w:val="0A5B410A"/>
    <w:rsid w:val="0A7B2440"/>
    <w:rsid w:val="0A856C30"/>
    <w:rsid w:val="0AB70BCC"/>
    <w:rsid w:val="0AE46696"/>
    <w:rsid w:val="0AE50992"/>
    <w:rsid w:val="0AF130A7"/>
    <w:rsid w:val="0B0D7420"/>
    <w:rsid w:val="0B595490"/>
    <w:rsid w:val="0B873928"/>
    <w:rsid w:val="0B8B4B18"/>
    <w:rsid w:val="0B9714D5"/>
    <w:rsid w:val="0BBBF24F"/>
    <w:rsid w:val="0BBF2DC0"/>
    <w:rsid w:val="0BD8017E"/>
    <w:rsid w:val="0BE6394D"/>
    <w:rsid w:val="0BF161D0"/>
    <w:rsid w:val="0BF7590B"/>
    <w:rsid w:val="0BFA1E3F"/>
    <w:rsid w:val="0C4B6E38"/>
    <w:rsid w:val="0C691812"/>
    <w:rsid w:val="0C820D84"/>
    <w:rsid w:val="0C89012D"/>
    <w:rsid w:val="0CB664E7"/>
    <w:rsid w:val="0CE72509"/>
    <w:rsid w:val="0CF41FB6"/>
    <w:rsid w:val="0CF823FA"/>
    <w:rsid w:val="0D413ECD"/>
    <w:rsid w:val="0D4318A8"/>
    <w:rsid w:val="0D5FB33F"/>
    <w:rsid w:val="0D6503A2"/>
    <w:rsid w:val="0D6C43C8"/>
    <w:rsid w:val="0DD67A92"/>
    <w:rsid w:val="0E0824A3"/>
    <w:rsid w:val="0E1C7F48"/>
    <w:rsid w:val="0E1D0136"/>
    <w:rsid w:val="0E2B4A01"/>
    <w:rsid w:val="0E4B437F"/>
    <w:rsid w:val="0E583EA2"/>
    <w:rsid w:val="0E587ED0"/>
    <w:rsid w:val="0E5C2226"/>
    <w:rsid w:val="0E79524F"/>
    <w:rsid w:val="0E945A78"/>
    <w:rsid w:val="0E9F19BB"/>
    <w:rsid w:val="0EB0166A"/>
    <w:rsid w:val="0EBA2435"/>
    <w:rsid w:val="0EBC79A1"/>
    <w:rsid w:val="0EC32D44"/>
    <w:rsid w:val="0EC80F4F"/>
    <w:rsid w:val="0ECF5673"/>
    <w:rsid w:val="0ED410E6"/>
    <w:rsid w:val="0F063C32"/>
    <w:rsid w:val="0F2F7BDB"/>
    <w:rsid w:val="0F3320FE"/>
    <w:rsid w:val="0F7D4B76"/>
    <w:rsid w:val="0F9F094A"/>
    <w:rsid w:val="0FCE0AB9"/>
    <w:rsid w:val="0FDFDBE0"/>
    <w:rsid w:val="0FF3D3E2"/>
    <w:rsid w:val="100C2F9D"/>
    <w:rsid w:val="10C14D88"/>
    <w:rsid w:val="11291F54"/>
    <w:rsid w:val="114511AA"/>
    <w:rsid w:val="11610FC6"/>
    <w:rsid w:val="116C7CF5"/>
    <w:rsid w:val="117402DB"/>
    <w:rsid w:val="11811DF4"/>
    <w:rsid w:val="11895FA3"/>
    <w:rsid w:val="118E4E79"/>
    <w:rsid w:val="11B95320"/>
    <w:rsid w:val="11E670E9"/>
    <w:rsid w:val="11EA4850"/>
    <w:rsid w:val="11F467C1"/>
    <w:rsid w:val="1235321F"/>
    <w:rsid w:val="124E1097"/>
    <w:rsid w:val="125B39C6"/>
    <w:rsid w:val="128B5679"/>
    <w:rsid w:val="128D65FD"/>
    <w:rsid w:val="12980212"/>
    <w:rsid w:val="12AA22E4"/>
    <w:rsid w:val="12C21C51"/>
    <w:rsid w:val="12C47456"/>
    <w:rsid w:val="12E6450F"/>
    <w:rsid w:val="12F322D2"/>
    <w:rsid w:val="131FA609"/>
    <w:rsid w:val="134D5357"/>
    <w:rsid w:val="13604173"/>
    <w:rsid w:val="136259E0"/>
    <w:rsid w:val="13765D3F"/>
    <w:rsid w:val="13993C96"/>
    <w:rsid w:val="13BB7731"/>
    <w:rsid w:val="13F725B1"/>
    <w:rsid w:val="141460E9"/>
    <w:rsid w:val="1419712F"/>
    <w:rsid w:val="141B3B6D"/>
    <w:rsid w:val="141C258C"/>
    <w:rsid w:val="143556B4"/>
    <w:rsid w:val="144A7BD8"/>
    <w:rsid w:val="149F28B1"/>
    <w:rsid w:val="14B1A795"/>
    <w:rsid w:val="151F1B56"/>
    <w:rsid w:val="153B18CE"/>
    <w:rsid w:val="153C0AE8"/>
    <w:rsid w:val="15405424"/>
    <w:rsid w:val="15435BF2"/>
    <w:rsid w:val="15456B76"/>
    <w:rsid w:val="154935D9"/>
    <w:rsid w:val="157E7438"/>
    <w:rsid w:val="15BB6218"/>
    <w:rsid w:val="15DF34F1"/>
    <w:rsid w:val="15EF5D0A"/>
    <w:rsid w:val="160114A8"/>
    <w:rsid w:val="160973D8"/>
    <w:rsid w:val="165068F0"/>
    <w:rsid w:val="165321AB"/>
    <w:rsid w:val="16657FED"/>
    <w:rsid w:val="16742AE7"/>
    <w:rsid w:val="16930A17"/>
    <w:rsid w:val="169D0E93"/>
    <w:rsid w:val="16A158AD"/>
    <w:rsid w:val="16D80359"/>
    <w:rsid w:val="16F67730"/>
    <w:rsid w:val="171C5434"/>
    <w:rsid w:val="173556A9"/>
    <w:rsid w:val="177D6E34"/>
    <w:rsid w:val="179A0DA3"/>
    <w:rsid w:val="179F18D4"/>
    <w:rsid w:val="17D43E91"/>
    <w:rsid w:val="17E1613A"/>
    <w:rsid w:val="18111E24"/>
    <w:rsid w:val="18350C7D"/>
    <w:rsid w:val="1866461E"/>
    <w:rsid w:val="187874B5"/>
    <w:rsid w:val="18980971"/>
    <w:rsid w:val="189C6BC5"/>
    <w:rsid w:val="18BF512F"/>
    <w:rsid w:val="18D703EA"/>
    <w:rsid w:val="18E41D8D"/>
    <w:rsid w:val="19353569"/>
    <w:rsid w:val="194407CD"/>
    <w:rsid w:val="194A6812"/>
    <w:rsid w:val="196178B0"/>
    <w:rsid w:val="19721A4A"/>
    <w:rsid w:val="197A625B"/>
    <w:rsid w:val="19871CEE"/>
    <w:rsid w:val="1992672B"/>
    <w:rsid w:val="19DB4AC4"/>
    <w:rsid w:val="19DD4C7B"/>
    <w:rsid w:val="19DE5AD2"/>
    <w:rsid w:val="1A422421"/>
    <w:rsid w:val="1A5823C6"/>
    <w:rsid w:val="1A971DB0"/>
    <w:rsid w:val="1A992E30"/>
    <w:rsid w:val="1AC31A76"/>
    <w:rsid w:val="1AE1714C"/>
    <w:rsid w:val="1AF04599"/>
    <w:rsid w:val="1B2A7242"/>
    <w:rsid w:val="1B442FAC"/>
    <w:rsid w:val="1B4C6157"/>
    <w:rsid w:val="1B550FE4"/>
    <w:rsid w:val="1B55645E"/>
    <w:rsid w:val="1B735B9F"/>
    <w:rsid w:val="1B7FE553"/>
    <w:rsid w:val="1B826631"/>
    <w:rsid w:val="1B873E15"/>
    <w:rsid w:val="1B8FB797"/>
    <w:rsid w:val="1B917FD1"/>
    <w:rsid w:val="1BB06997"/>
    <w:rsid w:val="1BD16FD8"/>
    <w:rsid w:val="1BE475CF"/>
    <w:rsid w:val="1BF951C9"/>
    <w:rsid w:val="1C2D3F98"/>
    <w:rsid w:val="1C6F2066"/>
    <w:rsid w:val="1C900747"/>
    <w:rsid w:val="1C9A65AC"/>
    <w:rsid w:val="1CA13205"/>
    <w:rsid w:val="1CA17B28"/>
    <w:rsid w:val="1CB87720"/>
    <w:rsid w:val="1CBB1BB0"/>
    <w:rsid w:val="1CC87DBB"/>
    <w:rsid w:val="1CE41CE9"/>
    <w:rsid w:val="1D0E163B"/>
    <w:rsid w:val="1D455916"/>
    <w:rsid w:val="1D4C4BD6"/>
    <w:rsid w:val="1D6D38BE"/>
    <w:rsid w:val="1D717CEA"/>
    <w:rsid w:val="1D7D5EBE"/>
    <w:rsid w:val="1D7F99E2"/>
    <w:rsid w:val="1D865767"/>
    <w:rsid w:val="1D8B2FF5"/>
    <w:rsid w:val="1D8B7B9A"/>
    <w:rsid w:val="1DAD20FA"/>
    <w:rsid w:val="1DB21FDA"/>
    <w:rsid w:val="1DBB5FB9"/>
    <w:rsid w:val="1DBE0159"/>
    <w:rsid w:val="1DCF03F4"/>
    <w:rsid w:val="1DE35CE0"/>
    <w:rsid w:val="1DE6534E"/>
    <w:rsid w:val="1DF8F987"/>
    <w:rsid w:val="1DFAF9BA"/>
    <w:rsid w:val="1DFE7856"/>
    <w:rsid w:val="1E04108E"/>
    <w:rsid w:val="1E0A4507"/>
    <w:rsid w:val="1E1878F1"/>
    <w:rsid w:val="1E2A2DA4"/>
    <w:rsid w:val="1E387069"/>
    <w:rsid w:val="1E3E1E57"/>
    <w:rsid w:val="1E59E13A"/>
    <w:rsid w:val="1E5A75B1"/>
    <w:rsid w:val="1E6F3197"/>
    <w:rsid w:val="1E760B55"/>
    <w:rsid w:val="1E7E3C74"/>
    <w:rsid w:val="1E7F6019"/>
    <w:rsid w:val="1E8C3BF4"/>
    <w:rsid w:val="1E9217B7"/>
    <w:rsid w:val="1EA8395A"/>
    <w:rsid w:val="1EB64E6E"/>
    <w:rsid w:val="1EB80371"/>
    <w:rsid w:val="1EBE7EDB"/>
    <w:rsid w:val="1EC57B3D"/>
    <w:rsid w:val="1ECD31ED"/>
    <w:rsid w:val="1F046272"/>
    <w:rsid w:val="1F073BA8"/>
    <w:rsid w:val="1F0B237A"/>
    <w:rsid w:val="1F1F6295"/>
    <w:rsid w:val="1F390CCB"/>
    <w:rsid w:val="1F3A7E2B"/>
    <w:rsid w:val="1F3B41CE"/>
    <w:rsid w:val="1F4029C1"/>
    <w:rsid w:val="1F6DE5B5"/>
    <w:rsid w:val="1F926B72"/>
    <w:rsid w:val="1FAFFD1C"/>
    <w:rsid w:val="1FBF936D"/>
    <w:rsid w:val="1FC01F11"/>
    <w:rsid w:val="1FC73DB2"/>
    <w:rsid w:val="1FC90D7B"/>
    <w:rsid w:val="1FCE593B"/>
    <w:rsid w:val="1FE70ABE"/>
    <w:rsid w:val="1FE81B00"/>
    <w:rsid w:val="1FEAD725"/>
    <w:rsid w:val="1FEE3C71"/>
    <w:rsid w:val="1FF11764"/>
    <w:rsid w:val="1FFA52B6"/>
    <w:rsid w:val="1FFF8831"/>
    <w:rsid w:val="202905D3"/>
    <w:rsid w:val="202A177C"/>
    <w:rsid w:val="2038536A"/>
    <w:rsid w:val="206416B2"/>
    <w:rsid w:val="20947C82"/>
    <w:rsid w:val="20AD2DAB"/>
    <w:rsid w:val="20B004AC"/>
    <w:rsid w:val="20D451E9"/>
    <w:rsid w:val="20D9445E"/>
    <w:rsid w:val="20EC288F"/>
    <w:rsid w:val="20F06D17"/>
    <w:rsid w:val="21136DC1"/>
    <w:rsid w:val="213D0C9D"/>
    <w:rsid w:val="21481925"/>
    <w:rsid w:val="21556A3C"/>
    <w:rsid w:val="21582E98"/>
    <w:rsid w:val="21A26B3B"/>
    <w:rsid w:val="21F7036C"/>
    <w:rsid w:val="22282297"/>
    <w:rsid w:val="223009BE"/>
    <w:rsid w:val="22341FAC"/>
    <w:rsid w:val="226B751E"/>
    <w:rsid w:val="22715B9C"/>
    <w:rsid w:val="228F48DC"/>
    <w:rsid w:val="228F7DF5"/>
    <w:rsid w:val="22C70E9C"/>
    <w:rsid w:val="22E07847"/>
    <w:rsid w:val="22EB7DD7"/>
    <w:rsid w:val="22F5062A"/>
    <w:rsid w:val="23050288"/>
    <w:rsid w:val="23050980"/>
    <w:rsid w:val="2321052A"/>
    <w:rsid w:val="23287C3C"/>
    <w:rsid w:val="23393759"/>
    <w:rsid w:val="2339F8E8"/>
    <w:rsid w:val="233F41D5"/>
    <w:rsid w:val="23950D5E"/>
    <w:rsid w:val="23A7180F"/>
    <w:rsid w:val="23C57696"/>
    <w:rsid w:val="23DD8229"/>
    <w:rsid w:val="23FF3E2C"/>
    <w:rsid w:val="2406142C"/>
    <w:rsid w:val="2407269C"/>
    <w:rsid w:val="240B1533"/>
    <w:rsid w:val="242B2856"/>
    <w:rsid w:val="24323971"/>
    <w:rsid w:val="24477712"/>
    <w:rsid w:val="246B0E64"/>
    <w:rsid w:val="24723C63"/>
    <w:rsid w:val="247D056D"/>
    <w:rsid w:val="24807FED"/>
    <w:rsid w:val="24816F73"/>
    <w:rsid w:val="24833DE1"/>
    <w:rsid w:val="248554C1"/>
    <w:rsid w:val="24A4297F"/>
    <w:rsid w:val="24A52F9B"/>
    <w:rsid w:val="24B009BC"/>
    <w:rsid w:val="24B755C1"/>
    <w:rsid w:val="24BC74FD"/>
    <w:rsid w:val="24E76F7F"/>
    <w:rsid w:val="24ED6D52"/>
    <w:rsid w:val="24F226AE"/>
    <w:rsid w:val="251251BC"/>
    <w:rsid w:val="252757E6"/>
    <w:rsid w:val="253823D7"/>
    <w:rsid w:val="253F062B"/>
    <w:rsid w:val="254A0BBB"/>
    <w:rsid w:val="254D2A92"/>
    <w:rsid w:val="2560201D"/>
    <w:rsid w:val="257A2D8B"/>
    <w:rsid w:val="25916624"/>
    <w:rsid w:val="25AB74F8"/>
    <w:rsid w:val="25B377A7"/>
    <w:rsid w:val="25D02118"/>
    <w:rsid w:val="25DD303D"/>
    <w:rsid w:val="25E22D30"/>
    <w:rsid w:val="25F36252"/>
    <w:rsid w:val="2629602A"/>
    <w:rsid w:val="26330B38"/>
    <w:rsid w:val="26536E6E"/>
    <w:rsid w:val="26844C42"/>
    <w:rsid w:val="269243D5"/>
    <w:rsid w:val="269BA2F5"/>
    <w:rsid w:val="269C2789"/>
    <w:rsid w:val="26A37EF2"/>
    <w:rsid w:val="26D11350"/>
    <w:rsid w:val="26DB3004"/>
    <w:rsid w:val="26ED0426"/>
    <w:rsid w:val="26F7181E"/>
    <w:rsid w:val="278F3972"/>
    <w:rsid w:val="279306B6"/>
    <w:rsid w:val="27977421"/>
    <w:rsid w:val="27B2084F"/>
    <w:rsid w:val="27C61A62"/>
    <w:rsid w:val="27EF1FFC"/>
    <w:rsid w:val="27FE032D"/>
    <w:rsid w:val="28081DE6"/>
    <w:rsid w:val="280A58E6"/>
    <w:rsid w:val="281B674A"/>
    <w:rsid w:val="28696559"/>
    <w:rsid w:val="28AD2049"/>
    <w:rsid w:val="28DD6941"/>
    <w:rsid w:val="28E9232B"/>
    <w:rsid w:val="290D3AFF"/>
    <w:rsid w:val="295B0396"/>
    <w:rsid w:val="295C3AD2"/>
    <w:rsid w:val="29C71788"/>
    <w:rsid w:val="29D27253"/>
    <w:rsid w:val="29E7B64D"/>
    <w:rsid w:val="29EC318F"/>
    <w:rsid w:val="29F60F1B"/>
    <w:rsid w:val="29FE7C75"/>
    <w:rsid w:val="2A397EFC"/>
    <w:rsid w:val="2AA35DB6"/>
    <w:rsid w:val="2AC563B9"/>
    <w:rsid w:val="2AD92D2A"/>
    <w:rsid w:val="2AED757D"/>
    <w:rsid w:val="2AFE3C9B"/>
    <w:rsid w:val="2AFEA112"/>
    <w:rsid w:val="2B0553F7"/>
    <w:rsid w:val="2B1775AD"/>
    <w:rsid w:val="2B1A1346"/>
    <w:rsid w:val="2B3134E9"/>
    <w:rsid w:val="2B441C02"/>
    <w:rsid w:val="2B7C3BFA"/>
    <w:rsid w:val="2B890BB6"/>
    <w:rsid w:val="2BA128A4"/>
    <w:rsid w:val="2BB16A7C"/>
    <w:rsid w:val="2BBF5FEE"/>
    <w:rsid w:val="2BD94BFC"/>
    <w:rsid w:val="2BDB00FF"/>
    <w:rsid w:val="2BF73320"/>
    <w:rsid w:val="2BF7B2CE"/>
    <w:rsid w:val="2BFC1B20"/>
    <w:rsid w:val="2C6D0F6C"/>
    <w:rsid w:val="2C6D2EF1"/>
    <w:rsid w:val="2C7D3D6D"/>
    <w:rsid w:val="2C853BBE"/>
    <w:rsid w:val="2CAB07D7"/>
    <w:rsid w:val="2CB7D3C3"/>
    <w:rsid w:val="2CC50AC9"/>
    <w:rsid w:val="2CF6FFFD"/>
    <w:rsid w:val="2CF9069B"/>
    <w:rsid w:val="2CFF3968"/>
    <w:rsid w:val="2D125BFD"/>
    <w:rsid w:val="2D465D89"/>
    <w:rsid w:val="2D4F12E5"/>
    <w:rsid w:val="2D506C2C"/>
    <w:rsid w:val="2D7EB88A"/>
    <w:rsid w:val="2D7F1622"/>
    <w:rsid w:val="2D913705"/>
    <w:rsid w:val="2D9D7020"/>
    <w:rsid w:val="2DA4420F"/>
    <w:rsid w:val="2DAB04F9"/>
    <w:rsid w:val="2DAF6DF8"/>
    <w:rsid w:val="2DB83B55"/>
    <w:rsid w:val="2DC669A6"/>
    <w:rsid w:val="2DCE68B5"/>
    <w:rsid w:val="2DD072B5"/>
    <w:rsid w:val="2DD724C3"/>
    <w:rsid w:val="2DDD432C"/>
    <w:rsid w:val="2DEE31D7"/>
    <w:rsid w:val="2DF7E72F"/>
    <w:rsid w:val="2E063012"/>
    <w:rsid w:val="2E396CE5"/>
    <w:rsid w:val="2E454150"/>
    <w:rsid w:val="2E933F40"/>
    <w:rsid w:val="2EA52AE7"/>
    <w:rsid w:val="2EA94463"/>
    <w:rsid w:val="2EAF4A99"/>
    <w:rsid w:val="2EDA095E"/>
    <w:rsid w:val="2EDF73EC"/>
    <w:rsid w:val="2EE62680"/>
    <w:rsid w:val="2EE72300"/>
    <w:rsid w:val="2EE727CD"/>
    <w:rsid w:val="2EFF62FD"/>
    <w:rsid w:val="2F0D6CBD"/>
    <w:rsid w:val="2F2670E5"/>
    <w:rsid w:val="2F38C341"/>
    <w:rsid w:val="2F540CEA"/>
    <w:rsid w:val="2F613E55"/>
    <w:rsid w:val="2F6D4848"/>
    <w:rsid w:val="2F7666EC"/>
    <w:rsid w:val="2F7F5673"/>
    <w:rsid w:val="2F9496AA"/>
    <w:rsid w:val="2FB12789"/>
    <w:rsid w:val="2FBFA3F9"/>
    <w:rsid w:val="2FC94E71"/>
    <w:rsid w:val="2FD86101"/>
    <w:rsid w:val="2FE841FE"/>
    <w:rsid w:val="2FEFCF3B"/>
    <w:rsid w:val="2FFD8DB6"/>
    <w:rsid w:val="2FFDC865"/>
    <w:rsid w:val="30060DDD"/>
    <w:rsid w:val="30061299"/>
    <w:rsid w:val="30266C02"/>
    <w:rsid w:val="304E7D89"/>
    <w:rsid w:val="304F3DC3"/>
    <w:rsid w:val="309645C5"/>
    <w:rsid w:val="30A91F61"/>
    <w:rsid w:val="30C2267E"/>
    <w:rsid w:val="3156673A"/>
    <w:rsid w:val="3157337F"/>
    <w:rsid w:val="315A1326"/>
    <w:rsid w:val="31931C40"/>
    <w:rsid w:val="31953888"/>
    <w:rsid w:val="31AB6D57"/>
    <w:rsid w:val="31C07C5E"/>
    <w:rsid w:val="31D02DEC"/>
    <w:rsid w:val="31EB8796"/>
    <w:rsid w:val="31EE25F8"/>
    <w:rsid w:val="321650D4"/>
    <w:rsid w:val="3227449D"/>
    <w:rsid w:val="32323FE6"/>
    <w:rsid w:val="325D5CC4"/>
    <w:rsid w:val="32B31703"/>
    <w:rsid w:val="32BBDC50"/>
    <w:rsid w:val="32D726C2"/>
    <w:rsid w:val="32DF6379"/>
    <w:rsid w:val="32F0569E"/>
    <w:rsid w:val="32F775AE"/>
    <w:rsid w:val="32FF5CB9"/>
    <w:rsid w:val="330A1ACB"/>
    <w:rsid w:val="33264F75"/>
    <w:rsid w:val="33473C7B"/>
    <w:rsid w:val="33543836"/>
    <w:rsid w:val="335B1E3A"/>
    <w:rsid w:val="3364516C"/>
    <w:rsid w:val="337A5793"/>
    <w:rsid w:val="338A286E"/>
    <w:rsid w:val="338F55A8"/>
    <w:rsid w:val="33A569AD"/>
    <w:rsid w:val="33B36D4D"/>
    <w:rsid w:val="33B850E7"/>
    <w:rsid w:val="33D53585"/>
    <w:rsid w:val="33D9561C"/>
    <w:rsid w:val="33DB0B1F"/>
    <w:rsid w:val="33FDFA2C"/>
    <w:rsid w:val="33FDFF3A"/>
    <w:rsid w:val="34234796"/>
    <w:rsid w:val="344402DD"/>
    <w:rsid w:val="34750519"/>
    <w:rsid w:val="34847358"/>
    <w:rsid w:val="348909A4"/>
    <w:rsid w:val="3489332B"/>
    <w:rsid w:val="34C63F8E"/>
    <w:rsid w:val="34D47C2D"/>
    <w:rsid w:val="34D97A24"/>
    <w:rsid w:val="34EF6B70"/>
    <w:rsid w:val="34FA04A0"/>
    <w:rsid w:val="3509378F"/>
    <w:rsid w:val="350C15D3"/>
    <w:rsid w:val="351D0231"/>
    <w:rsid w:val="35244F13"/>
    <w:rsid w:val="35773505"/>
    <w:rsid w:val="357844B0"/>
    <w:rsid w:val="358B3BC1"/>
    <w:rsid w:val="35A211C7"/>
    <w:rsid w:val="35A73AA5"/>
    <w:rsid w:val="35AE748D"/>
    <w:rsid w:val="35C1760F"/>
    <w:rsid w:val="35DF717D"/>
    <w:rsid w:val="35E7A7FE"/>
    <w:rsid w:val="35EFE9B6"/>
    <w:rsid w:val="35FD2AD4"/>
    <w:rsid w:val="35FF7C41"/>
    <w:rsid w:val="363FA1BA"/>
    <w:rsid w:val="364C5793"/>
    <w:rsid w:val="3650732A"/>
    <w:rsid w:val="36672283"/>
    <w:rsid w:val="366E487F"/>
    <w:rsid w:val="367904EE"/>
    <w:rsid w:val="3688074B"/>
    <w:rsid w:val="368E0AC8"/>
    <w:rsid w:val="36AF3103"/>
    <w:rsid w:val="36BF293E"/>
    <w:rsid w:val="36FE77A6"/>
    <w:rsid w:val="37191048"/>
    <w:rsid w:val="373347AB"/>
    <w:rsid w:val="373931A3"/>
    <w:rsid w:val="37424376"/>
    <w:rsid w:val="37587B5C"/>
    <w:rsid w:val="37643AA3"/>
    <w:rsid w:val="3766400E"/>
    <w:rsid w:val="376822D6"/>
    <w:rsid w:val="37707E3A"/>
    <w:rsid w:val="377F1FB5"/>
    <w:rsid w:val="37814D4F"/>
    <w:rsid w:val="378EE2F4"/>
    <w:rsid w:val="37C404E8"/>
    <w:rsid w:val="37CA9658"/>
    <w:rsid w:val="37D63904"/>
    <w:rsid w:val="37D72192"/>
    <w:rsid w:val="37F1411B"/>
    <w:rsid w:val="37F24AA3"/>
    <w:rsid w:val="37FB1087"/>
    <w:rsid w:val="37FEB33D"/>
    <w:rsid w:val="37FF64B9"/>
    <w:rsid w:val="38585500"/>
    <w:rsid w:val="386A6ED7"/>
    <w:rsid w:val="3888024E"/>
    <w:rsid w:val="388D3D80"/>
    <w:rsid w:val="38904990"/>
    <w:rsid w:val="38C86AB9"/>
    <w:rsid w:val="38D2567B"/>
    <w:rsid w:val="38DEEA59"/>
    <w:rsid w:val="38EF27FF"/>
    <w:rsid w:val="38F76303"/>
    <w:rsid w:val="38FE7598"/>
    <w:rsid w:val="390D0E07"/>
    <w:rsid w:val="391651DF"/>
    <w:rsid w:val="392E224E"/>
    <w:rsid w:val="3977261C"/>
    <w:rsid w:val="3998118B"/>
    <w:rsid w:val="39AB12AA"/>
    <w:rsid w:val="39C51E54"/>
    <w:rsid w:val="39DE2E9F"/>
    <w:rsid w:val="39FE23D7"/>
    <w:rsid w:val="39FEA4FB"/>
    <w:rsid w:val="39FF0D34"/>
    <w:rsid w:val="3A0A4C8E"/>
    <w:rsid w:val="3A1D5F29"/>
    <w:rsid w:val="3A227FEF"/>
    <w:rsid w:val="3A2632C7"/>
    <w:rsid w:val="3A2A6EC7"/>
    <w:rsid w:val="3A46026C"/>
    <w:rsid w:val="3A6E40C9"/>
    <w:rsid w:val="3A724DDE"/>
    <w:rsid w:val="3A7B6DEC"/>
    <w:rsid w:val="3A813872"/>
    <w:rsid w:val="3A856A0F"/>
    <w:rsid w:val="3AAE0883"/>
    <w:rsid w:val="3ABC4850"/>
    <w:rsid w:val="3AC53317"/>
    <w:rsid w:val="3AD7CD4B"/>
    <w:rsid w:val="3ADA7796"/>
    <w:rsid w:val="3ADF4A59"/>
    <w:rsid w:val="3AE24BAA"/>
    <w:rsid w:val="3AF801CB"/>
    <w:rsid w:val="3AF93965"/>
    <w:rsid w:val="3B243095"/>
    <w:rsid w:val="3B293004"/>
    <w:rsid w:val="3B2E63AA"/>
    <w:rsid w:val="3B2F10B9"/>
    <w:rsid w:val="3B5E5FA0"/>
    <w:rsid w:val="3B612EFA"/>
    <w:rsid w:val="3B642813"/>
    <w:rsid w:val="3B68288C"/>
    <w:rsid w:val="3B6A021D"/>
    <w:rsid w:val="3BAA3FB1"/>
    <w:rsid w:val="3BBA8E6C"/>
    <w:rsid w:val="3BBB1F78"/>
    <w:rsid w:val="3BDB3809"/>
    <w:rsid w:val="3BEFCD1D"/>
    <w:rsid w:val="3BFEF488"/>
    <w:rsid w:val="3BFF1FCF"/>
    <w:rsid w:val="3C1123CF"/>
    <w:rsid w:val="3C222CB4"/>
    <w:rsid w:val="3C3054F1"/>
    <w:rsid w:val="3C3717CE"/>
    <w:rsid w:val="3C3C008E"/>
    <w:rsid w:val="3C4953F6"/>
    <w:rsid w:val="3C496CA8"/>
    <w:rsid w:val="3C579CAD"/>
    <w:rsid w:val="3C656946"/>
    <w:rsid w:val="3C7FF4E0"/>
    <w:rsid w:val="3CA00003"/>
    <w:rsid w:val="3CAB46BF"/>
    <w:rsid w:val="3CEB3593"/>
    <w:rsid w:val="3CF7F7E3"/>
    <w:rsid w:val="3CF871F7"/>
    <w:rsid w:val="3CFF9BBE"/>
    <w:rsid w:val="3D11161A"/>
    <w:rsid w:val="3D1468DC"/>
    <w:rsid w:val="3D1FED9E"/>
    <w:rsid w:val="3D32639E"/>
    <w:rsid w:val="3D3D4F4E"/>
    <w:rsid w:val="3D3FAE41"/>
    <w:rsid w:val="3D5F53F6"/>
    <w:rsid w:val="3D6F7DF2"/>
    <w:rsid w:val="3D9564E2"/>
    <w:rsid w:val="3DB36BC6"/>
    <w:rsid w:val="3DB917A0"/>
    <w:rsid w:val="3DBE6F9C"/>
    <w:rsid w:val="3DD47DF1"/>
    <w:rsid w:val="3DE176A6"/>
    <w:rsid w:val="3DE618BE"/>
    <w:rsid w:val="3DE81477"/>
    <w:rsid w:val="3DEA3274"/>
    <w:rsid w:val="3DF36ACE"/>
    <w:rsid w:val="3DF5A4D9"/>
    <w:rsid w:val="3DFA065D"/>
    <w:rsid w:val="3DFBA10A"/>
    <w:rsid w:val="3DFBD862"/>
    <w:rsid w:val="3DFD18D6"/>
    <w:rsid w:val="3DFD206E"/>
    <w:rsid w:val="3DFEA5AF"/>
    <w:rsid w:val="3E236C8C"/>
    <w:rsid w:val="3E374290"/>
    <w:rsid w:val="3E414EEF"/>
    <w:rsid w:val="3E585F50"/>
    <w:rsid w:val="3E5A190E"/>
    <w:rsid w:val="3E6853F0"/>
    <w:rsid w:val="3E6C4AD6"/>
    <w:rsid w:val="3E6D16C9"/>
    <w:rsid w:val="3E6FA443"/>
    <w:rsid w:val="3E8573AE"/>
    <w:rsid w:val="3E8E54B7"/>
    <w:rsid w:val="3EA31476"/>
    <w:rsid w:val="3EAF563D"/>
    <w:rsid w:val="3EB55973"/>
    <w:rsid w:val="3EBE677B"/>
    <w:rsid w:val="3ECFBCC7"/>
    <w:rsid w:val="3ED7EDDF"/>
    <w:rsid w:val="3EDF6705"/>
    <w:rsid w:val="3EE74C65"/>
    <w:rsid w:val="3EF604D7"/>
    <w:rsid w:val="3EFE6CE6"/>
    <w:rsid w:val="3F056573"/>
    <w:rsid w:val="3F166457"/>
    <w:rsid w:val="3F1788A8"/>
    <w:rsid w:val="3F3BAE89"/>
    <w:rsid w:val="3F44531C"/>
    <w:rsid w:val="3F4A1224"/>
    <w:rsid w:val="3F5A1439"/>
    <w:rsid w:val="3F5AB2BB"/>
    <w:rsid w:val="3F637620"/>
    <w:rsid w:val="3F6D7DEB"/>
    <w:rsid w:val="3F6E941B"/>
    <w:rsid w:val="3F6F6246"/>
    <w:rsid w:val="3F712FFC"/>
    <w:rsid w:val="3F751466"/>
    <w:rsid w:val="3F75E9C3"/>
    <w:rsid w:val="3F77FCCB"/>
    <w:rsid w:val="3F7BBE72"/>
    <w:rsid w:val="3F8E1073"/>
    <w:rsid w:val="3F9B723E"/>
    <w:rsid w:val="3FA12A74"/>
    <w:rsid w:val="3FA664CB"/>
    <w:rsid w:val="3FB13209"/>
    <w:rsid w:val="3FB37685"/>
    <w:rsid w:val="3FB71F45"/>
    <w:rsid w:val="3FBA358F"/>
    <w:rsid w:val="3FBE21F1"/>
    <w:rsid w:val="3FBF5FAC"/>
    <w:rsid w:val="3FBFEBDE"/>
    <w:rsid w:val="3FCF460B"/>
    <w:rsid w:val="3FCF4D9F"/>
    <w:rsid w:val="3FDBC967"/>
    <w:rsid w:val="3FDF878B"/>
    <w:rsid w:val="3FDF8C3F"/>
    <w:rsid w:val="3FE6D2D3"/>
    <w:rsid w:val="3FE7305F"/>
    <w:rsid w:val="3FEBEB9E"/>
    <w:rsid w:val="3FEC382E"/>
    <w:rsid w:val="3FEEF323"/>
    <w:rsid w:val="3FEFBD9F"/>
    <w:rsid w:val="3FFC1443"/>
    <w:rsid w:val="3FFC321E"/>
    <w:rsid w:val="3FFD0608"/>
    <w:rsid w:val="3FFF81B3"/>
    <w:rsid w:val="403D4072"/>
    <w:rsid w:val="409946A0"/>
    <w:rsid w:val="40B87851"/>
    <w:rsid w:val="41051F14"/>
    <w:rsid w:val="413039B8"/>
    <w:rsid w:val="41361759"/>
    <w:rsid w:val="414F44DA"/>
    <w:rsid w:val="41535DB8"/>
    <w:rsid w:val="415E527D"/>
    <w:rsid w:val="417FB3FD"/>
    <w:rsid w:val="419014A0"/>
    <w:rsid w:val="41911120"/>
    <w:rsid w:val="41A65D11"/>
    <w:rsid w:val="41A710C5"/>
    <w:rsid w:val="41AA1CF6"/>
    <w:rsid w:val="41BA4B8B"/>
    <w:rsid w:val="41E12D0A"/>
    <w:rsid w:val="41EEF374"/>
    <w:rsid w:val="41F02C04"/>
    <w:rsid w:val="421D13B3"/>
    <w:rsid w:val="42780119"/>
    <w:rsid w:val="42B0448A"/>
    <w:rsid w:val="42BC18B4"/>
    <w:rsid w:val="42DA01BE"/>
    <w:rsid w:val="42DD3AE0"/>
    <w:rsid w:val="43070493"/>
    <w:rsid w:val="4343436A"/>
    <w:rsid w:val="4353183F"/>
    <w:rsid w:val="437671B1"/>
    <w:rsid w:val="4385169E"/>
    <w:rsid w:val="43941A71"/>
    <w:rsid w:val="439E7EFB"/>
    <w:rsid w:val="43A7408E"/>
    <w:rsid w:val="43B24080"/>
    <w:rsid w:val="43CF3F4E"/>
    <w:rsid w:val="43D14367"/>
    <w:rsid w:val="441E1E60"/>
    <w:rsid w:val="44347375"/>
    <w:rsid w:val="4446310B"/>
    <w:rsid w:val="44654BE2"/>
    <w:rsid w:val="446C1559"/>
    <w:rsid w:val="448C7B84"/>
    <w:rsid w:val="4493691C"/>
    <w:rsid w:val="44A21D28"/>
    <w:rsid w:val="44B52F47"/>
    <w:rsid w:val="44CC63EF"/>
    <w:rsid w:val="44DD6689"/>
    <w:rsid w:val="44F078A8"/>
    <w:rsid w:val="44FD6301"/>
    <w:rsid w:val="450E6E58"/>
    <w:rsid w:val="451851EA"/>
    <w:rsid w:val="45234F65"/>
    <w:rsid w:val="452D24EF"/>
    <w:rsid w:val="45441531"/>
    <w:rsid w:val="45674F69"/>
    <w:rsid w:val="4597133B"/>
    <w:rsid w:val="459E0048"/>
    <w:rsid w:val="45BD5CCC"/>
    <w:rsid w:val="45CA500D"/>
    <w:rsid w:val="45D71A00"/>
    <w:rsid w:val="45F10DEA"/>
    <w:rsid w:val="460A3878"/>
    <w:rsid w:val="460C5F7F"/>
    <w:rsid w:val="461168E5"/>
    <w:rsid w:val="46824303"/>
    <w:rsid w:val="46957BD9"/>
    <w:rsid w:val="46D01EBD"/>
    <w:rsid w:val="46EF8BCA"/>
    <w:rsid w:val="47063E94"/>
    <w:rsid w:val="47367762"/>
    <w:rsid w:val="47395694"/>
    <w:rsid w:val="47545C3E"/>
    <w:rsid w:val="475528C1"/>
    <w:rsid w:val="475D60E2"/>
    <w:rsid w:val="47992CCE"/>
    <w:rsid w:val="47A7459E"/>
    <w:rsid w:val="47AA6490"/>
    <w:rsid w:val="47C737CE"/>
    <w:rsid w:val="47CE135F"/>
    <w:rsid w:val="47D05BE8"/>
    <w:rsid w:val="47DBE771"/>
    <w:rsid w:val="47FE56F4"/>
    <w:rsid w:val="48031435"/>
    <w:rsid w:val="480A051E"/>
    <w:rsid w:val="48310EDB"/>
    <w:rsid w:val="485B597B"/>
    <w:rsid w:val="4861761A"/>
    <w:rsid w:val="48D661BF"/>
    <w:rsid w:val="48E14985"/>
    <w:rsid w:val="48FA6149"/>
    <w:rsid w:val="49021A5E"/>
    <w:rsid w:val="492369E3"/>
    <w:rsid w:val="4937272B"/>
    <w:rsid w:val="4946F990"/>
    <w:rsid w:val="498615B1"/>
    <w:rsid w:val="49881230"/>
    <w:rsid w:val="498A028A"/>
    <w:rsid w:val="49A80D02"/>
    <w:rsid w:val="49BC2AC2"/>
    <w:rsid w:val="49BE7CBA"/>
    <w:rsid w:val="49C44F0A"/>
    <w:rsid w:val="49D97D36"/>
    <w:rsid w:val="49EC68B2"/>
    <w:rsid w:val="49EF6CA3"/>
    <w:rsid w:val="49F72B69"/>
    <w:rsid w:val="4A04553D"/>
    <w:rsid w:val="4A055D9D"/>
    <w:rsid w:val="4A236EB1"/>
    <w:rsid w:val="4A2F72F2"/>
    <w:rsid w:val="4A496572"/>
    <w:rsid w:val="4A562B83"/>
    <w:rsid w:val="4A6040A5"/>
    <w:rsid w:val="4A65EDB6"/>
    <w:rsid w:val="4A6F5CAB"/>
    <w:rsid w:val="4A7E360D"/>
    <w:rsid w:val="4A9363F2"/>
    <w:rsid w:val="4AA16D9F"/>
    <w:rsid w:val="4AE667E5"/>
    <w:rsid w:val="4AEA5736"/>
    <w:rsid w:val="4AEBC969"/>
    <w:rsid w:val="4B571EF3"/>
    <w:rsid w:val="4B657CE0"/>
    <w:rsid w:val="4B6C26CB"/>
    <w:rsid w:val="4B783CBA"/>
    <w:rsid w:val="4B7F48C8"/>
    <w:rsid w:val="4B8435F5"/>
    <w:rsid w:val="4BC50E9E"/>
    <w:rsid w:val="4BDFB2B8"/>
    <w:rsid w:val="4BEFB11A"/>
    <w:rsid w:val="4C1827E3"/>
    <w:rsid w:val="4C345B57"/>
    <w:rsid w:val="4C3C7D61"/>
    <w:rsid w:val="4C585E65"/>
    <w:rsid w:val="4C9A281D"/>
    <w:rsid w:val="4CBF69F7"/>
    <w:rsid w:val="4CC744F2"/>
    <w:rsid w:val="4CCE3F66"/>
    <w:rsid w:val="4CE71B75"/>
    <w:rsid w:val="4D160508"/>
    <w:rsid w:val="4D28FCE3"/>
    <w:rsid w:val="4D3816DD"/>
    <w:rsid w:val="4D536CE8"/>
    <w:rsid w:val="4D5A4629"/>
    <w:rsid w:val="4D955FDB"/>
    <w:rsid w:val="4D9CE817"/>
    <w:rsid w:val="4DBE1067"/>
    <w:rsid w:val="4DDB70C8"/>
    <w:rsid w:val="4DE6755C"/>
    <w:rsid w:val="4DEC1465"/>
    <w:rsid w:val="4DEF52BB"/>
    <w:rsid w:val="4E062260"/>
    <w:rsid w:val="4E10291E"/>
    <w:rsid w:val="4E3462D5"/>
    <w:rsid w:val="4E60162A"/>
    <w:rsid w:val="4E76691E"/>
    <w:rsid w:val="4E7B1FCD"/>
    <w:rsid w:val="4E8A6881"/>
    <w:rsid w:val="4E8E3BAE"/>
    <w:rsid w:val="4EA56695"/>
    <w:rsid w:val="4EBD5EBD"/>
    <w:rsid w:val="4EC761FD"/>
    <w:rsid w:val="4ED0735A"/>
    <w:rsid w:val="4EDE49C4"/>
    <w:rsid w:val="4EEC6E09"/>
    <w:rsid w:val="4EF03074"/>
    <w:rsid w:val="4EF4244E"/>
    <w:rsid w:val="4EF686EB"/>
    <w:rsid w:val="4EFE2184"/>
    <w:rsid w:val="4F035E8A"/>
    <w:rsid w:val="4F1132CF"/>
    <w:rsid w:val="4F193AD0"/>
    <w:rsid w:val="4F1A6654"/>
    <w:rsid w:val="4F23029B"/>
    <w:rsid w:val="4F2C0044"/>
    <w:rsid w:val="4F455749"/>
    <w:rsid w:val="4F660CD1"/>
    <w:rsid w:val="4F6B3ADD"/>
    <w:rsid w:val="4F7769ED"/>
    <w:rsid w:val="4F7F178D"/>
    <w:rsid w:val="4F7FB3D0"/>
    <w:rsid w:val="4F8634F9"/>
    <w:rsid w:val="4F8B0F68"/>
    <w:rsid w:val="4F990227"/>
    <w:rsid w:val="4F9F7165"/>
    <w:rsid w:val="4FB10D79"/>
    <w:rsid w:val="4FBB4E26"/>
    <w:rsid w:val="4FDF6421"/>
    <w:rsid w:val="4FDFD571"/>
    <w:rsid w:val="4FEFABE8"/>
    <w:rsid w:val="4FF57094"/>
    <w:rsid w:val="4FF73636"/>
    <w:rsid w:val="4FF7B223"/>
    <w:rsid w:val="4FF87E77"/>
    <w:rsid w:val="4FFE8F75"/>
    <w:rsid w:val="50267A8B"/>
    <w:rsid w:val="50386E39"/>
    <w:rsid w:val="504F44D2"/>
    <w:rsid w:val="50601352"/>
    <w:rsid w:val="50C90A5A"/>
    <w:rsid w:val="50D33427"/>
    <w:rsid w:val="50FA7A55"/>
    <w:rsid w:val="511C2D96"/>
    <w:rsid w:val="51597B82"/>
    <w:rsid w:val="519A696D"/>
    <w:rsid w:val="51B06427"/>
    <w:rsid w:val="51CB0B4A"/>
    <w:rsid w:val="51D6396D"/>
    <w:rsid w:val="51DE4498"/>
    <w:rsid w:val="51ED0CB0"/>
    <w:rsid w:val="525E7DB1"/>
    <w:rsid w:val="526B4F12"/>
    <w:rsid w:val="52742B53"/>
    <w:rsid w:val="52A955AB"/>
    <w:rsid w:val="52CD7155"/>
    <w:rsid w:val="535920F9"/>
    <w:rsid w:val="537B01D3"/>
    <w:rsid w:val="537B4FD4"/>
    <w:rsid w:val="537C3686"/>
    <w:rsid w:val="53A81B27"/>
    <w:rsid w:val="53BAFAF8"/>
    <w:rsid w:val="53BEF60A"/>
    <w:rsid w:val="53C46FFC"/>
    <w:rsid w:val="53DF754A"/>
    <w:rsid w:val="53EEFE6C"/>
    <w:rsid w:val="53EF54A9"/>
    <w:rsid w:val="53F6CFF3"/>
    <w:rsid w:val="54175782"/>
    <w:rsid w:val="54310F11"/>
    <w:rsid w:val="54375E8E"/>
    <w:rsid w:val="545333E8"/>
    <w:rsid w:val="54B42188"/>
    <w:rsid w:val="54D947DE"/>
    <w:rsid w:val="54EC353E"/>
    <w:rsid w:val="54F93B76"/>
    <w:rsid w:val="550511EB"/>
    <w:rsid w:val="55287EB0"/>
    <w:rsid w:val="55394D7F"/>
    <w:rsid w:val="553E287F"/>
    <w:rsid w:val="557BC523"/>
    <w:rsid w:val="559F9CA5"/>
    <w:rsid w:val="55AD3BCA"/>
    <w:rsid w:val="55D33F14"/>
    <w:rsid w:val="55DF63F2"/>
    <w:rsid w:val="55FF093D"/>
    <w:rsid w:val="560861AC"/>
    <w:rsid w:val="561560EF"/>
    <w:rsid w:val="56293594"/>
    <w:rsid w:val="563B796A"/>
    <w:rsid w:val="56476EC8"/>
    <w:rsid w:val="56630D53"/>
    <w:rsid w:val="566919CC"/>
    <w:rsid w:val="56737C14"/>
    <w:rsid w:val="567E9799"/>
    <w:rsid w:val="56922DA5"/>
    <w:rsid w:val="569660E0"/>
    <w:rsid w:val="56987D9F"/>
    <w:rsid w:val="56C62E6D"/>
    <w:rsid w:val="56CC4D76"/>
    <w:rsid w:val="56E6071F"/>
    <w:rsid w:val="56EB2D6E"/>
    <w:rsid w:val="56ED3F1C"/>
    <w:rsid w:val="5707680B"/>
    <w:rsid w:val="57279A79"/>
    <w:rsid w:val="57470D7B"/>
    <w:rsid w:val="57577793"/>
    <w:rsid w:val="57883C05"/>
    <w:rsid w:val="57885129"/>
    <w:rsid w:val="579D48E4"/>
    <w:rsid w:val="57A23AD5"/>
    <w:rsid w:val="57A357B3"/>
    <w:rsid w:val="57BF7202"/>
    <w:rsid w:val="57DA74B2"/>
    <w:rsid w:val="57DD0F0D"/>
    <w:rsid w:val="57DFD5AE"/>
    <w:rsid w:val="57F6575D"/>
    <w:rsid w:val="57F74E6C"/>
    <w:rsid w:val="57FFBA62"/>
    <w:rsid w:val="580609B0"/>
    <w:rsid w:val="58599E33"/>
    <w:rsid w:val="58672599"/>
    <w:rsid w:val="58903D2B"/>
    <w:rsid w:val="58B87EC3"/>
    <w:rsid w:val="58BF6AD1"/>
    <w:rsid w:val="58FD630A"/>
    <w:rsid w:val="59386793"/>
    <w:rsid w:val="59534AF4"/>
    <w:rsid w:val="59820767"/>
    <w:rsid w:val="59843C6A"/>
    <w:rsid w:val="59D3E551"/>
    <w:rsid w:val="59E6628D"/>
    <w:rsid w:val="59E76577"/>
    <w:rsid w:val="59EDA0C5"/>
    <w:rsid w:val="59FC1F4E"/>
    <w:rsid w:val="59FDC1DB"/>
    <w:rsid w:val="5A0043EB"/>
    <w:rsid w:val="5A493C1F"/>
    <w:rsid w:val="5A5C5ECC"/>
    <w:rsid w:val="5A7979FA"/>
    <w:rsid w:val="5A7C6376"/>
    <w:rsid w:val="5A7C710B"/>
    <w:rsid w:val="5ABFA254"/>
    <w:rsid w:val="5AD9394C"/>
    <w:rsid w:val="5B11274E"/>
    <w:rsid w:val="5B1CE058"/>
    <w:rsid w:val="5B6DD4EC"/>
    <w:rsid w:val="5B796FB5"/>
    <w:rsid w:val="5B79702D"/>
    <w:rsid w:val="5B7D4E3F"/>
    <w:rsid w:val="5B7F3936"/>
    <w:rsid w:val="5B7F64CC"/>
    <w:rsid w:val="5B8F3B14"/>
    <w:rsid w:val="5BB31F72"/>
    <w:rsid w:val="5BC73423"/>
    <w:rsid w:val="5BCB3F03"/>
    <w:rsid w:val="5BD95883"/>
    <w:rsid w:val="5BE74AD4"/>
    <w:rsid w:val="5BE7B040"/>
    <w:rsid w:val="5BF6A809"/>
    <w:rsid w:val="5BF6E34B"/>
    <w:rsid w:val="5BF94710"/>
    <w:rsid w:val="5BFBEFDD"/>
    <w:rsid w:val="5BFEB86D"/>
    <w:rsid w:val="5C450651"/>
    <w:rsid w:val="5C503871"/>
    <w:rsid w:val="5C52776A"/>
    <w:rsid w:val="5C542AC0"/>
    <w:rsid w:val="5C931CC3"/>
    <w:rsid w:val="5C99296F"/>
    <w:rsid w:val="5CAB25EF"/>
    <w:rsid w:val="5CD68DED"/>
    <w:rsid w:val="5CDF475D"/>
    <w:rsid w:val="5CFA17F1"/>
    <w:rsid w:val="5CFA9E9E"/>
    <w:rsid w:val="5CFBE65C"/>
    <w:rsid w:val="5CFF0E06"/>
    <w:rsid w:val="5D3FB2BB"/>
    <w:rsid w:val="5D41498A"/>
    <w:rsid w:val="5D7597EF"/>
    <w:rsid w:val="5D857032"/>
    <w:rsid w:val="5DAB53BD"/>
    <w:rsid w:val="5DB10952"/>
    <w:rsid w:val="5DE31F95"/>
    <w:rsid w:val="5DE79D69"/>
    <w:rsid w:val="5DEDA0ED"/>
    <w:rsid w:val="5DF5C5E7"/>
    <w:rsid w:val="5DF67CDB"/>
    <w:rsid w:val="5DFF72A1"/>
    <w:rsid w:val="5E126A79"/>
    <w:rsid w:val="5E151BB8"/>
    <w:rsid w:val="5E232016"/>
    <w:rsid w:val="5E2A194E"/>
    <w:rsid w:val="5E336FC9"/>
    <w:rsid w:val="5E5025C9"/>
    <w:rsid w:val="5E731513"/>
    <w:rsid w:val="5E8F36DA"/>
    <w:rsid w:val="5EB46821"/>
    <w:rsid w:val="5EBB378B"/>
    <w:rsid w:val="5EC13E16"/>
    <w:rsid w:val="5ED85061"/>
    <w:rsid w:val="5EEE2BC5"/>
    <w:rsid w:val="5EF2528E"/>
    <w:rsid w:val="5EF737C2"/>
    <w:rsid w:val="5EF7BE70"/>
    <w:rsid w:val="5EFA7CCD"/>
    <w:rsid w:val="5EFC9806"/>
    <w:rsid w:val="5EFED11A"/>
    <w:rsid w:val="5EFEE785"/>
    <w:rsid w:val="5F22BC70"/>
    <w:rsid w:val="5F2FE16D"/>
    <w:rsid w:val="5F3752F7"/>
    <w:rsid w:val="5F3E89FA"/>
    <w:rsid w:val="5F41CD04"/>
    <w:rsid w:val="5F5392A2"/>
    <w:rsid w:val="5F5E6F4F"/>
    <w:rsid w:val="5F77B368"/>
    <w:rsid w:val="5F7D5ED4"/>
    <w:rsid w:val="5F7F08BA"/>
    <w:rsid w:val="5F7F4C9C"/>
    <w:rsid w:val="5F7F9488"/>
    <w:rsid w:val="5F9453F4"/>
    <w:rsid w:val="5F9C25EB"/>
    <w:rsid w:val="5F9DBB89"/>
    <w:rsid w:val="5FA38407"/>
    <w:rsid w:val="5FA70D54"/>
    <w:rsid w:val="5FAD4A29"/>
    <w:rsid w:val="5FAF1627"/>
    <w:rsid w:val="5FB6A6A4"/>
    <w:rsid w:val="5FB6B8E1"/>
    <w:rsid w:val="5FB7262E"/>
    <w:rsid w:val="5FB778D7"/>
    <w:rsid w:val="5FC2422B"/>
    <w:rsid w:val="5FC7046D"/>
    <w:rsid w:val="5FCD9E06"/>
    <w:rsid w:val="5FCF1587"/>
    <w:rsid w:val="5FD3146A"/>
    <w:rsid w:val="5FDD8C5E"/>
    <w:rsid w:val="5FDF0A7A"/>
    <w:rsid w:val="5FDFFF1F"/>
    <w:rsid w:val="5FE67EF7"/>
    <w:rsid w:val="5FEE9017"/>
    <w:rsid w:val="5FF1E403"/>
    <w:rsid w:val="5FF9BB04"/>
    <w:rsid w:val="5FFB5EB9"/>
    <w:rsid w:val="5FFDC70D"/>
    <w:rsid w:val="5FFE1613"/>
    <w:rsid w:val="5FFF3DF0"/>
    <w:rsid w:val="5FFF5C70"/>
    <w:rsid w:val="5FFF6F48"/>
    <w:rsid w:val="5FFF7C22"/>
    <w:rsid w:val="5FFF97F6"/>
    <w:rsid w:val="5FFFEF12"/>
    <w:rsid w:val="5FFFF868"/>
    <w:rsid w:val="5FFFFBDA"/>
    <w:rsid w:val="600157FC"/>
    <w:rsid w:val="60140FB0"/>
    <w:rsid w:val="601568DE"/>
    <w:rsid w:val="601D3E3E"/>
    <w:rsid w:val="60526897"/>
    <w:rsid w:val="6063160D"/>
    <w:rsid w:val="60841264"/>
    <w:rsid w:val="608C5E42"/>
    <w:rsid w:val="60AE1BB1"/>
    <w:rsid w:val="60B9585A"/>
    <w:rsid w:val="60C5134F"/>
    <w:rsid w:val="61146955"/>
    <w:rsid w:val="611632DF"/>
    <w:rsid w:val="61215C6A"/>
    <w:rsid w:val="6143039D"/>
    <w:rsid w:val="61565767"/>
    <w:rsid w:val="615C6920"/>
    <w:rsid w:val="617812E6"/>
    <w:rsid w:val="617D092C"/>
    <w:rsid w:val="61AD584E"/>
    <w:rsid w:val="61D2000C"/>
    <w:rsid w:val="61D66A13"/>
    <w:rsid w:val="61DB42D3"/>
    <w:rsid w:val="61E00820"/>
    <w:rsid w:val="61E03644"/>
    <w:rsid w:val="61E3252C"/>
    <w:rsid w:val="61EB3135"/>
    <w:rsid w:val="621A25FF"/>
    <w:rsid w:val="622F24EA"/>
    <w:rsid w:val="6246586F"/>
    <w:rsid w:val="625B5826"/>
    <w:rsid w:val="625E5672"/>
    <w:rsid w:val="6273BD40"/>
    <w:rsid w:val="628A0525"/>
    <w:rsid w:val="62A9135E"/>
    <w:rsid w:val="62BE310D"/>
    <w:rsid w:val="62CD6C81"/>
    <w:rsid w:val="630025F1"/>
    <w:rsid w:val="63063AF1"/>
    <w:rsid w:val="630E6B96"/>
    <w:rsid w:val="6321792E"/>
    <w:rsid w:val="632E6C44"/>
    <w:rsid w:val="634023E1"/>
    <w:rsid w:val="63467B6E"/>
    <w:rsid w:val="635BB2A2"/>
    <w:rsid w:val="6363169C"/>
    <w:rsid w:val="63895334"/>
    <w:rsid w:val="63BA0819"/>
    <w:rsid w:val="63BD50A4"/>
    <w:rsid w:val="63BF6B3D"/>
    <w:rsid w:val="63DB073B"/>
    <w:rsid w:val="63F05213"/>
    <w:rsid w:val="640B0BB1"/>
    <w:rsid w:val="64382979"/>
    <w:rsid w:val="64461085"/>
    <w:rsid w:val="64576DEC"/>
    <w:rsid w:val="6475348A"/>
    <w:rsid w:val="647561B4"/>
    <w:rsid w:val="64860FE7"/>
    <w:rsid w:val="64AC3267"/>
    <w:rsid w:val="64BDBB00"/>
    <w:rsid w:val="64E61700"/>
    <w:rsid w:val="64E64F39"/>
    <w:rsid w:val="64F60F6D"/>
    <w:rsid w:val="650B3FD7"/>
    <w:rsid w:val="65150946"/>
    <w:rsid w:val="651E51F6"/>
    <w:rsid w:val="65472B37"/>
    <w:rsid w:val="657D778E"/>
    <w:rsid w:val="6586316D"/>
    <w:rsid w:val="658C582A"/>
    <w:rsid w:val="65A83D81"/>
    <w:rsid w:val="65B607D6"/>
    <w:rsid w:val="65C3177A"/>
    <w:rsid w:val="65C45983"/>
    <w:rsid w:val="65C74697"/>
    <w:rsid w:val="65C93445"/>
    <w:rsid w:val="65D45C1E"/>
    <w:rsid w:val="65DF80B6"/>
    <w:rsid w:val="65DFE0E1"/>
    <w:rsid w:val="65EB5BED"/>
    <w:rsid w:val="661C087F"/>
    <w:rsid w:val="66390E32"/>
    <w:rsid w:val="664913AE"/>
    <w:rsid w:val="66686491"/>
    <w:rsid w:val="66B74FFC"/>
    <w:rsid w:val="66BDF671"/>
    <w:rsid w:val="66BF6BE9"/>
    <w:rsid w:val="66C145A2"/>
    <w:rsid w:val="66D457C1"/>
    <w:rsid w:val="66E63F59"/>
    <w:rsid w:val="66EE37B1"/>
    <w:rsid w:val="66EF19CD"/>
    <w:rsid w:val="66F4192A"/>
    <w:rsid w:val="66FFF388"/>
    <w:rsid w:val="670C2BA3"/>
    <w:rsid w:val="670D4A21"/>
    <w:rsid w:val="671E02BE"/>
    <w:rsid w:val="67291028"/>
    <w:rsid w:val="673335DC"/>
    <w:rsid w:val="6739A5BE"/>
    <w:rsid w:val="673FFA86"/>
    <w:rsid w:val="67422F7F"/>
    <w:rsid w:val="67496719"/>
    <w:rsid w:val="677C2989"/>
    <w:rsid w:val="677D1DE4"/>
    <w:rsid w:val="677F34C3"/>
    <w:rsid w:val="678E99F4"/>
    <w:rsid w:val="6796417C"/>
    <w:rsid w:val="67AE51D8"/>
    <w:rsid w:val="67B3048D"/>
    <w:rsid w:val="67B76507"/>
    <w:rsid w:val="67BBF1E8"/>
    <w:rsid w:val="67BBF240"/>
    <w:rsid w:val="67BF8A62"/>
    <w:rsid w:val="67C32ECB"/>
    <w:rsid w:val="67C46849"/>
    <w:rsid w:val="67DECEA9"/>
    <w:rsid w:val="67EF4EEF"/>
    <w:rsid w:val="67EFBA39"/>
    <w:rsid w:val="680313F7"/>
    <w:rsid w:val="68185FA6"/>
    <w:rsid w:val="688E6966"/>
    <w:rsid w:val="689877FF"/>
    <w:rsid w:val="689E643D"/>
    <w:rsid w:val="68D11D83"/>
    <w:rsid w:val="68E0459C"/>
    <w:rsid w:val="6907CC02"/>
    <w:rsid w:val="69151573"/>
    <w:rsid w:val="691848CA"/>
    <w:rsid w:val="69351AA8"/>
    <w:rsid w:val="693E1F83"/>
    <w:rsid w:val="694641AE"/>
    <w:rsid w:val="698E123D"/>
    <w:rsid w:val="69A81DE6"/>
    <w:rsid w:val="69CF8E1E"/>
    <w:rsid w:val="69F27DD8"/>
    <w:rsid w:val="69F5EC59"/>
    <w:rsid w:val="69F64BB6"/>
    <w:rsid w:val="69FF5F87"/>
    <w:rsid w:val="6A0F2A90"/>
    <w:rsid w:val="6A176041"/>
    <w:rsid w:val="6A1A7C5F"/>
    <w:rsid w:val="6A2303B9"/>
    <w:rsid w:val="6A290CB7"/>
    <w:rsid w:val="6A320387"/>
    <w:rsid w:val="6A3264C7"/>
    <w:rsid w:val="6A3A3D51"/>
    <w:rsid w:val="6A441C65"/>
    <w:rsid w:val="6A502604"/>
    <w:rsid w:val="6A7C5642"/>
    <w:rsid w:val="6A8E2F20"/>
    <w:rsid w:val="6A9102F8"/>
    <w:rsid w:val="6AB06D96"/>
    <w:rsid w:val="6AC37FB5"/>
    <w:rsid w:val="6ADEBB39"/>
    <w:rsid w:val="6AE10C88"/>
    <w:rsid w:val="6AEFE613"/>
    <w:rsid w:val="6AFC5C0F"/>
    <w:rsid w:val="6AFD51AC"/>
    <w:rsid w:val="6AFD605A"/>
    <w:rsid w:val="6AFFDBF9"/>
    <w:rsid w:val="6B03558A"/>
    <w:rsid w:val="6B3C54E2"/>
    <w:rsid w:val="6B57EAFF"/>
    <w:rsid w:val="6B5BAA6C"/>
    <w:rsid w:val="6B6555BF"/>
    <w:rsid w:val="6B703951"/>
    <w:rsid w:val="6B7433EA"/>
    <w:rsid w:val="6B793AD3"/>
    <w:rsid w:val="6B9C0714"/>
    <w:rsid w:val="6BA95A86"/>
    <w:rsid w:val="6BAD25EA"/>
    <w:rsid w:val="6BAF6993"/>
    <w:rsid w:val="6BBE9375"/>
    <w:rsid w:val="6BEA109C"/>
    <w:rsid w:val="6BEA3070"/>
    <w:rsid w:val="6BF0B223"/>
    <w:rsid w:val="6BFF91A1"/>
    <w:rsid w:val="6C090BF7"/>
    <w:rsid w:val="6C19090F"/>
    <w:rsid w:val="6C297944"/>
    <w:rsid w:val="6C2D5008"/>
    <w:rsid w:val="6C3A2754"/>
    <w:rsid w:val="6C3F5205"/>
    <w:rsid w:val="6C4A3802"/>
    <w:rsid w:val="6C5B0BE7"/>
    <w:rsid w:val="6C5FFADD"/>
    <w:rsid w:val="6C6B706C"/>
    <w:rsid w:val="6C72227A"/>
    <w:rsid w:val="6C9DB7F6"/>
    <w:rsid w:val="6CAA6931"/>
    <w:rsid w:val="6CAE4276"/>
    <w:rsid w:val="6CB6F930"/>
    <w:rsid w:val="6CCB406B"/>
    <w:rsid w:val="6CD1225B"/>
    <w:rsid w:val="6CF272CA"/>
    <w:rsid w:val="6CFF76EF"/>
    <w:rsid w:val="6D0E0974"/>
    <w:rsid w:val="6D366637"/>
    <w:rsid w:val="6D3C504A"/>
    <w:rsid w:val="6D3D54FE"/>
    <w:rsid w:val="6D534DEB"/>
    <w:rsid w:val="6D5A5B72"/>
    <w:rsid w:val="6D5E137B"/>
    <w:rsid w:val="6D5F309B"/>
    <w:rsid w:val="6D614100"/>
    <w:rsid w:val="6D647A5A"/>
    <w:rsid w:val="6D7164D5"/>
    <w:rsid w:val="6D764EA5"/>
    <w:rsid w:val="6D7B7D7E"/>
    <w:rsid w:val="6D8A4CBB"/>
    <w:rsid w:val="6D95051D"/>
    <w:rsid w:val="6D99211B"/>
    <w:rsid w:val="6D9D1CB4"/>
    <w:rsid w:val="6DC6E2AF"/>
    <w:rsid w:val="6DD31C7E"/>
    <w:rsid w:val="6DED6403"/>
    <w:rsid w:val="6DF427E2"/>
    <w:rsid w:val="6DFBACB5"/>
    <w:rsid w:val="6DFF6EE6"/>
    <w:rsid w:val="6E365DAB"/>
    <w:rsid w:val="6E37233D"/>
    <w:rsid w:val="6E451B30"/>
    <w:rsid w:val="6E7674EA"/>
    <w:rsid w:val="6E7BACBC"/>
    <w:rsid w:val="6E7C03FA"/>
    <w:rsid w:val="6E7D5455"/>
    <w:rsid w:val="6E7F5780"/>
    <w:rsid w:val="6E9E16D5"/>
    <w:rsid w:val="6ED56E36"/>
    <w:rsid w:val="6ED97D84"/>
    <w:rsid w:val="6EDF5884"/>
    <w:rsid w:val="6EDF915A"/>
    <w:rsid w:val="6EDFCB93"/>
    <w:rsid w:val="6EEB586E"/>
    <w:rsid w:val="6EEDAF13"/>
    <w:rsid w:val="6EEF0E90"/>
    <w:rsid w:val="6EF90AB4"/>
    <w:rsid w:val="6EFF78AF"/>
    <w:rsid w:val="6EFFC214"/>
    <w:rsid w:val="6F2BEA03"/>
    <w:rsid w:val="6F31DE2F"/>
    <w:rsid w:val="6F53DE76"/>
    <w:rsid w:val="6F636974"/>
    <w:rsid w:val="6F774C1E"/>
    <w:rsid w:val="6F7767A1"/>
    <w:rsid w:val="6F7B7B06"/>
    <w:rsid w:val="6F7FDE18"/>
    <w:rsid w:val="6F7FF0B8"/>
    <w:rsid w:val="6F9B8275"/>
    <w:rsid w:val="6F9C01A8"/>
    <w:rsid w:val="6F9E2288"/>
    <w:rsid w:val="6FA56C53"/>
    <w:rsid w:val="6FB619CF"/>
    <w:rsid w:val="6FB67AAC"/>
    <w:rsid w:val="6FB7B9E9"/>
    <w:rsid w:val="6FBA61FF"/>
    <w:rsid w:val="6FBB3F57"/>
    <w:rsid w:val="6FBF46B0"/>
    <w:rsid w:val="6FBFA48F"/>
    <w:rsid w:val="6FC15D60"/>
    <w:rsid w:val="6FC74E85"/>
    <w:rsid w:val="6FCE54FF"/>
    <w:rsid w:val="6FCF232D"/>
    <w:rsid w:val="6FD2A636"/>
    <w:rsid w:val="6FDC292F"/>
    <w:rsid w:val="6FDEE435"/>
    <w:rsid w:val="6FDFA475"/>
    <w:rsid w:val="6FDFFE73"/>
    <w:rsid w:val="6FE77D4E"/>
    <w:rsid w:val="6FEA0D59"/>
    <w:rsid w:val="6FECE084"/>
    <w:rsid w:val="6FED6A73"/>
    <w:rsid w:val="6FEF8BD2"/>
    <w:rsid w:val="6FF15901"/>
    <w:rsid w:val="6FF23625"/>
    <w:rsid w:val="6FF7FBE0"/>
    <w:rsid w:val="6FF890CC"/>
    <w:rsid w:val="6FFB38EA"/>
    <w:rsid w:val="6FFB72BE"/>
    <w:rsid w:val="6FFBC64F"/>
    <w:rsid w:val="6FFC72C8"/>
    <w:rsid w:val="6FFD7FBD"/>
    <w:rsid w:val="6FFF438D"/>
    <w:rsid w:val="6FFF6112"/>
    <w:rsid w:val="6FFF67EA"/>
    <w:rsid w:val="6FFF77A7"/>
    <w:rsid w:val="6FFF8BD8"/>
    <w:rsid w:val="6FFF935E"/>
    <w:rsid w:val="6FFFDFB1"/>
    <w:rsid w:val="702A3945"/>
    <w:rsid w:val="702B5E94"/>
    <w:rsid w:val="705E48D3"/>
    <w:rsid w:val="708E7950"/>
    <w:rsid w:val="709C13CF"/>
    <w:rsid w:val="70BE0264"/>
    <w:rsid w:val="710A7485"/>
    <w:rsid w:val="71165496"/>
    <w:rsid w:val="711B0DDE"/>
    <w:rsid w:val="71231551"/>
    <w:rsid w:val="712D2EBD"/>
    <w:rsid w:val="71327344"/>
    <w:rsid w:val="7140350D"/>
    <w:rsid w:val="71543E75"/>
    <w:rsid w:val="718957D5"/>
    <w:rsid w:val="718A48F2"/>
    <w:rsid w:val="71923FEE"/>
    <w:rsid w:val="71BDDE20"/>
    <w:rsid w:val="71CA4040"/>
    <w:rsid w:val="71D279A3"/>
    <w:rsid w:val="71F77666"/>
    <w:rsid w:val="71FFA2AC"/>
    <w:rsid w:val="72147937"/>
    <w:rsid w:val="721703C1"/>
    <w:rsid w:val="723047A2"/>
    <w:rsid w:val="72370368"/>
    <w:rsid w:val="72402E44"/>
    <w:rsid w:val="72580139"/>
    <w:rsid w:val="725A0095"/>
    <w:rsid w:val="725B22AA"/>
    <w:rsid w:val="728124EA"/>
    <w:rsid w:val="72AD4357"/>
    <w:rsid w:val="72B779AF"/>
    <w:rsid w:val="72B7CEBD"/>
    <w:rsid w:val="72BF9DCE"/>
    <w:rsid w:val="72CA73E9"/>
    <w:rsid w:val="72D4125F"/>
    <w:rsid w:val="72D9217F"/>
    <w:rsid w:val="72FD6C23"/>
    <w:rsid w:val="731ED2C1"/>
    <w:rsid w:val="73210D6E"/>
    <w:rsid w:val="732150C8"/>
    <w:rsid w:val="73252FF8"/>
    <w:rsid w:val="73353292"/>
    <w:rsid w:val="7355F300"/>
    <w:rsid w:val="735B0DF5"/>
    <w:rsid w:val="736437ED"/>
    <w:rsid w:val="736B1478"/>
    <w:rsid w:val="739E4AE9"/>
    <w:rsid w:val="73BFF516"/>
    <w:rsid w:val="73C90155"/>
    <w:rsid w:val="73DF5F48"/>
    <w:rsid w:val="73E48A71"/>
    <w:rsid w:val="73EB9EBA"/>
    <w:rsid w:val="73F06E3B"/>
    <w:rsid w:val="73F108E0"/>
    <w:rsid w:val="7409692B"/>
    <w:rsid w:val="740E23E0"/>
    <w:rsid w:val="744979EE"/>
    <w:rsid w:val="74686B07"/>
    <w:rsid w:val="749A05DB"/>
    <w:rsid w:val="749F321F"/>
    <w:rsid w:val="749F86D5"/>
    <w:rsid w:val="74AFC325"/>
    <w:rsid w:val="74B41184"/>
    <w:rsid w:val="74B77E92"/>
    <w:rsid w:val="74BA15EE"/>
    <w:rsid w:val="74E41CD4"/>
    <w:rsid w:val="74E5367E"/>
    <w:rsid w:val="74EA40D8"/>
    <w:rsid w:val="74EF0BCE"/>
    <w:rsid w:val="74FB4F19"/>
    <w:rsid w:val="74FE94AD"/>
    <w:rsid w:val="750F7709"/>
    <w:rsid w:val="75155D26"/>
    <w:rsid w:val="752217B8"/>
    <w:rsid w:val="752C65D2"/>
    <w:rsid w:val="753C48FA"/>
    <w:rsid w:val="753F7F2A"/>
    <w:rsid w:val="754676D4"/>
    <w:rsid w:val="75596703"/>
    <w:rsid w:val="7567236D"/>
    <w:rsid w:val="756799AE"/>
    <w:rsid w:val="756F3DC0"/>
    <w:rsid w:val="75765C94"/>
    <w:rsid w:val="7576C669"/>
    <w:rsid w:val="757A34CC"/>
    <w:rsid w:val="757D274A"/>
    <w:rsid w:val="758556A4"/>
    <w:rsid w:val="758F1A80"/>
    <w:rsid w:val="759FC622"/>
    <w:rsid w:val="75B2CF1C"/>
    <w:rsid w:val="75F37785"/>
    <w:rsid w:val="75F72EED"/>
    <w:rsid w:val="75F93113"/>
    <w:rsid w:val="75F9B72C"/>
    <w:rsid w:val="75FF7871"/>
    <w:rsid w:val="763F270E"/>
    <w:rsid w:val="764031F9"/>
    <w:rsid w:val="76799761"/>
    <w:rsid w:val="7689584C"/>
    <w:rsid w:val="76AD9546"/>
    <w:rsid w:val="76B579D0"/>
    <w:rsid w:val="76B61BCF"/>
    <w:rsid w:val="76D4F022"/>
    <w:rsid w:val="76DA06ED"/>
    <w:rsid w:val="76DF131D"/>
    <w:rsid w:val="76E12BCF"/>
    <w:rsid w:val="76EEDD50"/>
    <w:rsid w:val="76F75378"/>
    <w:rsid w:val="76FB8170"/>
    <w:rsid w:val="76FE52C2"/>
    <w:rsid w:val="76FF6B14"/>
    <w:rsid w:val="77047750"/>
    <w:rsid w:val="77320C80"/>
    <w:rsid w:val="773ADC62"/>
    <w:rsid w:val="77455AF2"/>
    <w:rsid w:val="774E02C5"/>
    <w:rsid w:val="775642FC"/>
    <w:rsid w:val="77607E69"/>
    <w:rsid w:val="7767731B"/>
    <w:rsid w:val="77751C19"/>
    <w:rsid w:val="777B7110"/>
    <w:rsid w:val="777EE942"/>
    <w:rsid w:val="777F8177"/>
    <w:rsid w:val="777F992B"/>
    <w:rsid w:val="778D09C7"/>
    <w:rsid w:val="7796719C"/>
    <w:rsid w:val="7797F4EA"/>
    <w:rsid w:val="779D4113"/>
    <w:rsid w:val="77A057FC"/>
    <w:rsid w:val="77A8025E"/>
    <w:rsid w:val="77BEC108"/>
    <w:rsid w:val="77D37A63"/>
    <w:rsid w:val="77DB3B51"/>
    <w:rsid w:val="77E191F2"/>
    <w:rsid w:val="77E9064B"/>
    <w:rsid w:val="77EBE318"/>
    <w:rsid w:val="77EFC806"/>
    <w:rsid w:val="77F76A7C"/>
    <w:rsid w:val="77F79CF8"/>
    <w:rsid w:val="77F7A1B1"/>
    <w:rsid w:val="77F7BD41"/>
    <w:rsid w:val="77F92D3F"/>
    <w:rsid w:val="77F92F39"/>
    <w:rsid w:val="77FA47E4"/>
    <w:rsid w:val="77FB6677"/>
    <w:rsid w:val="77FBB312"/>
    <w:rsid w:val="77FBBA75"/>
    <w:rsid w:val="77FBE607"/>
    <w:rsid w:val="77FBE6F6"/>
    <w:rsid w:val="77FD59BA"/>
    <w:rsid w:val="77FF33E4"/>
    <w:rsid w:val="77FF370E"/>
    <w:rsid w:val="77FF4292"/>
    <w:rsid w:val="77FF5C53"/>
    <w:rsid w:val="77FF8162"/>
    <w:rsid w:val="77FFA7E1"/>
    <w:rsid w:val="77FFE72D"/>
    <w:rsid w:val="77FFF5C2"/>
    <w:rsid w:val="783A5C8D"/>
    <w:rsid w:val="786AC856"/>
    <w:rsid w:val="786E2713"/>
    <w:rsid w:val="786F49EF"/>
    <w:rsid w:val="78961A5C"/>
    <w:rsid w:val="78A7BDDD"/>
    <w:rsid w:val="78C86137"/>
    <w:rsid w:val="78D7094F"/>
    <w:rsid w:val="78D80285"/>
    <w:rsid w:val="78DC1D5B"/>
    <w:rsid w:val="78E42D4C"/>
    <w:rsid w:val="78EBCF09"/>
    <w:rsid w:val="78F6AC1A"/>
    <w:rsid w:val="78FD69E8"/>
    <w:rsid w:val="78FF2ACF"/>
    <w:rsid w:val="793357E6"/>
    <w:rsid w:val="79361D30"/>
    <w:rsid w:val="79395171"/>
    <w:rsid w:val="794E4F5C"/>
    <w:rsid w:val="79643001"/>
    <w:rsid w:val="796BED49"/>
    <w:rsid w:val="796C63D5"/>
    <w:rsid w:val="797026BE"/>
    <w:rsid w:val="7979CADF"/>
    <w:rsid w:val="79853F6B"/>
    <w:rsid w:val="798C0D84"/>
    <w:rsid w:val="79913601"/>
    <w:rsid w:val="79BE90E4"/>
    <w:rsid w:val="79BF37E3"/>
    <w:rsid w:val="79BFF493"/>
    <w:rsid w:val="79C32F56"/>
    <w:rsid w:val="79CF43ED"/>
    <w:rsid w:val="79D27606"/>
    <w:rsid w:val="79DA5208"/>
    <w:rsid w:val="79DE68E3"/>
    <w:rsid w:val="79E3201A"/>
    <w:rsid w:val="79E93C90"/>
    <w:rsid w:val="79ED4FEF"/>
    <w:rsid w:val="79EFE5C8"/>
    <w:rsid w:val="79F7B36A"/>
    <w:rsid w:val="7A0A7A48"/>
    <w:rsid w:val="7A2250EE"/>
    <w:rsid w:val="7A35410F"/>
    <w:rsid w:val="7A3E76E3"/>
    <w:rsid w:val="7A4B2A2F"/>
    <w:rsid w:val="7A4E7237"/>
    <w:rsid w:val="7A4FB9FD"/>
    <w:rsid w:val="7A68506E"/>
    <w:rsid w:val="7A7A357F"/>
    <w:rsid w:val="7A7E7E36"/>
    <w:rsid w:val="7A8B3DAD"/>
    <w:rsid w:val="7A964487"/>
    <w:rsid w:val="7ABA0E1B"/>
    <w:rsid w:val="7AC30181"/>
    <w:rsid w:val="7AC84C2C"/>
    <w:rsid w:val="7AC871BF"/>
    <w:rsid w:val="7ACF08FB"/>
    <w:rsid w:val="7ADBD751"/>
    <w:rsid w:val="7ADE3A19"/>
    <w:rsid w:val="7AEF9723"/>
    <w:rsid w:val="7AEFCAE3"/>
    <w:rsid w:val="7AF693F7"/>
    <w:rsid w:val="7AF7A243"/>
    <w:rsid w:val="7AFD60A5"/>
    <w:rsid w:val="7AFDC33C"/>
    <w:rsid w:val="7AFF5A2C"/>
    <w:rsid w:val="7B135449"/>
    <w:rsid w:val="7B3B2B93"/>
    <w:rsid w:val="7B4975D9"/>
    <w:rsid w:val="7B5F30A9"/>
    <w:rsid w:val="7B6234E1"/>
    <w:rsid w:val="7B690375"/>
    <w:rsid w:val="7B6D3E0C"/>
    <w:rsid w:val="7B701F37"/>
    <w:rsid w:val="7B7F10ED"/>
    <w:rsid w:val="7B7FA0C4"/>
    <w:rsid w:val="7B7FE192"/>
    <w:rsid w:val="7B937ECA"/>
    <w:rsid w:val="7B97A286"/>
    <w:rsid w:val="7B990153"/>
    <w:rsid w:val="7B9B2798"/>
    <w:rsid w:val="7B9FDB6D"/>
    <w:rsid w:val="7BAD541B"/>
    <w:rsid w:val="7BAFFE3A"/>
    <w:rsid w:val="7BB64C46"/>
    <w:rsid w:val="7BB6EDEF"/>
    <w:rsid w:val="7BC7F31C"/>
    <w:rsid w:val="7BCF0347"/>
    <w:rsid w:val="7BDAB74B"/>
    <w:rsid w:val="7BDB5FC5"/>
    <w:rsid w:val="7BDB9C4F"/>
    <w:rsid w:val="7BDC2A5E"/>
    <w:rsid w:val="7BDEAF2E"/>
    <w:rsid w:val="7BDF14D6"/>
    <w:rsid w:val="7BDF1D2E"/>
    <w:rsid w:val="7BDF1FCD"/>
    <w:rsid w:val="7BDF381B"/>
    <w:rsid w:val="7BDF5DF6"/>
    <w:rsid w:val="7BDF78B3"/>
    <w:rsid w:val="7BEB9E72"/>
    <w:rsid w:val="7BEE1D2C"/>
    <w:rsid w:val="7BEF415C"/>
    <w:rsid w:val="7BF35974"/>
    <w:rsid w:val="7BF55E36"/>
    <w:rsid w:val="7BF57B84"/>
    <w:rsid w:val="7BF5932F"/>
    <w:rsid w:val="7BF78C90"/>
    <w:rsid w:val="7BF9165B"/>
    <w:rsid w:val="7BF9729A"/>
    <w:rsid w:val="7BFA9218"/>
    <w:rsid w:val="7BFB01E4"/>
    <w:rsid w:val="7BFB86A8"/>
    <w:rsid w:val="7BFBB8A0"/>
    <w:rsid w:val="7BFBFFD6"/>
    <w:rsid w:val="7BFC06EF"/>
    <w:rsid w:val="7BFE0B0A"/>
    <w:rsid w:val="7BFF23C7"/>
    <w:rsid w:val="7BFF5F2C"/>
    <w:rsid w:val="7BFF7E65"/>
    <w:rsid w:val="7BFFE01D"/>
    <w:rsid w:val="7BFFF4D8"/>
    <w:rsid w:val="7C2E765F"/>
    <w:rsid w:val="7C5B70DB"/>
    <w:rsid w:val="7C6E1430"/>
    <w:rsid w:val="7C703B4C"/>
    <w:rsid w:val="7C73655F"/>
    <w:rsid w:val="7C7D5E6B"/>
    <w:rsid w:val="7C7F19D9"/>
    <w:rsid w:val="7C7FC733"/>
    <w:rsid w:val="7C992B83"/>
    <w:rsid w:val="7C9FDD9E"/>
    <w:rsid w:val="7CA4190A"/>
    <w:rsid w:val="7CBFCF85"/>
    <w:rsid w:val="7CCF6A96"/>
    <w:rsid w:val="7CD44657"/>
    <w:rsid w:val="7CD92A91"/>
    <w:rsid w:val="7CD9D826"/>
    <w:rsid w:val="7CE04061"/>
    <w:rsid w:val="7CE24669"/>
    <w:rsid w:val="7CEB78BF"/>
    <w:rsid w:val="7CEF9131"/>
    <w:rsid w:val="7CF70B77"/>
    <w:rsid w:val="7CFB08E1"/>
    <w:rsid w:val="7CFF34CC"/>
    <w:rsid w:val="7D2FCCDB"/>
    <w:rsid w:val="7D4E54DA"/>
    <w:rsid w:val="7D4F1414"/>
    <w:rsid w:val="7D566EAB"/>
    <w:rsid w:val="7D6F9132"/>
    <w:rsid w:val="7D7B794B"/>
    <w:rsid w:val="7D7C9254"/>
    <w:rsid w:val="7D7D2F13"/>
    <w:rsid w:val="7D7E28F2"/>
    <w:rsid w:val="7D7F4BBA"/>
    <w:rsid w:val="7D902089"/>
    <w:rsid w:val="7D97B979"/>
    <w:rsid w:val="7D9AA3EB"/>
    <w:rsid w:val="7D9D9673"/>
    <w:rsid w:val="7D9EF792"/>
    <w:rsid w:val="7DA7DD91"/>
    <w:rsid w:val="7DADF0B6"/>
    <w:rsid w:val="7DB6E6E4"/>
    <w:rsid w:val="7DBFA906"/>
    <w:rsid w:val="7DC71E8A"/>
    <w:rsid w:val="7DC7F6DF"/>
    <w:rsid w:val="7DD130BE"/>
    <w:rsid w:val="7DDC7B37"/>
    <w:rsid w:val="7DDEC199"/>
    <w:rsid w:val="7DDF0161"/>
    <w:rsid w:val="7DDF7894"/>
    <w:rsid w:val="7DDFE5E1"/>
    <w:rsid w:val="7DE7A386"/>
    <w:rsid w:val="7DEB1FAB"/>
    <w:rsid w:val="7DEB62A0"/>
    <w:rsid w:val="7DEB7500"/>
    <w:rsid w:val="7DEC2F26"/>
    <w:rsid w:val="7DF7477C"/>
    <w:rsid w:val="7DF79D49"/>
    <w:rsid w:val="7DF7A90D"/>
    <w:rsid w:val="7DF7BB83"/>
    <w:rsid w:val="7DF80894"/>
    <w:rsid w:val="7DF965E4"/>
    <w:rsid w:val="7DFA4C02"/>
    <w:rsid w:val="7DFAA5CE"/>
    <w:rsid w:val="7DFB082B"/>
    <w:rsid w:val="7DFD76E2"/>
    <w:rsid w:val="7DFDAB8E"/>
    <w:rsid w:val="7DFE3779"/>
    <w:rsid w:val="7DFF6B40"/>
    <w:rsid w:val="7DFF786C"/>
    <w:rsid w:val="7DFF9331"/>
    <w:rsid w:val="7DFFD291"/>
    <w:rsid w:val="7E1A3D9B"/>
    <w:rsid w:val="7E2F2897"/>
    <w:rsid w:val="7E3F1E9E"/>
    <w:rsid w:val="7E57B498"/>
    <w:rsid w:val="7E6263E8"/>
    <w:rsid w:val="7E6677B3"/>
    <w:rsid w:val="7E67CFE8"/>
    <w:rsid w:val="7E6B3C76"/>
    <w:rsid w:val="7E6C7D24"/>
    <w:rsid w:val="7E6D9409"/>
    <w:rsid w:val="7E772C68"/>
    <w:rsid w:val="7E7E2495"/>
    <w:rsid w:val="7E7E2FDE"/>
    <w:rsid w:val="7E7F05C5"/>
    <w:rsid w:val="7E7F47C9"/>
    <w:rsid w:val="7E7FA140"/>
    <w:rsid w:val="7E8E62FF"/>
    <w:rsid w:val="7E9736DE"/>
    <w:rsid w:val="7E9E0D62"/>
    <w:rsid w:val="7EAA7214"/>
    <w:rsid w:val="7EAB7AE1"/>
    <w:rsid w:val="7EAC1CDF"/>
    <w:rsid w:val="7EAFFBE1"/>
    <w:rsid w:val="7EB2235D"/>
    <w:rsid w:val="7EB9DAF1"/>
    <w:rsid w:val="7EC456C3"/>
    <w:rsid w:val="7EC53AD7"/>
    <w:rsid w:val="7EC97A8E"/>
    <w:rsid w:val="7ECC4792"/>
    <w:rsid w:val="7ED555C4"/>
    <w:rsid w:val="7ED7890D"/>
    <w:rsid w:val="7ED82FAA"/>
    <w:rsid w:val="7EDF10AF"/>
    <w:rsid w:val="7EDFBF42"/>
    <w:rsid w:val="7EDFDAEB"/>
    <w:rsid w:val="7EE221F2"/>
    <w:rsid w:val="7EE23B82"/>
    <w:rsid w:val="7EE76A94"/>
    <w:rsid w:val="7EE90213"/>
    <w:rsid w:val="7EF1CD2E"/>
    <w:rsid w:val="7EF35CD7"/>
    <w:rsid w:val="7EF62E65"/>
    <w:rsid w:val="7EF6E510"/>
    <w:rsid w:val="7EF77301"/>
    <w:rsid w:val="7EF983E2"/>
    <w:rsid w:val="7EF9BA96"/>
    <w:rsid w:val="7EFB983D"/>
    <w:rsid w:val="7EFBDC33"/>
    <w:rsid w:val="7EFDB288"/>
    <w:rsid w:val="7EFEDFB6"/>
    <w:rsid w:val="7EFF08C9"/>
    <w:rsid w:val="7EFF29A5"/>
    <w:rsid w:val="7EFF4206"/>
    <w:rsid w:val="7EFFFB85"/>
    <w:rsid w:val="7F11659C"/>
    <w:rsid w:val="7F120685"/>
    <w:rsid w:val="7F1BFF4F"/>
    <w:rsid w:val="7F1D7C36"/>
    <w:rsid w:val="7F364BF9"/>
    <w:rsid w:val="7F3BF555"/>
    <w:rsid w:val="7F3F743F"/>
    <w:rsid w:val="7F4C4269"/>
    <w:rsid w:val="7F576FAD"/>
    <w:rsid w:val="7F57CE43"/>
    <w:rsid w:val="7F590FD0"/>
    <w:rsid w:val="7F5C0F01"/>
    <w:rsid w:val="7F5D9D91"/>
    <w:rsid w:val="7F668397"/>
    <w:rsid w:val="7F6C66E1"/>
    <w:rsid w:val="7F6F4CA8"/>
    <w:rsid w:val="7F6F5CD2"/>
    <w:rsid w:val="7F721875"/>
    <w:rsid w:val="7F7325C2"/>
    <w:rsid w:val="7F746AB4"/>
    <w:rsid w:val="7F75FBAF"/>
    <w:rsid w:val="7F77AF2E"/>
    <w:rsid w:val="7F79633A"/>
    <w:rsid w:val="7F7B0648"/>
    <w:rsid w:val="7F7BE7DA"/>
    <w:rsid w:val="7F7DEC04"/>
    <w:rsid w:val="7F7EDC4B"/>
    <w:rsid w:val="7F7F2304"/>
    <w:rsid w:val="7F7F4832"/>
    <w:rsid w:val="7F7F763D"/>
    <w:rsid w:val="7F7F9F0F"/>
    <w:rsid w:val="7F7FAA26"/>
    <w:rsid w:val="7F8FFD67"/>
    <w:rsid w:val="7F971383"/>
    <w:rsid w:val="7F978396"/>
    <w:rsid w:val="7FA00F68"/>
    <w:rsid w:val="7FAA8506"/>
    <w:rsid w:val="7FAD4682"/>
    <w:rsid w:val="7FAE7393"/>
    <w:rsid w:val="7FB1CF31"/>
    <w:rsid w:val="7FB378ED"/>
    <w:rsid w:val="7FB3B39D"/>
    <w:rsid w:val="7FB517C2"/>
    <w:rsid w:val="7FB7053F"/>
    <w:rsid w:val="7FB7947D"/>
    <w:rsid w:val="7FBB5CAE"/>
    <w:rsid w:val="7FBD6D56"/>
    <w:rsid w:val="7FBD9CE9"/>
    <w:rsid w:val="7FBDC096"/>
    <w:rsid w:val="7FBEEFE7"/>
    <w:rsid w:val="7FBF4706"/>
    <w:rsid w:val="7FBF8CE8"/>
    <w:rsid w:val="7FBFB6A7"/>
    <w:rsid w:val="7FCF9066"/>
    <w:rsid w:val="7FCF90C8"/>
    <w:rsid w:val="7FCFCBF1"/>
    <w:rsid w:val="7FD2067C"/>
    <w:rsid w:val="7FD734C6"/>
    <w:rsid w:val="7FD7F060"/>
    <w:rsid w:val="7FD984EB"/>
    <w:rsid w:val="7FDB0E9D"/>
    <w:rsid w:val="7FDB73B6"/>
    <w:rsid w:val="7FDBC202"/>
    <w:rsid w:val="7FDF2A17"/>
    <w:rsid w:val="7FDF9671"/>
    <w:rsid w:val="7FDFD9AF"/>
    <w:rsid w:val="7FDFE657"/>
    <w:rsid w:val="7FDFFDA4"/>
    <w:rsid w:val="7FE3EBD2"/>
    <w:rsid w:val="7FE5730F"/>
    <w:rsid w:val="7FE786F5"/>
    <w:rsid w:val="7FEA7DE8"/>
    <w:rsid w:val="7FEB3E8F"/>
    <w:rsid w:val="7FEDE9C2"/>
    <w:rsid w:val="7FEDF126"/>
    <w:rsid w:val="7FEEE3D1"/>
    <w:rsid w:val="7FEEECBF"/>
    <w:rsid w:val="7FEF503F"/>
    <w:rsid w:val="7FEFC06F"/>
    <w:rsid w:val="7FEFCA8D"/>
    <w:rsid w:val="7FF06865"/>
    <w:rsid w:val="7FF73197"/>
    <w:rsid w:val="7FF7D876"/>
    <w:rsid w:val="7FF7DC45"/>
    <w:rsid w:val="7FF96AC7"/>
    <w:rsid w:val="7FFB396E"/>
    <w:rsid w:val="7FFB6F6D"/>
    <w:rsid w:val="7FFB7A87"/>
    <w:rsid w:val="7FFBB2D7"/>
    <w:rsid w:val="7FFBC669"/>
    <w:rsid w:val="7FFC04A9"/>
    <w:rsid w:val="7FFC0EF7"/>
    <w:rsid w:val="7FFC5A96"/>
    <w:rsid w:val="7FFD28D3"/>
    <w:rsid w:val="7FFD4706"/>
    <w:rsid w:val="7FFDBE0D"/>
    <w:rsid w:val="7FFDC183"/>
    <w:rsid w:val="7FFE0649"/>
    <w:rsid w:val="7FFE0F3A"/>
    <w:rsid w:val="7FFE19BD"/>
    <w:rsid w:val="7FFE5261"/>
    <w:rsid w:val="7FFE72D7"/>
    <w:rsid w:val="7FFE7C10"/>
    <w:rsid w:val="7FFE7CFA"/>
    <w:rsid w:val="7FFEF74A"/>
    <w:rsid w:val="7FFF02D1"/>
    <w:rsid w:val="7FFF2B12"/>
    <w:rsid w:val="7FFF5663"/>
    <w:rsid w:val="7FFF7269"/>
    <w:rsid w:val="7FFF90A0"/>
    <w:rsid w:val="7FFF9A67"/>
    <w:rsid w:val="7FFFA574"/>
    <w:rsid w:val="7FFFCA1B"/>
    <w:rsid w:val="7FFFD072"/>
    <w:rsid w:val="7FFFD177"/>
    <w:rsid w:val="7FFFE2B0"/>
    <w:rsid w:val="7FFFE312"/>
    <w:rsid w:val="7FFFE623"/>
    <w:rsid w:val="7FFFFE52"/>
    <w:rsid w:val="84EFBC1C"/>
    <w:rsid w:val="86E72B64"/>
    <w:rsid w:val="87EEF080"/>
    <w:rsid w:val="87EF1F3C"/>
    <w:rsid w:val="87EFFDFF"/>
    <w:rsid w:val="87FF7A5B"/>
    <w:rsid w:val="8AAADFFE"/>
    <w:rsid w:val="8BBFC8EB"/>
    <w:rsid w:val="8DF7AEEB"/>
    <w:rsid w:val="8EAF8EB7"/>
    <w:rsid w:val="8F1F4270"/>
    <w:rsid w:val="8F7E5396"/>
    <w:rsid w:val="8FCC4D7A"/>
    <w:rsid w:val="8FE64D29"/>
    <w:rsid w:val="8FFE317F"/>
    <w:rsid w:val="8FFF4DEC"/>
    <w:rsid w:val="917F846A"/>
    <w:rsid w:val="92F6748E"/>
    <w:rsid w:val="933F2932"/>
    <w:rsid w:val="936F7810"/>
    <w:rsid w:val="94DFD7D6"/>
    <w:rsid w:val="95BF9E13"/>
    <w:rsid w:val="95E5F6DF"/>
    <w:rsid w:val="97E77012"/>
    <w:rsid w:val="97FB1B05"/>
    <w:rsid w:val="989F1D3F"/>
    <w:rsid w:val="99AF2C43"/>
    <w:rsid w:val="99FFE576"/>
    <w:rsid w:val="9ABF859E"/>
    <w:rsid w:val="9B5B63F0"/>
    <w:rsid w:val="9B5F0056"/>
    <w:rsid w:val="9B6876E1"/>
    <w:rsid w:val="9B699621"/>
    <w:rsid w:val="9B6FC0DC"/>
    <w:rsid w:val="9CDFF18E"/>
    <w:rsid w:val="9D162876"/>
    <w:rsid w:val="9D3D6DEC"/>
    <w:rsid w:val="9DAF3466"/>
    <w:rsid w:val="9DAFA21D"/>
    <w:rsid w:val="9E379FBF"/>
    <w:rsid w:val="9EB3EDFF"/>
    <w:rsid w:val="9EDE5485"/>
    <w:rsid w:val="9EDF0828"/>
    <w:rsid w:val="9EFDC3A2"/>
    <w:rsid w:val="9FBD9390"/>
    <w:rsid w:val="9FCE9F58"/>
    <w:rsid w:val="9FDE12CC"/>
    <w:rsid w:val="9FEE333C"/>
    <w:rsid w:val="9FF40BA3"/>
    <w:rsid w:val="A2966B49"/>
    <w:rsid w:val="A3EF2833"/>
    <w:rsid w:val="A3F12019"/>
    <w:rsid w:val="A3FF8166"/>
    <w:rsid w:val="A47AA2DF"/>
    <w:rsid w:val="A4DF569A"/>
    <w:rsid w:val="A67B0FA9"/>
    <w:rsid w:val="A73BF1C6"/>
    <w:rsid w:val="A7B73F1D"/>
    <w:rsid w:val="A7BF3A71"/>
    <w:rsid w:val="A7C723A8"/>
    <w:rsid w:val="A7E5D104"/>
    <w:rsid w:val="A7EED506"/>
    <w:rsid w:val="A9A30AE9"/>
    <w:rsid w:val="A9BBD207"/>
    <w:rsid w:val="A9E44D50"/>
    <w:rsid w:val="A9FB8EBA"/>
    <w:rsid w:val="AAE7E424"/>
    <w:rsid w:val="AAFF2285"/>
    <w:rsid w:val="AAFF99A2"/>
    <w:rsid w:val="AB1FAF91"/>
    <w:rsid w:val="AB777801"/>
    <w:rsid w:val="AB7D4D16"/>
    <w:rsid w:val="ABF70CE0"/>
    <w:rsid w:val="AC6C1B86"/>
    <w:rsid w:val="AC7701BA"/>
    <w:rsid w:val="AC7FF641"/>
    <w:rsid w:val="AD8F4312"/>
    <w:rsid w:val="ADBDABFF"/>
    <w:rsid w:val="ADCFFC3E"/>
    <w:rsid w:val="ADED7118"/>
    <w:rsid w:val="AE53BB2D"/>
    <w:rsid w:val="AE6FA64E"/>
    <w:rsid w:val="AEAC80C4"/>
    <w:rsid w:val="AEBE54D2"/>
    <w:rsid w:val="AEE73E88"/>
    <w:rsid w:val="AEEFD167"/>
    <w:rsid w:val="AF36EBBE"/>
    <w:rsid w:val="AF75111E"/>
    <w:rsid w:val="AF7F48DE"/>
    <w:rsid w:val="AF9C4CC8"/>
    <w:rsid w:val="AFA7B3B2"/>
    <w:rsid w:val="AFECCF3D"/>
    <w:rsid w:val="AFFDDE8D"/>
    <w:rsid w:val="AFFEAB7A"/>
    <w:rsid w:val="AFFF3934"/>
    <w:rsid w:val="B19FCAAC"/>
    <w:rsid w:val="B2FDA37B"/>
    <w:rsid w:val="B2FE5ECE"/>
    <w:rsid w:val="B37F1D28"/>
    <w:rsid w:val="B3A7E082"/>
    <w:rsid w:val="B3E7BFD5"/>
    <w:rsid w:val="B3EFE887"/>
    <w:rsid w:val="B3FC4F6C"/>
    <w:rsid w:val="B3FEFE5A"/>
    <w:rsid w:val="B3FFFAB2"/>
    <w:rsid w:val="B4718265"/>
    <w:rsid w:val="B56709B4"/>
    <w:rsid w:val="B5FC8B0B"/>
    <w:rsid w:val="B65FA8DD"/>
    <w:rsid w:val="B6E10AF7"/>
    <w:rsid w:val="B72FEDAE"/>
    <w:rsid w:val="B75687CB"/>
    <w:rsid w:val="B77F93F5"/>
    <w:rsid w:val="B79D8F59"/>
    <w:rsid w:val="B7AFCE92"/>
    <w:rsid w:val="B7C9003E"/>
    <w:rsid w:val="B7CFFEAF"/>
    <w:rsid w:val="B7D2DA71"/>
    <w:rsid w:val="B7E3EFB1"/>
    <w:rsid w:val="B7EDD468"/>
    <w:rsid w:val="B7F54B05"/>
    <w:rsid w:val="B7FB1B99"/>
    <w:rsid w:val="B95DE34F"/>
    <w:rsid w:val="B96716B4"/>
    <w:rsid w:val="B97D10C1"/>
    <w:rsid w:val="B9BF509E"/>
    <w:rsid w:val="B9FF2C90"/>
    <w:rsid w:val="BA16E381"/>
    <w:rsid w:val="BA7B746F"/>
    <w:rsid w:val="BAC1B59C"/>
    <w:rsid w:val="BADB1AB2"/>
    <w:rsid w:val="BAEFD9D9"/>
    <w:rsid w:val="BAF7DFEC"/>
    <w:rsid w:val="BB3E5C78"/>
    <w:rsid w:val="BB3FD4B1"/>
    <w:rsid w:val="BB6760D0"/>
    <w:rsid w:val="BB7CA0D5"/>
    <w:rsid w:val="BBD723F8"/>
    <w:rsid w:val="BBEF0F12"/>
    <w:rsid w:val="BBF92E37"/>
    <w:rsid w:val="BC968EEB"/>
    <w:rsid w:val="BCAEFB3F"/>
    <w:rsid w:val="BD1E4874"/>
    <w:rsid w:val="BD6D577E"/>
    <w:rsid w:val="BD72DB79"/>
    <w:rsid w:val="BD7F8505"/>
    <w:rsid w:val="BDAFB66D"/>
    <w:rsid w:val="BDBE2DDB"/>
    <w:rsid w:val="BDBF9F82"/>
    <w:rsid w:val="BDDF6E2F"/>
    <w:rsid w:val="BDEF7305"/>
    <w:rsid w:val="BDF5CBA1"/>
    <w:rsid w:val="BDFADEEA"/>
    <w:rsid w:val="BDFCF773"/>
    <w:rsid w:val="BE7B2D0D"/>
    <w:rsid w:val="BE980DC5"/>
    <w:rsid w:val="BEAD6A6B"/>
    <w:rsid w:val="BEBFB3D6"/>
    <w:rsid w:val="BEC76546"/>
    <w:rsid w:val="BED4EC6B"/>
    <w:rsid w:val="BEED1C93"/>
    <w:rsid w:val="BEFB48C8"/>
    <w:rsid w:val="BEFDB1D1"/>
    <w:rsid w:val="BEFF2DE7"/>
    <w:rsid w:val="BEFFA459"/>
    <w:rsid w:val="BF435CDD"/>
    <w:rsid w:val="BF4F9151"/>
    <w:rsid w:val="BF4FDE1A"/>
    <w:rsid w:val="BF5767C4"/>
    <w:rsid w:val="BF5DF4CF"/>
    <w:rsid w:val="BF77E74F"/>
    <w:rsid w:val="BF7ACF8A"/>
    <w:rsid w:val="BFB71795"/>
    <w:rsid w:val="BFB8982D"/>
    <w:rsid w:val="BFBD81C6"/>
    <w:rsid w:val="BFBEA4BD"/>
    <w:rsid w:val="BFBF198A"/>
    <w:rsid w:val="BFBF4C72"/>
    <w:rsid w:val="BFBF5470"/>
    <w:rsid w:val="BFD6CC72"/>
    <w:rsid w:val="BFD72E52"/>
    <w:rsid w:val="BFDF5AC9"/>
    <w:rsid w:val="BFDF9F67"/>
    <w:rsid w:val="BFE73F23"/>
    <w:rsid w:val="BFECFFF5"/>
    <w:rsid w:val="BFED281A"/>
    <w:rsid w:val="BFF05EAE"/>
    <w:rsid w:val="BFF6C205"/>
    <w:rsid w:val="BFF6D8DD"/>
    <w:rsid w:val="BFF73DFC"/>
    <w:rsid w:val="BFF7B7EA"/>
    <w:rsid w:val="BFFAECBD"/>
    <w:rsid w:val="BFFC0832"/>
    <w:rsid w:val="BFFC4E90"/>
    <w:rsid w:val="BFFDFEF3"/>
    <w:rsid w:val="BFFE1EF7"/>
    <w:rsid w:val="BFFEE0A2"/>
    <w:rsid w:val="BFFF5A55"/>
    <w:rsid w:val="BFFF80E4"/>
    <w:rsid w:val="BFFFA464"/>
    <w:rsid w:val="C1FF5238"/>
    <w:rsid w:val="C3FAB695"/>
    <w:rsid w:val="C5EF95C1"/>
    <w:rsid w:val="C5FB6DFD"/>
    <w:rsid w:val="C79F2CBB"/>
    <w:rsid w:val="C7EE8B0B"/>
    <w:rsid w:val="C7FD6D14"/>
    <w:rsid w:val="C7FF512D"/>
    <w:rsid w:val="C9DF210B"/>
    <w:rsid w:val="C9F7AA1D"/>
    <w:rsid w:val="C9FFDD27"/>
    <w:rsid w:val="CAD7A4C5"/>
    <w:rsid w:val="CB5ED32D"/>
    <w:rsid w:val="CBF7417C"/>
    <w:rsid w:val="CBFB235A"/>
    <w:rsid w:val="CBFF004F"/>
    <w:rsid w:val="CBFF2443"/>
    <w:rsid w:val="CCEFD8B3"/>
    <w:rsid w:val="CD1FF061"/>
    <w:rsid w:val="CD6FA9FF"/>
    <w:rsid w:val="CD9D494E"/>
    <w:rsid w:val="CDA6AA5F"/>
    <w:rsid w:val="CDF5FA9B"/>
    <w:rsid w:val="CDFF35C1"/>
    <w:rsid w:val="CE7BE518"/>
    <w:rsid w:val="CE7F14D4"/>
    <w:rsid w:val="CEFF4A97"/>
    <w:rsid w:val="CF47A0A5"/>
    <w:rsid w:val="CF6F9027"/>
    <w:rsid w:val="CF7BD9C5"/>
    <w:rsid w:val="CF9BEB54"/>
    <w:rsid w:val="CFBBA1E6"/>
    <w:rsid w:val="CFBD51BE"/>
    <w:rsid w:val="CFBF27BF"/>
    <w:rsid w:val="CFDB23AE"/>
    <w:rsid w:val="CFDFE2BE"/>
    <w:rsid w:val="CFDFEFF9"/>
    <w:rsid w:val="CFE2D2C8"/>
    <w:rsid w:val="CFF00622"/>
    <w:rsid w:val="CFF78966"/>
    <w:rsid w:val="CFFB786F"/>
    <w:rsid w:val="CFFE5BD7"/>
    <w:rsid w:val="CFFF115A"/>
    <w:rsid w:val="CFFF2AB1"/>
    <w:rsid w:val="D1F5D035"/>
    <w:rsid w:val="D2FF60F9"/>
    <w:rsid w:val="D357C4BF"/>
    <w:rsid w:val="D37713A5"/>
    <w:rsid w:val="D37B450A"/>
    <w:rsid w:val="D3FFECDE"/>
    <w:rsid w:val="D561A11D"/>
    <w:rsid w:val="D5B318BE"/>
    <w:rsid w:val="D5BA2F94"/>
    <w:rsid w:val="D5F807FF"/>
    <w:rsid w:val="D636D5AB"/>
    <w:rsid w:val="D67FEB4D"/>
    <w:rsid w:val="D69E6DB3"/>
    <w:rsid w:val="D6B66E1C"/>
    <w:rsid w:val="D6B75FEA"/>
    <w:rsid w:val="D6BF8C21"/>
    <w:rsid w:val="D6DF9BE9"/>
    <w:rsid w:val="D6E78AAC"/>
    <w:rsid w:val="D6E9BE63"/>
    <w:rsid w:val="D6F68E1D"/>
    <w:rsid w:val="D6FDF331"/>
    <w:rsid w:val="D72F1C1C"/>
    <w:rsid w:val="D7374EA9"/>
    <w:rsid w:val="D77E5559"/>
    <w:rsid w:val="D796F2FE"/>
    <w:rsid w:val="D7AE4A47"/>
    <w:rsid w:val="D7BF03BE"/>
    <w:rsid w:val="D7DF71FA"/>
    <w:rsid w:val="D7DF74B6"/>
    <w:rsid w:val="D7F55477"/>
    <w:rsid w:val="D7FD4D2C"/>
    <w:rsid w:val="D7FE277F"/>
    <w:rsid w:val="D8BA1D46"/>
    <w:rsid w:val="D9BF17AF"/>
    <w:rsid w:val="D9BF213A"/>
    <w:rsid w:val="DABC0759"/>
    <w:rsid w:val="DADF355B"/>
    <w:rsid w:val="DAEF16B1"/>
    <w:rsid w:val="DB4A5303"/>
    <w:rsid w:val="DB6D734F"/>
    <w:rsid w:val="DB977AD3"/>
    <w:rsid w:val="DB9D5E55"/>
    <w:rsid w:val="DBA76038"/>
    <w:rsid w:val="DBBFEDD6"/>
    <w:rsid w:val="DBDF498F"/>
    <w:rsid w:val="DBEFB26D"/>
    <w:rsid w:val="DBF15BD5"/>
    <w:rsid w:val="DBF5780A"/>
    <w:rsid w:val="DBF7B814"/>
    <w:rsid w:val="DBFA118B"/>
    <w:rsid w:val="DBFB9D79"/>
    <w:rsid w:val="DBFF7BEF"/>
    <w:rsid w:val="DCEF1E12"/>
    <w:rsid w:val="DD37994D"/>
    <w:rsid w:val="DD3EC184"/>
    <w:rsid w:val="DD6D25C1"/>
    <w:rsid w:val="DDA767B4"/>
    <w:rsid w:val="DDAB5849"/>
    <w:rsid w:val="DDB6DD90"/>
    <w:rsid w:val="DDBBBDC8"/>
    <w:rsid w:val="DDBF222C"/>
    <w:rsid w:val="DDDBC976"/>
    <w:rsid w:val="DDDFC55E"/>
    <w:rsid w:val="DDF397CF"/>
    <w:rsid w:val="DDF59560"/>
    <w:rsid w:val="DDFB7706"/>
    <w:rsid w:val="DDFBF4D4"/>
    <w:rsid w:val="DDFE2A1C"/>
    <w:rsid w:val="DDFF2E65"/>
    <w:rsid w:val="DE7D4B14"/>
    <w:rsid w:val="DEA102A9"/>
    <w:rsid w:val="DEA6A359"/>
    <w:rsid w:val="DEE7B904"/>
    <w:rsid w:val="DEE7C6DA"/>
    <w:rsid w:val="DEEF97AA"/>
    <w:rsid w:val="DEEFAC41"/>
    <w:rsid w:val="DEF52FDB"/>
    <w:rsid w:val="DEFAB2B4"/>
    <w:rsid w:val="DEFDC4F9"/>
    <w:rsid w:val="DF538BAA"/>
    <w:rsid w:val="DF570FE8"/>
    <w:rsid w:val="DF5DD260"/>
    <w:rsid w:val="DF6E07D8"/>
    <w:rsid w:val="DF72B680"/>
    <w:rsid w:val="DF735AA6"/>
    <w:rsid w:val="DF7B69D9"/>
    <w:rsid w:val="DF7BA29E"/>
    <w:rsid w:val="DF7C6D7A"/>
    <w:rsid w:val="DF7FF721"/>
    <w:rsid w:val="DFAFEB61"/>
    <w:rsid w:val="DFB344E5"/>
    <w:rsid w:val="DFB6D83D"/>
    <w:rsid w:val="DFB71C2E"/>
    <w:rsid w:val="DFBD2919"/>
    <w:rsid w:val="DFBF54B0"/>
    <w:rsid w:val="DFBF73DD"/>
    <w:rsid w:val="DFD9CF5B"/>
    <w:rsid w:val="DFDCD808"/>
    <w:rsid w:val="DFDE8DAC"/>
    <w:rsid w:val="DFE24F3F"/>
    <w:rsid w:val="DFE7D755"/>
    <w:rsid w:val="DFEB905B"/>
    <w:rsid w:val="DFED9123"/>
    <w:rsid w:val="DFF0D04E"/>
    <w:rsid w:val="DFF3257A"/>
    <w:rsid w:val="DFF622C9"/>
    <w:rsid w:val="DFF8C16B"/>
    <w:rsid w:val="DFFB44DF"/>
    <w:rsid w:val="DFFD26A5"/>
    <w:rsid w:val="DFFD8FA6"/>
    <w:rsid w:val="DFFDD28A"/>
    <w:rsid w:val="DFFE48C1"/>
    <w:rsid w:val="DFFE7EF4"/>
    <w:rsid w:val="DFFF7320"/>
    <w:rsid w:val="E2EF5709"/>
    <w:rsid w:val="E3371A94"/>
    <w:rsid w:val="E35FE36C"/>
    <w:rsid w:val="E3CD5FB5"/>
    <w:rsid w:val="E3DC5607"/>
    <w:rsid w:val="E3DD9914"/>
    <w:rsid w:val="E3DE496C"/>
    <w:rsid w:val="E3EE91D6"/>
    <w:rsid w:val="E5DD4B2E"/>
    <w:rsid w:val="E5FCBE5A"/>
    <w:rsid w:val="E6938F95"/>
    <w:rsid w:val="E6D58C5E"/>
    <w:rsid w:val="E6DF8233"/>
    <w:rsid w:val="E6FFA336"/>
    <w:rsid w:val="E72FB82F"/>
    <w:rsid w:val="E73C0553"/>
    <w:rsid w:val="E77D2A6C"/>
    <w:rsid w:val="E7864946"/>
    <w:rsid w:val="E7AEF5D4"/>
    <w:rsid w:val="E7B170EC"/>
    <w:rsid w:val="E7BDF7A8"/>
    <w:rsid w:val="E7CFBB2A"/>
    <w:rsid w:val="E7D26ABD"/>
    <w:rsid w:val="E7DC9F3A"/>
    <w:rsid w:val="E7E82141"/>
    <w:rsid w:val="E7E99304"/>
    <w:rsid w:val="E7EF7BD8"/>
    <w:rsid w:val="E7F9AAA3"/>
    <w:rsid w:val="E7FD12F0"/>
    <w:rsid w:val="E7FF14B2"/>
    <w:rsid w:val="E977B8AA"/>
    <w:rsid w:val="E9B77A75"/>
    <w:rsid w:val="E9DD0167"/>
    <w:rsid w:val="EA1DA061"/>
    <w:rsid w:val="EABEB4F2"/>
    <w:rsid w:val="EAECFC99"/>
    <w:rsid w:val="EAFEF872"/>
    <w:rsid w:val="EB155529"/>
    <w:rsid w:val="EB3CE50F"/>
    <w:rsid w:val="EB3E2144"/>
    <w:rsid w:val="EB4DCC97"/>
    <w:rsid w:val="EB7D5AB9"/>
    <w:rsid w:val="EB7E0F16"/>
    <w:rsid w:val="EB9FCDCD"/>
    <w:rsid w:val="EBCB7A16"/>
    <w:rsid w:val="EBDF079F"/>
    <w:rsid w:val="EBE6AF36"/>
    <w:rsid w:val="EBF9E703"/>
    <w:rsid w:val="EBFC56DA"/>
    <w:rsid w:val="EBFF1015"/>
    <w:rsid w:val="EBFF31AF"/>
    <w:rsid w:val="EC7B8EA7"/>
    <w:rsid w:val="EC7CFF1D"/>
    <w:rsid w:val="ECF13F8F"/>
    <w:rsid w:val="ECFB254E"/>
    <w:rsid w:val="ECFBCFCB"/>
    <w:rsid w:val="ED5DD111"/>
    <w:rsid w:val="ED7509E7"/>
    <w:rsid w:val="ED9758AD"/>
    <w:rsid w:val="EDF72471"/>
    <w:rsid w:val="EDFF9F6B"/>
    <w:rsid w:val="EE3EB4D6"/>
    <w:rsid w:val="EE5F3AD9"/>
    <w:rsid w:val="EE97B4E0"/>
    <w:rsid w:val="EE9FEF19"/>
    <w:rsid w:val="EEBD9B78"/>
    <w:rsid w:val="EED726E3"/>
    <w:rsid w:val="EEEF4C68"/>
    <w:rsid w:val="EEEFDDC9"/>
    <w:rsid w:val="EEFAEE15"/>
    <w:rsid w:val="EEFECA23"/>
    <w:rsid w:val="EEFEF9A8"/>
    <w:rsid w:val="EEFF7416"/>
    <w:rsid w:val="EEFF9423"/>
    <w:rsid w:val="EEFFE127"/>
    <w:rsid w:val="EF0FEFB6"/>
    <w:rsid w:val="EF1AAFB9"/>
    <w:rsid w:val="EF1D7611"/>
    <w:rsid w:val="EF393F62"/>
    <w:rsid w:val="EF54DF61"/>
    <w:rsid w:val="EF5541B1"/>
    <w:rsid w:val="EF5941BE"/>
    <w:rsid w:val="EF6F32FF"/>
    <w:rsid w:val="EF6F468C"/>
    <w:rsid w:val="EF71B0DB"/>
    <w:rsid w:val="EF7D0A98"/>
    <w:rsid w:val="EF9E53BD"/>
    <w:rsid w:val="EFAD347D"/>
    <w:rsid w:val="EFAD6254"/>
    <w:rsid w:val="EFBADFE1"/>
    <w:rsid w:val="EFCD044A"/>
    <w:rsid w:val="EFCD3D5E"/>
    <w:rsid w:val="EFD7C659"/>
    <w:rsid w:val="EFDF2B82"/>
    <w:rsid w:val="EFE67D41"/>
    <w:rsid w:val="EFEB5829"/>
    <w:rsid w:val="EFEBDBFA"/>
    <w:rsid w:val="EFED7C12"/>
    <w:rsid w:val="EFEF743C"/>
    <w:rsid w:val="EFEF99A6"/>
    <w:rsid w:val="EFF5654B"/>
    <w:rsid w:val="EFF78236"/>
    <w:rsid w:val="EFFB8A82"/>
    <w:rsid w:val="EFFBE0B2"/>
    <w:rsid w:val="EFFD1665"/>
    <w:rsid w:val="EFFD1EB5"/>
    <w:rsid w:val="EFFD3DD8"/>
    <w:rsid w:val="EFFD8755"/>
    <w:rsid w:val="EFFE2EAA"/>
    <w:rsid w:val="EFFECDF5"/>
    <w:rsid w:val="EFFEE055"/>
    <w:rsid w:val="EFFF16DA"/>
    <w:rsid w:val="EFFF75F7"/>
    <w:rsid w:val="EFFF7A09"/>
    <w:rsid w:val="EFFFCEAE"/>
    <w:rsid w:val="F0FF6782"/>
    <w:rsid w:val="F15BE9C4"/>
    <w:rsid w:val="F1FD3B83"/>
    <w:rsid w:val="F2BD1F5C"/>
    <w:rsid w:val="F2FD1091"/>
    <w:rsid w:val="F3AE4B8E"/>
    <w:rsid w:val="F3AE585C"/>
    <w:rsid w:val="F3BF4398"/>
    <w:rsid w:val="F3BFE9E7"/>
    <w:rsid w:val="F3CEE544"/>
    <w:rsid w:val="F3D7D72F"/>
    <w:rsid w:val="F3DA5DF3"/>
    <w:rsid w:val="F3DF0120"/>
    <w:rsid w:val="F3E699AB"/>
    <w:rsid w:val="F3ED5BF0"/>
    <w:rsid w:val="F3F5D647"/>
    <w:rsid w:val="F3FFA305"/>
    <w:rsid w:val="F3FFCF62"/>
    <w:rsid w:val="F43E2B35"/>
    <w:rsid w:val="F4795D29"/>
    <w:rsid w:val="F47ED6E9"/>
    <w:rsid w:val="F4BEB5ED"/>
    <w:rsid w:val="F4DFF17A"/>
    <w:rsid w:val="F4FFD8AF"/>
    <w:rsid w:val="F534AC04"/>
    <w:rsid w:val="F56943A0"/>
    <w:rsid w:val="F56FC256"/>
    <w:rsid w:val="F57C18F9"/>
    <w:rsid w:val="F57F4061"/>
    <w:rsid w:val="F59B8E5D"/>
    <w:rsid w:val="F5F5C3AA"/>
    <w:rsid w:val="F5FE9628"/>
    <w:rsid w:val="F5FF0FF2"/>
    <w:rsid w:val="F5FFD129"/>
    <w:rsid w:val="F5FFDFF0"/>
    <w:rsid w:val="F66EDE2B"/>
    <w:rsid w:val="F68BA5D2"/>
    <w:rsid w:val="F6AFAC63"/>
    <w:rsid w:val="F6C92F12"/>
    <w:rsid w:val="F6DB59E0"/>
    <w:rsid w:val="F6DED427"/>
    <w:rsid w:val="F6DF657B"/>
    <w:rsid w:val="F6DFC53E"/>
    <w:rsid w:val="F6F4C27D"/>
    <w:rsid w:val="F6FEED93"/>
    <w:rsid w:val="F6FF513A"/>
    <w:rsid w:val="F7334BF2"/>
    <w:rsid w:val="F73D6C9E"/>
    <w:rsid w:val="F73F6B32"/>
    <w:rsid w:val="F73FE327"/>
    <w:rsid w:val="F75FFC9B"/>
    <w:rsid w:val="F76B8BD5"/>
    <w:rsid w:val="F76D978B"/>
    <w:rsid w:val="F76FDA47"/>
    <w:rsid w:val="F77791FC"/>
    <w:rsid w:val="F77BEF17"/>
    <w:rsid w:val="F79FA960"/>
    <w:rsid w:val="F79FD87C"/>
    <w:rsid w:val="F7AF2E9A"/>
    <w:rsid w:val="F7C7C601"/>
    <w:rsid w:val="F7CFEF69"/>
    <w:rsid w:val="F7DD7FD6"/>
    <w:rsid w:val="F7DE322E"/>
    <w:rsid w:val="F7ECBE86"/>
    <w:rsid w:val="F7EF4999"/>
    <w:rsid w:val="F7EFE06C"/>
    <w:rsid w:val="F7F1678B"/>
    <w:rsid w:val="F7F3E1F4"/>
    <w:rsid w:val="F7FB8D92"/>
    <w:rsid w:val="F7FD5002"/>
    <w:rsid w:val="F7FE7B29"/>
    <w:rsid w:val="F7FEE365"/>
    <w:rsid w:val="F8E7351E"/>
    <w:rsid w:val="F94C3727"/>
    <w:rsid w:val="F96F0D46"/>
    <w:rsid w:val="F97A66F5"/>
    <w:rsid w:val="F97B491B"/>
    <w:rsid w:val="F9B52EA9"/>
    <w:rsid w:val="F9BE9A92"/>
    <w:rsid w:val="F9DF096A"/>
    <w:rsid w:val="F9F5C1AE"/>
    <w:rsid w:val="F9F5F616"/>
    <w:rsid w:val="F9FA3BA0"/>
    <w:rsid w:val="F9FB369B"/>
    <w:rsid w:val="FA3C2DC7"/>
    <w:rsid w:val="FA3F9A4C"/>
    <w:rsid w:val="FA5F1532"/>
    <w:rsid w:val="FA5F6F39"/>
    <w:rsid w:val="FADF07A0"/>
    <w:rsid w:val="FAE7FBDD"/>
    <w:rsid w:val="FAF92D80"/>
    <w:rsid w:val="FAFB2F5A"/>
    <w:rsid w:val="FAFD4680"/>
    <w:rsid w:val="FB0E8AD2"/>
    <w:rsid w:val="FB1B9C37"/>
    <w:rsid w:val="FB2FAC4E"/>
    <w:rsid w:val="FB3FDAF2"/>
    <w:rsid w:val="FB5FC045"/>
    <w:rsid w:val="FB6F54EC"/>
    <w:rsid w:val="FB76526E"/>
    <w:rsid w:val="FB7711BE"/>
    <w:rsid w:val="FB77FE67"/>
    <w:rsid w:val="FB7A5B17"/>
    <w:rsid w:val="FB7F121F"/>
    <w:rsid w:val="FB8B84F6"/>
    <w:rsid w:val="FB8F9B25"/>
    <w:rsid w:val="FB920F66"/>
    <w:rsid w:val="FB98DB38"/>
    <w:rsid w:val="FB9F6C63"/>
    <w:rsid w:val="FBABBCFF"/>
    <w:rsid w:val="FBB6B5A7"/>
    <w:rsid w:val="FBBC53AF"/>
    <w:rsid w:val="FBBEC91F"/>
    <w:rsid w:val="FBBFD528"/>
    <w:rsid w:val="FBCB80C5"/>
    <w:rsid w:val="FBD921E2"/>
    <w:rsid w:val="FBDB1098"/>
    <w:rsid w:val="FBDB807E"/>
    <w:rsid w:val="FBE64DC4"/>
    <w:rsid w:val="FBE69F27"/>
    <w:rsid w:val="FBE738EE"/>
    <w:rsid w:val="FBEC8892"/>
    <w:rsid w:val="FBF54F25"/>
    <w:rsid w:val="FBF55325"/>
    <w:rsid w:val="FBF6E43F"/>
    <w:rsid w:val="FBF724BE"/>
    <w:rsid w:val="FBFB702F"/>
    <w:rsid w:val="FBFBB0CE"/>
    <w:rsid w:val="FBFBBA97"/>
    <w:rsid w:val="FBFBFCDE"/>
    <w:rsid w:val="FBFCF993"/>
    <w:rsid w:val="FBFF368D"/>
    <w:rsid w:val="FBFFA122"/>
    <w:rsid w:val="FBFFA86F"/>
    <w:rsid w:val="FBFFDFDC"/>
    <w:rsid w:val="FBFFE5B0"/>
    <w:rsid w:val="FBFFEE25"/>
    <w:rsid w:val="FC04F382"/>
    <w:rsid w:val="FC7CC396"/>
    <w:rsid w:val="FC7F5CC2"/>
    <w:rsid w:val="FCAF6044"/>
    <w:rsid w:val="FCBBD713"/>
    <w:rsid w:val="FCDFE5E5"/>
    <w:rsid w:val="FCF36E1E"/>
    <w:rsid w:val="FCFB6CE9"/>
    <w:rsid w:val="FCFD9DBA"/>
    <w:rsid w:val="FCFEDA17"/>
    <w:rsid w:val="FCFF4442"/>
    <w:rsid w:val="FCFF44E8"/>
    <w:rsid w:val="FD4F787E"/>
    <w:rsid w:val="FD4F8A5E"/>
    <w:rsid w:val="FD6B04B3"/>
    <w:rsid w:val="FD6FBCB1"/>
    <w:rsid w:val="FD7D4B50"/>
    <w:rsid w:val="FD7F239C"/>
    <w:rsid w:val="FD9BE59C"/>
    <w:rsid w:val="FD9F8827"/>
    <w:rsid w:val="FDB99B28"/>
    <w:rsid w:val="FDBBE9BF"/>
    <w:rsid w:val="FDBEB1F4"/>
    <w:rsid w:val="FDBED69A"/>
    <w:rsid w:val="FDBFA0E1"/>
    <w:rsid w:val="FDCF197E"/>
    <w:rsid w:val="FDD786EE"/>
    <w:rsid w:val="FDD79975"/>
    <w:rsid w:val="FDDD0207"/>
    <w:rsid w:val="FDDED9BD"/>
    <w:rsid w:val="FDE5D38F"/>
    <w:rsid w:val="FDE73632"/>
    <w:rsid w:val="FDE9B925"/>
    <w:rsid w:val="FDEF4D04"/>
    <w:rsid w:val="FDEF7051"/>
    <w:rsid w:val="FDEFDACF"/>
    <w:rsid w:val="FDF3584D"/>
    <w:rsid w:val="FDF63861"/>
    <w:rsid w:val="FDF6AC8A"/>
    <w:rsid w:val="FDF729C2"/>
    <w:rsid w:val="FDF767DE"/>
    <w:rsid w:val="FDFC68B7"/>
    <w:rsid w:val="FDFD4E8F"/>
    <w:rsid w:val="FDFD5903"/>
    <w:rsid w:val="FDFD62EE"/>
    <w:rsid w:val="FDFE3999"/>
    <w:rsid w:val="FDFEE492"/>
    <w:rsid w:val="FDFF3342"/>
    <w:rsid w:val="FDFF55C6"/>
    <w:rsid w:val="FDFF8624"/>
    <w:rsid w:val="FDFF8791"/>
    <w:rsid w:val="FDFFACF9"/>
    <w:rsid w:val="FDFFBDA9"/>
    <w:rsid w:val="FE2F4112"/>
    <w:rsid w:val="FE3D0B58"/>
    <w:rsid w:val="FE5FF100"/>
    <w:rsid w:val="FE675D0C"/>
    <w:rsid w:val="FE6D236C"/>
    <w:rsid w:val="FE6EB4C3"/>
    <w:rsid w:val="FE7388F7"/>
    <w:rsid w:val="FE7D6C7C"/>
    <w:rsid w:val="FE7E6686"/>
    <w:rsid w:val="FE7F3B65"/>
    <w:rsid w:val="FE9B0392"/>
    <w:rsid w:val="FEA28648"/>
    <w:rsid w:val="FEAB4252"/>
    <w:rsid w:val="FEB53781"/>
    <w:rsid w:val="FEB9D196"/>
    <w:rsid w:val="FEBA8A07"/>
    <w:rsid w:val="FEBB23B8"/>
    <w:rsid w:val="FED3BC64"/>
    <w:rsid w:val="FED74B6B"/>
    <w:rsid w:val="FEDC552F"/>
    <w:rsid w:val="FEDFF04D"/>
    <w:rsid w:val="FEE38A32"/>
    <w:rsid w:val="FEEF8283"/>
    <w:rsid w:val="FEEFCBBD"/>
    <w:rsid w:val="FEEFD2B1"/>
    <w:rsid w:val="FEF038C5"/>
    <w:rsid w:val="FEF4F795"/>
    <w:rsid w:val="FEF5BCF8"/>
    <w:rsid w:val="FEF61499"/>
    <w:rsid w:val="FEF7301C"/>
    <w:rsid w:val="FEF7B86B"/>
    <w:rsid w:val="FEFAD681"/>
    <w:rsid w:val="FEFADC70"/>
    <w:rsid w:val="FEFC9591"/>
    <w:rsid w:val="FEFE6CBE"/>
    <w:rsid w:val="FEFF85F1"/>
    <w:rsid w:val="FF1A0F7B"/>
    <w:rsid w:val="FF2D6F39"/>
    <w:rsid w:val="FF339412"/>
    <w:rsid w:val="FF3F6707"/>
    <w:rsid w:val="FF3F8169"/>
    <w:rsid w:val="FF3FAE3E"/>
    <w:rsid w:val="FF3FDC1A"/>
    <w:rsid w:val="FF565938"/>
    <w:rsid w:val="FF5A18C9"/>
    <w:rsid w:val="FF5FD3B7"/>
    <w:rsid w:val="FF661D4A"/>
    <w:rsid w:val="FF664A4C"/>
    <w:rsid w:val="FF69B015"/>
    <w:rsid w:val="FF6F500C"/>
    <w:rsid w:val="FF79C8C9"/>
    <w:rsid w:val="FF7B0465"/>
    <w:rsid w:val="FF7B6F33"/>
    <w:rsid w:val="FF7C6F8B"/>
    <w:rsid w:val="FF7C88BD"/>
    <w:rsid w:val="FF7DB98C"/>
    <w:rsid w:val="FF7DCE5C"/>
    <w:rsid w:val="FF7F6F2A"/>
    <w:rsid w:val="FF7F9CDA"/>
    <w:rsid w:val="FF7FBB62"/>
    <w:rsid w:val="FF7FBEDB"/>
    <w:rsid w:val="FF86BBBC"/>
    <w:rsid w:val="FF8FE2C7"/>
    <w:rsid w:val="FF972045"/>
    <w:rsid w:val="FF9F4E3E"/>
    <w:rsid w:val="FF9FA17C"/>
    <w:rsid w:val="FFABF22E"/>
    <w:rsid w:val="FFAD1264"/>
    <w:rsid w:val="FFAEBE4F"/>
    <w:rsid w:val="FFAECF17"/>
    <w:rsid w:val="FFAEFAFD"/>
    <w:rsid w:val="FFAF8006"/>
    <w:rsid w:val="FFAFA611"/>
    <w:rsid w:val="FFB11CDC"/>
    <w:rsid w:val="FFB7F0E4"/>
    <w:rsid w:val="FFBB479A"/>
    <w:rsid w:val="FFBD5C6E"/>
    <w:rsid w:val="FFBF042A"/>
    <w:rsid w:val="FFBF0E64"/>
    <w:rsid w:val="FFBF25F5"/>
    <w:rsid w:val="FFBF8978"/>
    <w:rsid w:val="FFBFC7A3"/>
    <w:rsid w:val="FFCF7B38"/>
    <w:rsid w:val="FFD36996"/>
    <w:rsid w:val="FFD5D887"/>
    <w:rsid w:val="FFD5E7A1"/>
    <w:rsid w:val="FFD7DE4B"/>
    <w:rsid w:val="FFDD5102"/>
    <w:rsid w:val="FFDE18E3"/>
    <w:rsid w:val="FFDE7D2C"/>
    <w:rsid w:val="FFDF2A0D"/>
    <w:rsid w:val="FFDF3B8C"/>
    <w:rsid w:val="FFDF3E9F"/>
    <w:rsid w:val="FFDF54E5"/>
    <w:rsid w:val="FFDFF9F2"/>
    <w:rsid w:val="FFE16994"/>
    <w:rsid w:val="FFE79C36"/>
    <w:rsid w:val="FFEF3CC3"/>
    <w:rsid w:val="FFEF4559"/>
    <w:rsid w:val="FFEF6D77"/>
    <w:rsid w:val="FFEF6E24"/>
    <w:rsid w:val="FFEF6E83"/>
    <w:rsid w:val="FFF2D3D7"/>
    <w:rsid w:val="FFF374C6"/>
    <w:rsid w:val="FFF3A653"/>
    <w:rsid w:val="FFF43745"/>
    <w:rsid w:val="FFF495E1"/>
    <w:rsid w:val="FFF4AE64"/>
    <w:rsid w:val="FFF53165"/>
    <w:rsid w:val="FFF53AC8"/>
    <w:rsid w:val="FFF747E2"/>
    <w:rsid w:val="FFF74B83"/>
    <w:rsid w:val="FFF7AD32"/>
    <w:rsid w:val="FFF7EABB"/>
    <w:rsid w:val="FFF7EF11"/>
    <w:rsid w:val="FFF97984"/>
    <w:rsid w:val="FFF988A7"/>
    <w:rsid w:val="FFFB1706"/>
    <w:rsid w:val="FFFC661E"/>
    <w:rsid w:val="FFFCA620"/>
    <w:rsid w:val="FFFCB28E"/>
    <w:rsid w:val="FFFD144C"/>
    <w:rsid w:val="FFFD4E07"/>
    <w:rsid w:val="FFFD8149"/>
    <w:rsid w:val="FFFE1A25"/>
    <w:rsid w:val="FFFE2426"/>
    <w:rsid w:val="FFFE5112"/>
    <w:rsid w:val="FFFEB70A"/>
    <w:rsid w:val="FFFF0219"/>
    <w:rsid w:val="FFFF1A4A"/>
    <w:rsid w:val="FFFF1D91"/>
    <w:rsid w:val="FFFF4B5B"/>
    <w:rsid w:val="FFFF541A"/>
    <w:rsid w:val="FFFF54AF"/>
    <w:rsid w:val="FFFF7E3F"/>
    <w:rsid w:val="FFFF7F55"/>
    <w:rsid w:val="FFFFAF22"/>
    <w:rsid w:val="FFFFB4A3"/>
    <w:rsid w:val="FFFFB7D5"/>
    <w:rsid w:val="FFFFF71A"/>
    <w:rsid w:val="FFFFF83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6"/>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37"/>
    <w:qFormat/>
    <w:uiPriority w:val="0"/>
    <w:pPr>
      <w:keepNext/>
      <w:keepLines/>
      <w:spacing w:before="260" w:after="260" w:line="240" w:lineRule="auto"/>
      <w:outlineLvl w:val="1"/>
    </w:pPr>
    <w:rPr>
      <w:rFonts w:ascii="CESI仿宋-GB13000" w:hAnsi="CESI仿宋-GB13000" w:eastAsia="宋体"/>
      <w:b/>
      <w:bCs/>
      <w:sz w:val="24"/>
      <w:szCs w:val="32"/>
    </w:rPr>
  </w:style>
  <w:style w:type="paragraph" w:styleId="4">
    <w:name w:val="heading 3"/>
    <w:basedOn w:val="1"/>
    <w:next w:val="1"/>
    <w:link w:val="38"/>
    <w:qFormat/>
    <w:uiPriority w:val="0"/>
    <w:pPr>
      <w:keepNext/>
      <w:keepLines/>
      <w:spacing w:line="360" w:lineRule="auto"/>
      <w:outlineLvl w:val="2"/>
    </w:pPr>
    <w:rPr>
      <w:rFonts w:ascii="Times New Roman" w:hAnsi="Times New Roman" w:eastAsia="宋体"/>
      <w:b/>
      <w:bCs/>
      <w:sz w:val="21"/>
      <w:szCs w:val="32"/>
    </w:rPr>
  </w:style>
  <w:style w:type="paragraph" w:styleId="5">
    <w:name w:val="heading 4"/>
    <w:basedOn w:val="1"/>
    <w:next w:val="1"/>
    <w:link w:val="39"/>
    <w:qFormat/>
    <w:uiPriority w:val="0"/>
    <w:pPr>
      <w:keepNext/>
      <w:keepLines/>
      <w:spacing w:line="360" w:lineRule="auto"/>
      <w:outlineLvl w:val="3"/>
    </w:pPr>
    <w:rPr>
      <w:rFonts w:ascii="Arial" w:hAnsi="Arial"/>
      <w:b/>
      <w:bCs/>
      <w:szCs w:val="28"/>
    </w:rPr>
  </w:style>
  <w:style w:type="character" w:default="1" w:styleId="28">
    <w:name w:val="Default Paragraph Font"/>
    <w:link w:val="29"/>
    <w:semiHidden/>
    <w:qFormat/>
    <w:uiPriority w:val="0"/>
    <w:rPr>
      <w:rFonts w:ascii="Verdana" w:hAnsi="Verdana"/>
      <w:kern w:val="0"/>
      <w:szCs w:val="20"/>
      <w:lang w:eastAsia="en-US"/>
    </w:rPr>
  </w:style>
  <w:style w:type="table" w:default="1" w:styleId="26">
    <w:name w:val="Normal Table"/>
    <w:semiHidden/>
    <w:qFormat/>
    <w:uiPriority w:val="0"/>
    <w:tblPr>
      <w:tblCellMar>
        <w:top w:w="0" w:type="dxa"/>
        <w:left w:w="108" w:type="dxa"/>
        <w:bottom w:w="0" w:type="dxa"/>
        <w:right w:w="108" w:type="dxa"/>
      </w:tblCellMar>
    </w:tblPr>
  </w:style>
  <w:style w:type="paragraph" w:styleId="6">
    <w:name w:val="Normal Indent"/>
    <w:basedOn w:val="1"/>
    <w:link w:val="40"/>
    <w:qFormat/>
    <w:uiPriority w:val="0"/>
    <w:pPr>
      <w:ind w:firstLine="420" w:firstLineChars="200"/>
    </w:pPr>
  </w:style>
  <w:style w:type="paragraph" w:styleId="7">
    <w:name w:val="Document Map"/>
    <w:basedOn w:val="1"/>
    <w:qFormat/>
    <w:uiPriority w:val="0"/>
    <w:rPr>
      <w:rFonts w:ascii="宋体"/>
      <w:sz w:val="18"/>
      <w:szCs w:val="18"/>
    </w:rPr>
  </w:style>
  <w:style w:type="paragraph" w:styleId="8">
    <w:name w:val="toa heading"/>
    <w:basedOn w:val="1"/>
    <w:next w:val="1"/>
    <w:qFormat/>
    <w:uiPriority w:val="0"/>
    <w:pPr>
      <w:autoSpaceDE w:val="0"/>
      <w:autoSpaceDN w:val="0"/>
      <w:adjustRightInd w:val="0"/>
      <w:snapToGrid w:val="0"/>
      <w:spacing w:before="120" w:line="360" w:lineRule="auto"/>
    </w:pPr>
    <w:rPr>
      <w:rFonts w:ascii="Arial" w:hAnsi="Arial"/>
      <w:snapToGrid w:val="0"/>
      <w:color w:val="000000"/>
      <w:kern w:val="0"/>
      <w:szCs w:val="20"/>
    </w:rPr>
  </w:style>
  <w:style w:type="paragraph" w:styleId="9">
    <w:name w:val="annotation text"/>
    <w:basedOn w:val="1"/>
    <w:link w:val="41"/>
    <w:qFormat/>
    <w:uiPriority w:val="0"/>
    <w:pPr>
      <w:jc w:val="left"/>
    </w:pPr>
  </w:style>
  <w:style w:type="paragraph" w:styleId="10">
    <w:name w:val="Body Text"/>
    <w:basedOn w:val="1"/>
    <w:next w:val="1"/>
    <w:link w:val="42"/>
    <w:qFormat/>
    <w:uiPriority w:val="0"/>
    <w:pPr>
      <w:spacing w:after="120"/>
    </w:pPr>
  </w:style>
  <w:style w:type="paragraph" w:styleId="11">
    <w:name w:val="Body Text Indent"/>
    <w:basedOn w:val="1"/>
    <w:link w:val="43"/>
    <w:qFormat/>
    <w:uiPriority w:val="0"/>
    <w:pPr>
      <w:spacing w:line="500" w:lineRule="exact"/>
      <w:ind w:left="600" w:hanging="600" w:hangingChars="200"/>
      <w:outlineLvl w:val="1"/>
    </w:pPr>
    <w:rPr>
      <w:sz w:val="30"/>
    </w:rPr>
  </w:style>
  <w:style w:type="paragraph" w:styleId="12">
    <w:name w:val="toc 5"/>
    <w:basedOn w:val="1"/>
    <w:next w:val="1"/>
    <w:qFormat/>
    <w:uiPriority w:val="0"/>
    <w:pPr>
      <w:ind w:left="1680" w:leftChars="800"/>
    </w:pPr>
    <w:rPr>
      <w:szCs w:val="24"/>
    </w:rPr>
  </w:style>
  <w:style w:type="paragraph" w:styleId="13">
    <w:name w:val="toc 3"/>
    <w:basedOn w:val="1"/>
    <w:next w:val="1"/>
    <w:qFormat/>
    <w:uiPriority w:val="39"/>
    <w:pPr>
      <w:ind w:left="840" w:leftChars="400"/>
    </w:pPr>
  </w:style>
  <w:style w:type="paragraph" w:styleId="14">
    <w:name w:val="Plain Text"/>
    <w:basedOn w:val="1"/>
    <w:link w:val="44"/>
    <w:qFormat/>
    <w:uiPriority w:val="0"/>
    <w:rPr>
      <w:rFonts w:ascii="宋体" w:hAnsi="Courier New" w:cs="Courier New"/>
      <w:szCs w:val="21"/>
    </w:rPr>
  </w:style>
  <w:style w:type="paragraph" w:styleId="15">
    <w:name w:val="Date"/>
    <w:basedOn w:val="1"/>
    <w:next w:val="1"/>
    <w:qFormat/>
    <w:uiPriority w:val="0"/>
    <w:pPr>
      <w:ind w:left="100" w:leftChars="2500"/>
    </w:pPr>
  </w:style>
  <w:style w:type="paragraph" w:styleId="16">
    <w:name w:val="Body Text Indent 2"/>
    <w:basedOn w:val="1"/>
    <w:qFormat/>
    <w:uiPriority w:val="0"/>
    <w:pPr>
      <w:spacing w:after="120" w:line="480" w:lineRule="auto"/>
      <w:ind w:left="420" w:leftChars="200"/>
    </w:pPr>
  </w:style>
  <w:style w:type="paragraph" w:styleId="17">
    <w:name w:val="Balloon Text"/>
    <w:basedOn w:val="1"/>
    <w:link w:val="45"/>
    <w:qFormat/>
    <w:uiPriority w:val="0"/>
    <w:rPr>
      <w:sz w:val="18"/>
      <w:szCs w:val="18"/>
    </w:rPr>
  </w:style>
  <w:style w:type="paragraph" w:styleId="18">
    <w:name w:val="footer"/>
    <w:basedOn w:val="1"/>
    <w:link w:val="46"/>
    <w:qFormat/>
    <w:uiPriority w:val="0"/>
    <w:pPr>
      <w:tabs>
        <w:tab w:val="center" w:pos="4153"/>
        <w:tab w:val="right" w:pos="8306"/>
      </w:tabs>
      <w:snapToGrid w:val="0"/>
      <w:jc w:val="left"/>
    </w:pPr>
    <w:rPr>
      <w:sz w:val="18"/>
      <w:szCs w:val="18"/>
    </w:rPr>
  </w:style>
  <w:style w:type="paragraph" w:styleId="19">
    <w:name w:val="header"/>
    <w:basedOn w:val="1"/>
    <w:link w:val="47"/>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style>
  <w:style w:type="paragraph" w:styleId="21">
    <w:name w:val="toc 2"/>
    <w:basedOn w:val="1"/>
    <w:next w:val="1"/>
    <w:qFormat/>
    <w:uiPriority w:val="0"/>
    <w:pPr>
      <w:ind w:left="420" w:leftChars="200"/>
    </w:pPr>
  </w:style>
  <w:style w:type="paragraph" w:styleId="22">
    <w:name w:val="HTML Preformatted"/>
    <w:basedOn w:val="1"/>
    <w:link w:val="4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23">
    <w:name w:val="Normal (Web)"/>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styleId="24">
    <w:name w:val="annotation subject"/>
    <w:basedOn w:val="9"/>
    <w:next w:val="9"/>
    <w:link w:val="49"/>
    <w:qFormat/>
    <w:uiPriority w:val="0"/>
    <w:rPr>
      <w:b/>
      <w:bCs/>
    </w:rPr>
  </w:style>
  <w:style w:type="paragraph" w:styleId="25">
    <w:name w:val="Body Text First Indent"/>
    <w:basedOn w:val="10"/>
    <w:qFormat/>
    <w:uiPriority w:val="99"/>
    <w:pPr>
      <w:ind w:firstLine="420" w:firstLineChars="100"/>
    </w:p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9">
    <w:name w:val=" Char Char Char Char1 Char Char"/>
    <w:basedOn w:val="1"/>
    <w:link w:val="28"/>
    <w:qFormat/>
    <w:uiPriority w:val="0"/>
    <w:pPr>
      <w:widowControl/>
      <w:spacing w:after="160" w:line="240" w:lineRule="exact"/>
      <w:jc w:val="left"/>
    </w:pPr>
    <w:rPr>
      <w:rFonts w:ascii="Verdana" w:hAnsi="Verdana"/>
      <w:kern w:val="0"/>
      <w:szCs w:val="20"/>
      <w:lang w:eastAsia="en-US"/>
    </w:rPr>
  </w:style>
  <w:style w:type="character" w:styleId="30">
    <w:name w:val="Strong"/>
    <w:basedOn w:val="28"/>
    <w:qFormat/>
    <w:uiPriority w:val="22"/>
    <w:rPr>
      <w:b/>
      <w:bCs/>
    </w:rPr>
  </w:style>
  <w:style w:type="character" w:styleId="31">
    <w:name w:val="page number"/>
    <w:qFormat/>
    <w:uiPriority w:val="0"/>
    <w:rPr>
      <w:rFonts w:ascii="Verdana" w:hAnsi="Verdana" w:cs="Times New Roman"/>
      <w:kern w:val="0"/>
      <w:szCs w:val="20"/>
      <w:lang w:eastAsia="en-US"/>
    </w:rPr>
  </w:style>
  <w:style w:type="character" w:styleId="32">
    <w:name w:val="FollowedHyperlink"/>
    <w:qFormat/>
    <w:uiPriority w:val="0"/>
    <w:rPr>
      <w:rFonts w:ascii="Verdana" w:hAnsi="Verdana"/>
      <w:color w:val="800080"/>
      <w:kern w:val="0"/>
      <w:szCs w:val="20"/>
      <w:u w:val="none"/>
      <w:lang w:eastAsia="en-US"/>
    </w:rPr>
  </w:style>
  <w:style w:type="character" w:styleId="33">
    <w:name w:val="Emphasis"/>
    <w:basedOn w:val="28"/>
    <w:qFormat/>
    <w:uiPriority w:val="0"/>
    <w:rPr>
      <w:i/>
    </w:rPr>
  </w:style>
  <w:style w:type="character" w:styleId="34">
    <w:name w:val="Hyperlink"/>
    <w:qFormat/>
    <w:uiPriority w:val="99"/>
    <w:rPr>
      <w:rFonts w:cs="Times New Roman"/>
      <w:color w:val="0000FF"/>
      <w:u w:val="single"/>
    </w:rPr>
  </w:style>
  <w:style w:type="character" w:styleId="35">
    <w:name w:val="annotation reference"/>
    <w:qFormat/>
    <w:uiPriority w:val="0"/>
    <w:rPr>
      <w:rFonts w:cs="Times New Roman"/>
      <w:sz w:val="21"/>
      <w:szCs w:val="21"/>
    </w:rPr>
  </w:style>
  <w:style w:type="character" w:customStyle="1" w:styleId="36">
    <w:name w:val="标题 1 Char"/>
    <w:link w:val="2"/>
    <w:qFormat/>
    <w:uiPriority w:val="0"/>
    <w:rPr>
      <w:b/>
      <w:bCs/>
      <w:kern w:val="44"/>
      <w:sz w:val="44"/>
      <w:szCs w:val="44"/>
    </w:rPr>
  </w:style>
  <w:style w:type="character" w:customStyle="1" w:styleId="37">
    <w:name w:val="标题 2 Char"/>
    <w:link w:val="3"/>
    <w:qFormat/>
    <w:uiPriority w:val="0"/>
    <w:rPr>
      <w:rFonts w:ascii="CESI仿宋-GB13000" w:hAnsi="CESI仿宋-GB13000" w:eastAsia="宋体"/>
      <w:b/>
      <w:bCs/>
      <w:sz w:val="24"/>
      <w:szCs w:val="32"/>
    </w:rPr>
  </w:style>
  <w:style w:type="character" w:customStyle="1" w:styleId="38">
    <w:name w:val="标题 3 Char"/>
    <w:link w:val="4"/>
    <w:qFormat/>
    <w:locked/>
    <w:uiPriority w:val="0"/>
    <w:rPr>
      <w:rFonts w:ascii="Times New Roman" w:hAnsi="Times New Roman" w:eastAsia="宋体"/>
      <w:b/>
      <w:bCs/>
      <w:kern w:val="2"/>
      <w:sz w:val="21"/>
      <w:szCs w:val="32"/>
      <w:lang w:val="en-US" w:eastAsia="zh-CN" w:bidi="ar-SA"/>
    </w:rPr>
  </w:style>
  <w:style w:type="character" w:customStyle="1" w:styleId="39">
    <w:name w:val="标题 4 Char"/>
    <w:link w:val="5"/>
    <w:qFormat/>
    <w:uiPriority w:val="0"/>
    <w:rPr>
      <w:rFonts w:ascii="Arial" w:hAnsi="Arial"/>
      <w:b/>
      <w:bCs/>
      <w:kern w:val="2"/>
      <w:sz w:val="21"/>
      <w:szCs w:val="28"/>
    </w:rPr>
  </w:style>
  <w:style w:type="character" w:customStyle="1" w:styleId="40">
    <w:name w:val="正文缩进 Char"/>
    <w:link w:val="6"/>
    <w:qFormat/>
    <w:locked/>
    <w:uiPriority w:val="0"/>
    <w:rPr>
      <w:rFonts w:eastAsia="宋体"/>
      <w:kern w:val="2"/>
      <w:sz w:val="21"/>
      <w:szCs w:val="24"/>
      <w:lang w:val="en-US" w:eastAsia="zh-CN" w:bidi="ar-SA"/>
    </w:rPr>
  </w:style>
  <w:style w:type="character" w:customStyle="1" w:styleId="41">
    <w:name w:val="批注文字 Char"/>
    <w:link w:val="9"/>
    <w:qFormat/>
    <w:locked/>
    <w:uiPriority w:val="0"/>
    <w:rPr>
      <w:rFonts w:eastAsia="宋体"/>
      <w:kern w:val="2"/>
      <w:sz w:val="21"/>
      <w:szCs w:val="24"/>
      <w:lang w:val="en-US" w:eastAsia="zh-CN" w:bidi="ar-SA"/>
    </w:rPr>
  </w:style>
  <w:style w:type="character" w:customStyle="1" w:styleId="42">
    <w:name w:val="正文文本 Char"/>
    <w:link w:val="10"/>
    <w:qFormat/>
    <w:uiPriority w:val="0"/>
    <w:rPr>
      <w:kern w:val="2"/>
      <w:sz w:val="21"/>
      <w:szCs w:val="24"/>
    </w:rPr>
  </w:style>
  <w:style w:type="character" w:customStyle="1" w:styleId="43">
    <w:name w:val="正文文本缩进 Char"/>
    <w:link w:val="11"/>
    <w:qFormat/>
    <w:uiPriority w:val="0"/>
    <w:rPr>
      <w:kern w:val="2"/>
      <w:sz w:val="30"/>
      <w:szCs w:val="24"/>
    </w:rPr>
  </w:style>
  <w:style w:type="character" w:customStyle="1" w:styleId="44">
    <w:name w:val="纯文本 Char"/>
    <w:link w:val="14"/>
    <w:qFormat/>
    <w:uiPriority w:val="0"/>
    <w:rPr>
      <w:rFonts w:ascii="宋体" w:hAnsi="Courier New" w:cs="Courier New"/>
      <w:kern w:val="2"/>
      <w:sz w:val="21"/>
      <w:szCs w:val="21"/>
    </w:rPr>
  </w:style>
  <w:style w:type="character" w:customStyle="1" w:styleId="45">
    <w:name w:val="批注框文本 Char"/>
    <w:link w:val="17"/>
    <w:qFormat/>
    <w:locked/>
    <w:uiPriority w:val="0"/>
    <w:rPr>
      <w:rFonts w:eastAsia="宋体"/>
      <w:kern w:val="2"/>
      <w:sz w:val="18"/>
      <w:szCs w:val="18"/>
      <w:lang w:val="en-US" w:eastAsia="zh-CN" w:bidi="ar-SA"/>
    </w:rPr>
  </w:style>
  <w:style w:type="character" w:customStyle="1" w:styleId="46">
    <w:name w:val="页脚 Char"/>
    <w:link w:val="18"/>
    <w:qFormat/>
    <w:locked/>
    <w:uiPriority w:val="0"/>
    <w:rPr>
      <w:rFonts w:eastAsia="宋体"/>
      <w:kern w:val="2"/>
      <w:sz w:val="18"/>
      <w:szCs w:val="18"/>
      <w:lang w:val="en-US" w:eastAsia="zh-CN" w:bidi="ar-SA"/>
    </w:rPr>
  </w:style>
  <w:style w:type="character" w:customStyle="1" w:styleId="47">
    <w:name w:val="页眉 Char"/>
    <w:link w:val="19"/>
    <w:qFormat/>
    <w:locked/>
    <w:uiPriority w:val="99"/>
    <w:rPr>
      <w:rFonts w:eastAsia="宋体"/>
      <w:kern w:val="2"/>
      <w:sz w:val="18"/>
      <w:szCs w:val="18"/>
      <w:lang w:val="en-US" w:eastAsia="zh-CN" w:bidi="ar-SA"/>
    </w:rPr>
  </w:style>
  <w:style w:type="character" w:customStyle="1" w:styleId="48">
    <w:name w:val="HTML 预设格式 Char"/>
    <w:link w:val="22"/>
    <w:qFormat/>
    <w:uiPriority w:val="0"/>
    <w:rPr>
      <w:rFonts w:ascii="Arial" w:hAnsi="Arial" w:cs="Arial"/>
      <w:sz w:val="24"/>
      <w:szCs w:val="24"/>
    </w:rPr>
  </w:style>
  <w:style w:type="character" w:customStyle="1" w:styleId="49">
    <w:name w:val="批注主题 Char"/>
    <w:link w:val="24"/>
    <w:qFormat/>
    <w:locked/>
    <w:uiPriority w:val="0"/>
    <w:rPr>
      <w:rFonts w:eastAsia="宋体"/>
      <w:b/>
      <w:bCs/>
      <w:kern w:val="2"/>
      <w:sz w:val="21"/>
      <w:szCs w:val="24"/>
      <w:lang w:val="en-US" w:eastAsia="zh-CN" w:bidi="ar-SA"/>
    </w:rPr>
  </w:style>
  <w:style w:type="character" w:customStyle="1" w:styleId="50">
    <w:name w:val="页码1"/>
    <w:qFormat/>
    <w:uiPriority w:val="0"/>
    <w:rPr>
      <w:rFonts w:cs="Times New Roman"/>
    </w:rPr>
  </w:style>
  <w:style w:type="character" w:customStyle="1" w:styleId="51">
    <w:name w:val="hotbutton2"/>
    <w:qFormat/>
    <w:uiPriority w:val="0"/>
    <w:rPr>
      <w:lang w:eastAsia="en-US"/>
    </w:rPr>
  </w:style>
  <w:style w:type="character" w:customStyle="1" w:styleId="52">
    <w:name w:val="表格文字 Char"/>
    <w:link w:val="53"/>
    <w:qFormat/>
    <w:uiPriority w:val="0"/>
    <w:rPr>
      <w:rFonts w:ascii="宋体" w:hAnsi="宋体"/>
      <w:kern w:val="2"/>
      <w:sz w:val="21"/>
      <w:szCs w:val="21"/>
    </w:rPr>
  </w:style>
  <w:style w:type="paragraph" w:customStyle="1" w:styleId="53">
    <w:name w:val="表格文字"/>
    <w:basedOn w:val="1"/>
    <w:link w:val="52"/>
    <w:qFormat/>
    <w:uiPriority w:val="0"/>
    <w:pPr>
      <w:snapToGrid w:val="0"/>
      <w:spacing w:line="360" w:lineRule="auto"/>
      <w:ind w:right="-34" w:rightChars="-12"/>
      <w:jc w:val="center"/>
    </w:pPr>
    <w:rPr>
      <w:rFonts w:ascii="宋体" w:hAnsi="宋体"/>
      <w:szCs w:val="21"/>
    </w:rPr>
  </w:style>
  <w:style w:type="character" w:customStyle="1" w:styleId="54">
    <w:name w:val="Char Char"/>
    <w:qFormat/>
    <w:uiPriority w:val="0"/>
    <w:rPr>
      <w:rFonts w:ascii="宋体" w:cs="Times New Roman"/>
      <w:kern w:val="2"/>
      <w:sz w:val="18"/>
      <w:szCs w:val="18"/>
    </w:rPr>
  </w:style>
  <w:style w:type="character" w:customStyle="1" w:styleId="55">
    <w:name w:val="Char Char10"/>
    <w:qFormat/>
    <w:uiPriority w:val="0"/>
    <w:rPr>
      <w:rFonts w:ascii="宋体" w:hAnsi="Courier New" w:eastAsia="宋体" w:cs="Times New Roman"/>
      <w:kern w:val="2"/>
      <w:sz w:val="24"/>
      <w:szCs w:val="24"/>
      <w:lang w:val="en-US" w:eastAsia="zh-CN" w:bidi="ar-SA"/>
    </w:rPr>
  </w:style>
  <w:style w:type="character" w:customStyle="1" w:styleId="56">
    <w:name w:val="coolbutton"/>
    <w:qFormat/>
    <w:uiPriority w:val="0"/>
    <w:rPr>
      <w:lang w:eastAsia="en-US"/>
    </w:rPr>
  </w:style>
  <w:style w:type="character" w:customStyle="1" w:styleId="57">
    <w:name w:val="表格文字 Char Char"/>
    <w:qFormat/>
    <w:uiPriority w:val="0"/>
    <w:rPr>
      <w:rFonts w:ascii="Arial" w:hAnsi="Arial" w:eastAsia="宋体"/>
      <w:kern w:val="2"/>
      <w:sz w:val="21"/>
      <w:szCs w:val="21"/>
      <w:lang w:val="en-US" w:eastAsia="zh-CN" w:bidi="ar-SA"/>
    </w:rPr>
  </w:style>
  <w:style w:type="paragraph" w:customStyle="1" w:styleId="58">
    <w:name w:val="Char"/>
    <w:basedOn w:val="7"/>
    <w:qFormat/>
    <w:uiPriority w:val="0"/>
    <w:pPr>
      <w:shd w:val="clear" w:color="auto" w:fill="000080"/>
    </w:pPr>
    <w:rPr>
      <w:rFonts w:ascii="Tahoma" w:hAnsi="Tahoma"/>
      <w:sz w:val="24"/>
      <w:szCs w:val="24"/>
    </w:rPr>
  </w:style>
  <w:style w:type="paragraph" w:customStyle="1" w:styleId="59">
    <w:name w:val="Char1"/>
    <w:basedOn w:val="7"/>
    <w:qFormat/>
    <w:uiPriority w:val="0"/>
    <w:pPr>
      <w:shd w:val="clear" w:color="auto" w:fill="000080"/>
    </w:pPr>
    <w:rPr>
      <w:rFonts w:ascii="Tahoma" w:hAnsi="Tahoma"/>
      <w:sz w:val="24"/>
      <w:szCs w:val="24"/>
    </w:rPr>
  </w:style>
  <w:style w:type="paragraph" w:customStyle="1" w:styleId="60">
    <w:name w:val="样式2"/>
    <w:basedOn w:val="2"/>
    <w:qFormat/>
    <w:uiPriority w:val="0"/>
    <w:pPr>
      <w:widowControl/>
      <w:spacing w:before="240" w:after="0" w:line="360" w:lineRule="auto"/>
      <w:jc w:val="left"/>
    </w:pPr>
    <w:rPr>
      <w:rFonts w:ascii="宋体" w:hAnsi="宋体"/>
      <w:bCs w:val="0"/>
      <w:sz w:val="24"/>
      <w:szCs w:val="24"/>
    </w:rPr>
  </w:style>
  <w:style w:type="paragraph" w:customStyle="1" w:styleId="61">
    <w:name w:val="txt14"/>
    <w:basedOn w:val="1"/>
    <w:qFormat/>
    <w:uiPriority w:val="0"/>
    <w:pPr>
      <w:widowControl/>
      <w:spacing w:before="100" w:beforeAutospacing="1" w:after="100" w:afterAutospacing="1"/>
      <w:jc w:val="left"/>
    </w:pPr>
    <w:rPr>
      <w:rFonts w:hint="eastAsia" w:ascii="宋体" w:hAnsi="宋体"/>
      <w:color w:val="000000"/>
      <w:kern w:val="0"/>
      <w:szCs w:val="21"/>
    </w:rPr>
  </w:style>
  <w:style w:type="paragraph" w:customStyle="1" w:styleId="62">
    <w:name w:val="Char Char1 Char Char Char Char Char Char Char Char Char Char"/>
    <w:basedOn w:val="1"/>
    <w:qFormat/>
    <w:uiPriority w:val="0"/>
    <w:rPr>
      <w:rFonts w:ascii="Tahoma" w:hAnsi="Tahoma"/>
      <w:sz w:val="24"/>
      <w:szCs w:val="20"/>
    </w:rPr>
  </w:style>
  <w:style w:type="paragraph" w:customStyle="1" w:styleId="63">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4">
    <w:name w:val="aaaa"/>
    <w:basedOn w:val="2"/>
    <w:qFormat/>
    <w:uiPriority w:val="0"/>
    <w:pPr>
      <w:widowControl/>
      <w:numPr>
        <w:ilvl w:val="0"/>
        <w:numId w:val="1"/>
      </w:numPr>
      <w:spacing w:before="240" w:after="0" w:line="360" w:lineRule="auto"/>
      <w:jc w:val="left"/>
    </w:pPr>
    <w:rPr>
      <w:rFonts w:ascii="宋体" w:hAnsi="宋体"/>
      <w:bCs w:val="0"/>
      <w:sz w:val="24"/>
      <w:szCs w:val="24"/>
    </w:rPr>
  </w:style>
  <w:style w:type="paragraph" w:customStyle="1" w:styleId="65">
    <w:name w:val="Char2"/>
    <w:basedOn w:val="1"/>
    <w:qFormat/>
    <w:uiPriority w:val="0"/>
    <w:rPr>
      <w:rFonts w:ascii="Tahoma" w:hAnsi="Tahoma"/>
      <w:sz w:val="24"/>
      <w:szCs w:val="20"/>
    </w:rPr>
  </w:style>
  <w:style w:type="paragraph" w:customStyle="1" w:styleId="66">
    <w:name w:val="_Style 65"/>
    <w:semiHidden/>
    <w:qFormat/>
    <w:uiPriority w:val="99"/>
    <w:rPr>
      <w:rFonts w:ascii="Times New Roman" w:hAnsi="Times New Roman" w:eastAsia="宋体" w:cs="Times New Roman"/>
      <w:kern w:val="2"/>
      <w:sz w:val="21"/>
      <w:szCs w:val="24"/>
      <w:lang w:val="en-US" w:eastAsia="zh-CN" w:bidi="ar-SA"/>
    </w:rPr>
  </w:style>
  <w:style w:type="paragraph" w:customStyle="1" w:styleId="67">
    <w:name w:val=" Char Char Char Char1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68">
    <w:name w:val="默认段落字体 Para Char"/>
    <w:basedOn w:val="1"/>
    <w:qFormat/>
    <w:uiPriority w:val="0"/>
    <w:pPr>
      <w:spacing w:line="360" w:lineRule="auto"/>
      <w:jc w:val="center"/>
    </w:pPr>
  </w:style>
  <w:style w:type="paragraph" w:customStyle="1" w:styleId="69">
    <w:name w:val=" Char Char Char Char1"/>
    <w:basedOn w:val="1"/>
    <w:qFormat/>
    <w:uiPriority w:val="0"/>
    <w:pPr>
      <w:widowControl/>
      <w:spacing w:after="160" w:line="240" w:lineRule="exact"/>
      <w:jc w:val="left"/>
    </w:pPr>
    <w:rPr>
      <w:rFonts w:ascii="Verdana" w:hAnsi="Verdana"/>
      <w:kern w:val="0"/>
      <w:szCs w:val="20"/>
      <w:lang w:eastAsia="en-US"/>
    </w:rPr>
  </w:style>
  <w:style w:type="paragraph" w:customStyle="1" w:styleId="70">
    <w:name w:val="普通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71">
    <w:name w:val="List Paragraph"/>
    <w:basedOn w:val="1"/>
    <w:qFormat/>
    <w:uiPriority w:val="0"/>
    <w:pPr>
      <w:ind w:firstLine="420" w:firstLineChars="200"/>
    </w:pPr>
    <w:rPr>
      <w:rFonts w:ascii="Calibri" w:hAnsi="Calibri"/>
      <w:szCs w:val="22"/>
    </w:rPr>
  </w:style>
  <w:style w:type="paragraph" w:customStyle="1" w:styleId="72">
    <w:name w:val="p3"/>
    <w:basedOn w:val="1"/>
    <w:qFormat/>
    <w:uiPriority w:val="0"/>
    <w:pPr>
      <w:spacing w:line="30" w:lineRule="atLeast"/>
      <w:jc w:val="center"/>
    </w:pPr>
    <w:rPr>
      <w:rFonts w:hint="eastAsia" w:ascii="宋体" w:hAnsi="宋体" w:eastAsia="宋体" w:cs="宋体"/>
      <w:kern w:val="0"/>
      <w:sz w:val="36"/>
      <w:szCs w:val="36"/>
    </w:rPr>
  </w:style>
  <w:style w:type="paragraph" w:customStyle="1" w:styleId="73">
    <w:name w:val="WPSOffice手动目录 1"/>
    <w:qFormat/>
    <w:uiPriority w:val="0"/>
    <w:pPr>
      <w:ind w:leftChars="0"/>
    </w:pPr>
    <w:rPr>
      <w:rFonts w:ascii="Times New Roman" w:hAnsi="Times New Roman" w:eastAsia="宋体" w:cs="Times New Roman"/>
      <w:sz w:val="20"/>
      <w:szCs w:val="20"/>
    </w:rPr>
  </w:style>
  <w:style w:type="paragraph" w:customStyle="1" w:styleId="74">
    <w:name w:val="WPSOffice手动目录 2"/>
    <w:qFormat/>
    <w:uiPriority w:val="0"/>
    <w:pPr>
      <w:ind w:leftChars="200"/>
    </w:pPr>
    <w:rPr>
      <w:rFonts w:ascii="Times New Roman" w:hAnsi="Times New Roman" w:eastAsia="宋体" w:cs="Times New Roman"/>
      <w:sz w:val="20"/>
      <w:szCs w:val="20"/>
    </w:rPr>
  </w:style>
  <w:style w:type="paragraph" w:customStyle="1" w:styleId="75">
    <w:name w:val="p19"/>
    <w:basedOn w:val="1"/>
    <w:qFormat/>
    <w:uiPriority w:val="0"/>
    <w:pPr>
      <w:spacing w:line="30" w:lineRule="atLeast"/>
      <w:jc w:val="left"/>
    </w:pPr>
    <w:rPr>
      <w:rFonts w:ascii="黑体" w:hAnsi="宋体" w:eastAsia="黑体"/>
      <w:kern w:val="0"/>
      <w:sz w:val="28"/>
      <w:szCs w:val="28"/>
    </w:rPr>
  </w:style>
  <w:style w:type="paragraph" w:customStyle="1" w:styleId="76">
    <w:name w:val="Table Paragraph"/>
    <w:basedOn w:val="1"/>
    <w:qFormat/>
    <w:uiPriority w:val="1"/>
    <w:pPr>
      <w:autoSpaceDE w:val="0"/>
      <w:autoSpaceDN w:val="0"/>
      <w:jc w:val="left"/>
    </w:pPr>
    <w:rPr>
      <w:rFonts w:ascii="宋体" w:hAnsi="宋体" w:cs="宋体"/>
      <w:kern w:val="0"/>
      <w:sz w:val="22"/>
      <w:szCs w:val="22"/>
    </w:rPr>
  </w:style>
  <w:style w:type="paragraph" w:customStyle="1" w:styleId="77">
    <w:name w:val="Normal_4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8">
    <w:name w:val="List Paragraph1"/>
    <w:basedOn w:val="1"/>
    <w:unhideWhenUsed/>
    <w:qFormat/>
    <w:uiPriority w:val="99"/>
    <w:pPr>
      <w:ind w:firstLine="420" w:firstLineChars="200"/>
    </w:pPr>
  </w:style>
  <w:style w:type="character" w:customStyle="1" w:styleId="79">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140</Pages>
  <Words>17064</Words>
  <Characters>18088</Characters>
  <Lines>240</Lines>
  <Paragraphs>67</Paragraphs>
  <TotalTime>11</TotalTime>
  <ScaleCrop>false</ScaleCrop>
  <LinksUpToDate>false</LinksUpToDate>
  <CharactersWithSpaces>18555</CharactersWithSpaces>
  <Application>WPS Office_12.1.0.28505_F1E327BC-269C-435d-A152-05C5408002CA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2019-02-14T23:46:00Z</dcterms:created>
  <dc:creator>雨林木风</dc:creator>
  <cp:lastModifiedBy>智林招标项目组</cp:lastModifiedBy>
  <cp:lastPrinted>2026-10-16T02:47:00Z</cp:lastPrinted>
  <dcterms:modified xsi:type="dcterms:W3CDTF">2026-10-16T08:32:24Z</dcterms:modified>
  <dc:title>  </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45B3A3BDC7F448269E502E60F3A36F74_13</vt:lpwstr>
  </property>
  <property fmtid="{D5CDD505-2E9C-101B-9397-08002B2CF9AE}" pid="4" name="KSOTemplateDocerSaveRecord">
    <vt:lpwstr>eyJoZGlkIjoiZTgzNTdiY2NmZjFhNjMxMzYwMjg0MTEyODE0YmI4MTciLCJ1c2VySWQiOiI2NDgzMjE0NzYifQ==</vt:lpwstr>
  </property>
</Properties>
</file>